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76" w:type="dxa"/>
        <w:tblLayout w:type="fixed"/>
        <w:tblLook w:val="0000" w:firstRow="0" w:lastRow="0" w:firstColumn="0" w:lastColumn="0" w:noHBand="0" w:noVBand="0"/>
      </w:tblPr>
      <w:tblGrid>
        <w:gridCol w:w="6644"/>
        <w:gridCol w:w="19"/>
        <w:gridCol w:w="3402"/>
      </w:tblGrid>
      <w:tr w:rsidR="00D811D3" w:rsidRPr="00E82E60" w14:paraId="2B9DD5A1" w14:textId="77777777" w:rsidTr="004618E1">
        <w:trPr>
          <w:cantSplit/>
          <w:trHeight w:val="1418"/>
        </w:trPr>
        <w:tc>
          <w:tcPr>
            <w:tcW w:w="6644" w:type="dxa"/>
            <w:tcBorders>
              <w:bottom w:val="single" w:sz="2" w:space="0" w:color="auto"/>
            </w:tcBorders>
          </w:tcPr>
          <w:p w14:paraId="2025CBE4" w14:textId="77777777" w:rsidR="00D811D3" w:rsidRPr="00E82E60" w:rsidRDefault="00D811D3" w:rsidP="004618E1">
            <w:pPr>
              <w:rPr>
                <w:rFonts w:asciiTheme="majorBidi" w:hAnsiTheme="majorBidi" w:cstheme="majorBidi"/>
              </w:rPr>
            </w:pPr>
            <w:bookmarkStart w:id="0" w:name="_Hlk18312219"/>
            <w:r w:rsidRPr="00E82E60">
              <w:rPr>
                <w:rFonts w:asciiTheme="majorBidi" w:hAnsiTheme="majorBidi" w:cstheme="majorBidi"/>
                <w:noProof/>
              </w:rPr>
              <w:drawing>
                <wp:anchor distT="0" distB="0" distL="114300" distR="114300" simplePos="0" relativeHeight="251660288" behindDoc="1" locked="0" layoutInCell="1" allowOverlap="1" wp14:anchorId="70565BE1" wp14:editId="3C0FAD64">
                  <wp:simplePos x="0" y="0"/>
                  <wp:positionH relativeFrom="page">
                    <wp:posOffset>1092835</wp:posOffset>
                  </wp:positionH>
                  <wp:positionV relativeFrom="page">
                    <wp:posOffset>8890</wp:posOffset>
                  </wp:positionV>
                  <wp:extent cx="659130" cy="55689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E60">
              <w:rPr>
                <w:rFonts w:asciiTheme="majorBidi" w:hAnsiTheme="majorBidi" w:cstheme="majorBidi"/>
                <w:noProof/>
              </w:rPr>
              <w:drawing>
                <wp:anchor distT="0" distB="0" distL="114300" distR="114300" simplePos="0" relativeHeight="251659264" behindDoc="1" locked="0" layoutInCell="1" allowOverlap="1" wp14:anchorId="407BA979" wp14:editId="6321601F">
                  <wp:simplePos x="0" y="0"/>
                  <wp:positionH relativeFrom="column">
                    <wp:posOffset>180975</wp:posOffset>
                  </wp:positionH>
                  <wp:positionV relativeFrom="paragraph">
                    <wp:posOffset>21590</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4" name="Picture 4"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gridSpan w:val="2"/>
            <w:tcBorders>
              <w:bottom w:val="single" w:sz="2" w:space="0" w:color="auto"/>
            </w:tcBorders>
          </w:tcPr>
          <w:p w14:paraId="650BA013" w14:textId="77777777" w:rsidR="00D811D3" w:rsidRPr="00E82E60" w:rsidRDefault="00D811D3" w:rsidP="004618E1">
            <w:pPr>
              <w:pStyle w:val="Heading2"/>
              <w:rPr>
                <w:rFonts w:asciiTheme="majorBidi" w:hAnsiTheme="majorBidi" w:cstheme="majorBidi"/>
                <w:sz w:val="20"/>
                <w:szCs w:val="20"/>
              </w:rPr>
            </w:pPr>
          </w:p>
          <w:p w14:paraId="0A08E63A" w14:textId="77777777" w:rsidR="00D811D3" w:rsidRPr="00E82E60" w:rsidRDefault="00D811D3" w:rsidP="004618E1">
            <w:pPr>
              <w:rPr>
                <w:rFonts w:asciiTheme="majorBidi" w:hAnsiTheme="majorBidi" w:cstheme="majorBidi"/>
                <w:sz w:val="20"/>
                <w:szCs w:val="20"/>
              </w:rPr>
            </w:pPr>
          </w:p>
          <w:p w14:paraId="1274F313" w14:textId="6C453750" w:rsidR="00D811D3" w:rsidRPr="00E82E60" w:rsidRDefault="00D811D3" w:rsidP="004618E1">
            <w:pPr>
              <w:rPr>
                <w:rFonts w:asciiTheme="majorBidi" w:hAnsiTheme="majorBidi" w:cstheme="majorBidi"/>
                <w:sz w:val="20"/>
                <w:szCs w:val="20"/>
              </w:rPr>
            </w:pPr>
            <w:r w:rsidRPr="00E82E60">
              <w:rPr>
                <w:rFonts w:asciiTheme="majorBidi" w:hAnsiTheme="majorBidi" w:cstheme="majorBidi"/>
                <w:b/>
                <w:sz w:val="20"/>
                <w:szCs w:val="20"/>
              </w:rPr>
              <w:t>SAICM</w:t>
            </w:r>
            <w:r w:rsidRPr="00E82E60">
              <w:rPr>
                <w:rFonts w:asciiTheme="majorBidi" w:hAnsiTheme="majorBidi" w:cstheme="majorBidi"/>
                <w:sz w:val="20"/>
                <w:szCs w:val="20"/>
              </w:rPr>
              <w:t>/IP.3/</w:t>
            </w:r>
            <w:r w:rsidR="00FB6574">
              <w:rPr>
                <w:rFonts w:asciiTheme="majorBidi" w:hAnsiTheme="majorBidi" w:cstheme="majorBidi"/>
                <w:sz w:val="20"/>
                <w:szCs w:val="20"/>
              </w:rPr>
              <w:t>7</w:t>
            </w:r>
          </w:p>
        </w:tc>
      </w:tr>
      <w:bookmarkEnd w:id="0"/>
      <w:tr w:rsidR="00D811D3" w:rsidRPr="00E82E60" w14:paraId="08A38332" w14:textId="77777777" w:rsidTr="00786A3C">
        <w:trPr>
          <w:cantSplit/>
          <w:trHeight w:val="1830"/>
        </w:trPr>
        <w:tc>
          <w:tcPr>
            <w:tcW w:w="6663" w:type="dxa"/>
            <w:gridSpan w:val="2"/>
            <w:tcBorders>
              <w:top w:val="single" w:sz="2" w:space="0" w:color="auto"/>
              <w:bottom w:val="single" w:sz="24" w:space="0" w:color="auto"/>
            </w:tcBorders>
          </w:tcPr>
          <w:p w14:paraId="61193E07" w14:textId="77777777" w:rsidR="00D811D3" w:rsidRPr="00E82E60" w:rsidRDefault="00D811D3" w:rsidP="004618E1">
            <w:pPr>
              <w:rPr>
                <w:rFonts w:asciiTheme="majorBidi" w:hAnsiTheme="majorBidi" w:cstheme="majorBidi"/>
              </w:rPr>
            </w:pPr>
          </w:p>
          <w:p w14:paraId="206D89C2" w14:textId="77777777" w:rsidR="00D811D3" w:rsidRPr="00E82E60" w:rsidRDefault="00D811D3" w:rsidP="004618E1">
            <w:pPr>
              <w:rPr>
                <w:rFonts w:asciiTheme="majorBidi" w:hAnsiTheme="majorBidi" w:cstheme="majorBidi"/>
              </w:rPr>
            </w:pPr>
          </w:p>
          <w:p w14:paraId="254A8A94" w14:textId="77777777" w:rsidR="00D811D3" w:rsidRPr="00E82E60" w:rsidRDefault="00D811D3" w:rsidP="004618E1">
            <w:pPr>
              <w:rPr>
                <w:rFonts w:asciiTheme="majorBidi" w:hAnsiTheme="majorBidi" w:cstheme="majorBidi"/>
              </w:rPr>
            </w:pPr>
            <w:r w:rsidRPr="00E82E60">
              <w:rPr>
                <w:rFonts w:asciiTheme="majorBidi" w:hAnsiTheme="majorBidi" w:cstheme="majorBidi"/>
                <w:noProof/>
              </w:rPr>
              <w:drawing>
                <wp:anchor distT="0" distB="0" distL="114300" distR="114300" simplePos="0" relativeHeight="251661312" behindDoc="1" locked="0" layoutInCell="1" allowOverlap="1" wp14:anchorId="127164F3" wp14:editId="77DD5BBE">
                  <wp:simplePos x="0" y="0"/>
                  <wp:positionH relativeFrom="column">
                    <wp:posOffset>2903</wp:posOffset>
                  </wp:positionH>
                  <wp:positionV relativeFrom="paragraph">
                    <wp:posOffset>-2268</wp:posOffset>
                  </wp:positionV>
                  <wp:extent cx="2486025" cy="400050"/>
                  <wp:effectExtent l="0" t="0" r="9525" b="0"/>
                  <wp:wrapTight wrapText="bothSides">
                    <wp:wrapPolygon edited="0">
                      <wp:start x="0" y="0"/>
                      <wp:lineTo x="0" y="20571"/>
                      <wp:lineTo x="21517" y="20571"/>
                      <wp:lineTo x="21517" y="0"/>
                      <wp:lineTo x="0" y="0"/>
                    </wp:wrapPolygon>
                  </wp:wrapTight>
                  <wp:docPr id="3" name="Picture 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tcBorders>
              <w:top w:val="single" w:sz="2" w:space="0" w:color="auto"/>
              <w:bottom w:val="single" w:sz="24" w:space="0" w:color="auto"/>
            </w:tcBorders>
          </w:tcPr>
          <w:p w14:paraId="37B324F6" w14:textId="77777777" w:rsidR="00D811D3" w:rsidRPr="00E82E60" w:rsidRDefault="00D811D3" w:rsidP="004618E1">
            <w:pPr>
              <w:rPr>
                <w:rFonts w:asciiTheme="majorBidi" w:hAnsiTheme="majorBidi" w:cstheme="majorBidi"/>
                <w:sz w:val="20"/>
              </w:rPr>
            </w:pPr>
          </w:p>
          <w:p w14:paraId="6E9DB8FF" w14:textId="77777777" w:rsidR="00D811D3" w:rsidRPr="00E82E60" w:rsidRDefault="00D811D3" w:rsidP="00FB6574">
            <w:pPr>
              <w:rPr>
                <w:rFonts w:asciiTheme="majorBidi" w:hAnsiTheme="majorBidi" w:cstheme="majorBidi"/>
                <w:sz w:val="20"/>
              </w:rPr>
            </w:pPr>
            <w:r w:rsidRPr="00E82E60">
              <w:rPr>
                <w:rFonts w:asciiTheme="majorBidi" w:hAnsiTheme="majorBidi" w:cstheme="majorBidi"/>
                <w:sz w:val="20"/>
              </w:rPr>
              <w:t>Distr.: General</w:t>
            </w:r>
          </w:p>
          <w:p w14:paraId="33CF015A" w14:textId="1853E458" w:rsidR="00D811D3" w:rsidRPr="00E82E60" w:rsidRDefault="00FB6574" w:rsidP="00FB6574">
            <w:pPr>
              <w:rPr>
                <w:rFonts w:asciiTheme="majorBidi" w:hAnsiTheme="majorBidi" w:cstheme="majorBidi"/>
                <w:sz w:val="20"/>
              </w:rPr>
            </w:pPr>
            <w:r>
              <w:rPr>
                <w:rFonts w:asciiTheme="majorBidi" w:hAnsiTheme="majorBidi" w:cstheme="majorBidi"/>
                <w:sz w:val="20"/>
              </w:rPr>
              <w:t>13</w:t>
            </w:r>
            <w:r w:rsidR="00840DED">
              <w:rPr>
                <w:rFonts w:asciiTheme="majorBidi" w:hAnsiTheme="majorBidi" w:cstheme="majorBidi"/>
                <w:sz w:val="20"/>
              </w:rPr>
              <w:t xml:space="preserve"> September</w:t>
            </w:r>
            <w:r w:rsidR="00D811D3" w:rsidRPr="00E82E60">
              <w:rPr>
                <w:rFonts w:asciiTheme="majorBidi" w:hAnsiTheme="majorBidi" w:cstheme="majorBidi"/>
                <w:sz w:val="20"/>
              </w:rPr>
              <w:t xml:space="preserve"> 2019</w:t>
            </w:r>
          </w:p>
          <w:p w14:paraId="2773B722" w14:textId="77777777" w:rsidR="00D811D3" w:rsidRPr="00E82E60" w:rsidRDefault="00D811D3" w:rsidP="004618E1">
            <w:pPr>
              <w:ind w:left="317"/>
              <w:rPr>
                <w:rFonts w:asciiTheme="majorBidi" w:hAnsiTheme="majorBidi" w:cstheme="majorBidi"/>
                <w:sz w:val="20"/>
              </w:rPr>
            </w:pPr>
          </w:p>
          <w:p w14:paraId="1EDE6A65" w14:textId="77777777" w:rsidR="00D811D3" w:rsidRDefault="00D811D3" w:rsidP="004618E1">
            <w:pPr>
              <w:rPr>
                <w:rFonts w:asciiTheme="majorBidi" w:hAnsiTheme="majorBidi" w:cstheme="majorBidi"/>
                <w:sz w:val="20"/>
              </w:rPr>
            </w:pPr>
            <w:r w:rsidRPr="00E82E60">
              <w:rPr>
                <w:rFonts w:asciiTheme="majorBidi" w:hAnsiTheme="majorBidi" w:cstheme="majorBidi"/>
                <w:sz w:val="20"/>
              </w:rPr>
              <w:t xml:space="preserve">English only </w:t>
            </w:r>
          </w:p>
          <w:p w14:paraId="1D455A3C" w14:textId="311C1F02" w:rsidR="00786A3C" w:rsidRPr="00E82E60" w:rsidRDefault="00786A3C" w:rsidP="004618E1">
            <w:pPr>
              <w:rPr>
                <w:rFonts w:asciiTheme="majorBidi" w:hAnsiTheme="majorBidi" w:cstheme="majorBidi"/>
                <w:sz w:val="20"/>
              </w:rPr>
            </w:pPr>
          </w:p>
        </w:tc>
      </w:tr>
    </w:tbl>
    <w:p w14:paraId="03ECCF03" w14:textId="77777777" w:rsidR="00D811D3" w:rsidRPr="00E82E60" w:rsidRDefault="00D811D3" w:rsidP="00D811D3">
      <w:pPr>
        <w:rPr>
          <w:rFonts w:asciiTheme="majorBidi" w:hAnsiTheme="majorBidi" w:cstheme="majorBidi"/>
          <w:b/>
          <w:sz w:val="20"/>
        </w:rPr>
      </w:pPr>
    </w:p>
    <w:p w14:paraId="2ECE6242" w14:textId="77777777" w:rsidR="00D811D3" w:rsidRPr="002D26AF" w:rsidRDefault="00D811D3" w:rsidP="00D811D3">
      <w:pPr>
        <w:spacing w:after="60"/>
        <w:rPr>
          <w:rFonts w:asciiTheme="majorBidi" w:hAnsiTheme="majorBidi" w:cstheme="majorBidi"/>
          <w:b/>
          <w:bCs/>
          <w:sz w:val="22"/>
          <w:szCs w:val="22"/>
        </w:rPr>
      </w:pPr>
      <w:bookmarkStart w:id="1" w:name="_Hlk18312350"/>
      <w:r w:rsidRPr="002D26AF">
        <w:rPr>
          <w:rFonts w:asciiTheme="majorBidi" w:hAnsiTheme="majorBidi" w:cstheme="majorBidi"/>
          <w:b/>
          <w:bCs/>
          <w:sz w:val="22"/>
          <w:szCs w:val="22"/>
        </w:rPr>
        <w:t xml:space="preserve">Third meeting of the intersessional process considering the Strategic Approach </w:t>
      </w:r>
    </w:p>
    <w:p w14:paraId="3E9C5259" w14:textId="77777777" w:rsidR="00D811D3" w:rsidRPr="002D26AF" w:rsidRDefault="00D811D3" w:rsidP="00D811D3">
      <w:pPr>
        <w:spacing w:after="60"/>
        <w:rPr>
          <w:rFonts w:asciiTheme="majorBidi" w:hAnsiTheme="majorBidi" w:cstheme="majorBidi"/>
          <w:b/>
          <w:bCs/>
          <w:sz w:val="22"/>
          <w:szCs w:val="22"/>
        </w:rPr>
      </w:pPr>
      <w:r w:rsidRPr="002D26AF">
        <w:rPr>
          <w:rFonts w:asciiTheme="majorBidi" w:hAnsiTheme="majorBidi" w:cstheme="majorBidi"/>
          <w:b/>
          <w:bCs/>
          <w:sz w:val="22"/>
          <w:szCs w:val="22"/>
        </w:rPr>
        <w:t>and sound management of chemicals and waste beyond 2020</w:t>
      </w:r>
    </w:p>
    <w:p w14:paraId="0E0FE80B" w14:textId="198A8184" w:rsidR="00D811D3" w:rsidRPr="002D26AF" w:rsidRDefault="00D811D3" w:rsidP="00D811D3">
      <w:pPr>
        <w:spacing w:after="60"/>
        <w:rPr>
          <w:rFonts w:asciiTheme="majorBidi" w:hAnsiTheme="majorBidi" w:cstheme="majorBidi"/>
          <w:sz w:val="22"/>
          <w:szCs w:val="22"/>
        </w:rPr>
      </w:pPr>
      <w:r w:rsidRPr="002D26AF">
        <w:rPr>
          <w:rFonts w:asciiTheme="majorBidi" w:hAnsiTheme="majorBidi" w:cstheme="majorBidi"/>
          <w:sz w:val="22"/>
          <w:szCs w:val="22"/>
        </w:rPr>
        <w:t>Bangkok, Thailand, 1-4 October 2019</w:t>
      </w:r>
    </w:p>
    <w:p w14:paraId="13459AF5" w14:textId="06A3A9E7" w:rsidR="00D811D3" w:rsidRDefault="00D811D3" w:rsidP="00D811D3">
      <w:pPr>
        <w:rPr>
          <w:rFonts w:asciiTheme="majorBidi" w:hAnsiTheme="majorBidi" w:cstheme="majorBidi"/>
          <w:sz w:val="20"/>
        </w:rPr>
      </w:pPr>
    </w:p>
    <w:p w14:paraId="5AA63C3F" w14:textId="3C252A92" w:rsidR="00786A3C" w:rsidRDefault="00786A3C" w:rsidP="00786A3C">
      <w:pPr>
        <w:spacing w:after="60"/>
        <w:rPr>
          <w:rFonts w:ascii="Times New Roman" w:hAnsi="Times New Roman"/>
          <w:b/>
          <w:bCs/>
        </w:rPr>
      </w:pPr>
      <w:r w:rsidRPr="007303D8">
        <w:rPr>
          <w:rFonts w:ascii="Times New Roman" w:hAnsi="Times New Roman"/>
        </w:rPr>
        <w:t xml:space="preserve">Items </w:t>
      </w:r>
      <w:r w:rsidR="00433547">
        <w:rPr>
          <w:rFonts w:ascii="Times New Roman" w:hAnsi="Times New Roman"/>
        </w:rPr>
        <w:t>4</w:t>
      </w:r>
      <w:r w:rsidRPr="007303D8">
        <w:rPr>
          <w:rFonts w:ascii="Times New Roman" w:hAnsi="Times New Roman"/>
        </w:rPr>
        <w:t>(</w:t>
      </w:r>
      <w:r w:rsidR="00433547">
        <w:rPr>
          <w:rFonts w:ascii="Times New Roman" w:hAnsi="Times New Roman"/>
        </w:rPr>
        <w:t>d</w:t>
      </w:r>
      <w:r w:rsidRPr="007303D8">
        <w:rPr>
          <w:rFonts w:ascii="Times New Roman" w:hAnsi="Times New Roman"/>
        </w:rPr>
        <w:t>)</w:t>
      </w:r>
      <w:r>
        <w:rPr>
          <w:rFonts w:ascii="Times New Roman" w:hAnsi="Times New Roman"/>
        </w:rPr>
        <w:t xml:space="preserve"> </w:t>
      </w:r>
      <w:r w:rsidRPr="007303D8">
        <w:rPr>
          <w:rFonts w:ascii="Times New Roman" w:hAnsi="Times New Roman"/>
        </w:rPr>
        <w:t>of the provisional agenda</w:t>
      </w:r>
      <w:r w:rsidRPr="007303D8">
        <w:rPr>
          <w:rStyle w:val="FootnoteReference"/>
          <w:rFonts w:ascii="Times New Roman" w:hAnsi="Times New Roman"/>
        </w:rPr>
        <w:footnoteReference w:id="1"/>
      </w:r>
      <w:r w:rsidRPr="007303D8">
        <w:rPr>
          <w:rFonts w:ascii="Times New Roman" w:hAnsi="Times New Roman"/>
        </w:rPr>
        <w:br/>
      </w:r>
    </w:p>
    <w:p w14:paraId="50DBAD3A" w14:textId="14106651" w:rsidR="00433547" w:rsidRDefault="00433547" w:rsidP="00F371F5">
      <w:pPr>
        <w:rPr>
          <w:rFonts w:ascii="Times New Roman" w:hAnsi="Times New Roman"/>
          <w:bCs/>
          <w:sz w:val="20"/>
          <w:szCs w:val="20"/>
        </w:rPr>
      </w:pPr>
      <w:r w:rsidRPr="00F371F5">
        <w:rPr>
          <w:rFonts w:ascii="Times New Roman" w:hAnsi="Times New Roman"/>
          <w:b/>
          <w:bCs/>
        </w:rPr>
        <w:t>Development of recommendations for consideration by the fifth session of the Conference regarding the Strategic Approach and the sound management of chemicals and waste beyond 2020: Financial considerations</w:t>
      </w:r>
    </w:p>
    <w:p w14:paraId="6C4AD742" w14:textId="77777777" w:rsidR="00433547" w:rsidRPr="00420519" w:rsidRDefault="00433547" w:rsidP="00D811D3">
      <w:pPr>
        <w:rPr>
          <w:rFonts w:asciiTheme="majorBidi" w:hAnsiTheme="majorBidi" w:cstheme="majorBidi"/>
          <w:b/>
          <w:bCs/>
          <w:sz w:val="22"/>
          <w:szCs w:val="22"/>
        </w:rPr>
      </w:pPr>
    </w:p>
    <w:bookmarkEnd w:id="1"/>
    <w:p w14:paraId="0E84BB90" w14:textId="77777777" w:rsidR="00786A3C" w:rsidRDefault="00786A3C" w:rsidP="00786A3C">
      <w:pPr>
        <w:pStyle w:val="CH2"/>
        <w:ind w:left="2494"/>
        <w:rPr>
          <w:rFonts w:eastAsia="Calibri"/>
        </w:rPr>
      </w:pPr>
    </w:p>
    <w:p w14:paraId="103A55A5" w14:textId="08C52763" w:rsidR="00786A3C" w:rsidRPr="00786A3C" w:rsidRDefault="00786A3C" w:rsidP="00786A3C">
      <w:pPr>
        <w:pStyle w:val="CH2"/>
        <w:ind w:left="2494"/>
        <w:rPr>
          <w:rFonts w:eastAsia="Calibri"/>
          <w:sz w:val="28"/>
          <w:szCs w:val="28"/>
        </w:rPr>
      </w:pPr>
      <w:r w:rsidRPr="00786A3C">
        <w:rPr>
          <w:rFonts w:eastAsia="Calibri"/>
          <w:sz w:val="28"/>
          <w:szCs w:val="28"/>
        </w:rPr>
        <w:t>Note by the secretariat</w:t>
      </w:r>
    </w:p>
    <w:p w14:paraId="28F44354" w14:textId="27B00BEC" w:rsidR="00786A3C" w:rsidRPr="00786A3C" w:rsidRDefault="00786A3C" w:rsidP="00D54D68">
      <w:pPr>
        <w:pStyle w:val="ListParagraph"/>
        <w:numPr>
          <w:ilvl w:val="0"/>
          <w:numId w:val="2"/>
        </w:numPr>
        <w:tabs>
          <w:tab w:val="left" w:pos="720"/>
        </w:tabs>
        <w:spacing w:beforeLines="120" w:before="288" w:afterLines="120" w:after="288"/>
        <w:rPr>
          <w:rFonts w:asciiTheme="majorBidi" w:hAnsiTheme="majorBidi" w:cstheme="majorBidi"/>
        </w:rPr>
      </w:pPr>
      <w:r w:rsidRPr="00786A3C">
        <w:rPr>
          <w:rFonts w:asciiTheme="majorBidi" w:hAnsiTheme="majorBidi" w:cstheme="majorBidi"/>
        </w:rPr>
        <w:t xml:space="preserve">The secretariat has the </w:t>
      </w:r>
      <w:proofErr w:type="spellStart"/>
      <w:r w:rsidRPr="00786A3C">
        <w:rPr>
          <w:rFonts w:asciiTheme="majorBidi" w:hAnsiTheme="majorBidi" w:cstheme="majorBidi"/>
        </w:rPr>
        <w:t>honour</w:t>
      </w:r>
      <w:proofErr w:type="spellEnd"/>
      <w:r w:rsidRPr="00786A3C">
        <w:rPr>
          <w:rFonts w:asciiTheme="majorBidi" w:hAnsiTheme="majorBidi" w:cstheme="majorBidi"/>
        </w:rPr>
        <w:t xml:space="preserve"> to submit to the intersessional process a </w:t>
      </w:r>
      <w:r>
        <w:rPr>
          <w:rFonts w:asciiTheme="majorBidi" w:hAnsiTheme="majorBidi" w:cstheme="majorBidi"/>
        </w:rPr>
        <w:t xml:space="preserve">draft </w:t>
      </w:r>
      <w:r w:rsidR="00433547">
        <w:rPr>
          <w:rFonts w:asciiTheme="majorBidi" w:hAnsiTheme="majorBidi" w:cstheme="majorBidi"/>
        </w:rPr>
        <w:t xml:space="preserve">document that </w:t>
      </w:r>
      <w:r>
        <w:rPr>
          <w:rFonts w:asciiTheme="majorBidi" w:hAnsiTheme="majorBidi" w:cstheme="majorBidi"/>
        </w:rPr>
        <w:t>r</w:t>
      </w:r>
      <w:r w:rsidRPr="00786A3C">
        <w:rPr>
          <w:rFonts w:asciiTheme="majorBidi" w:hAnsiTheme="majorBidi" w:cstheme="majorBidi"/>
        </w:rPr>
        <w:t>eview</w:t>
      </w:r>
      <w:r w:rsidR="00433547">
        <w:rPr>
          <w:rFonts w:asciiTheme="majorBidi" w:hAnsiTheme="majorBidi" w:cstheme="majorBidi"/>
        </w:rPr>
        <w:t xml:space="preserve">s </w:t>
      </w:r>
      <w:r w:rsidRPr="00786A3C">
        <w:rPr>
          <w:rFonts w:asciiTheme="majorBidi" w:hAnsiTheme="majorBidi" w:cstheme="majorBidi"/>
        </w:rPr>
        <w:t xml:space="preserve">examples of successful mechanisms for cost recovery and implementation of the </w:t>
      </w:r>
      <w:r>
        <w:rPr>
          <w:rFonts w:asciiTheme="majorBidi" w:hAnsiTheme="majorBidi" w:cstheme="majorBidi"/>
        </w:rPr>
        <w:t>p</w:t>
      </w:r>
      <w:r w:rsidRPr="00786A3C">
        <w:rPr>
          <w:rFonts w:asciiTheme="majorBidi" w:hAnsiTheme="majorBidi" w:cstheme="majorBidi"/>
        </w:rPr>
        <w:t xml:space="preserve">olluter </w:t>
      </w:r>
      <w:r>
        <w:rPr>
          <w:rFonts w:asciiTheme="majorBidi" w:hAnsiTheme="majorBidi" w:cstheme="majorBidi"/>
        </w:rPr>
        <w:t>p</w:t>
      </w:r>
      <w:r w:rsidRPr="00786A3C">
        <w:rPr>
          <w:rFonts w:asciiTheme="majorBidi" w:hAnsiTheme="majorBidi" w:cstheme="majorBidi"/>
        </w:rPr>
        <w:t xml:space="preserve">ays </w:t>
      </w:r>
      <w:r>
        <w:rPr>
          <w:rFonts w:asciiTheme="majorBidi" w:hAnsiTheme="majorBidi" w:cstheme="majorBidi"/>
        </w:rPr>
        <w:t>p</w:t>
      </w:r>
      <w:r w:rsidRPr="00786A3C">
        <w:rPr>
          <w:rFonts w:asciiTheme="majorBidi" w:hAnsiTheme="majorBidi" w:cstheme="majorBidi"/>
        </w:rPr>
        <w:t>rinciple</w:t>
      </w:r>
      <w:r>
        <w:rPr>
          <w:rFonts w:asciiTheme="majorBidi" w:hAnsiTheme="majorBidi" w:cstheme="majorBidi"/>
        </w:rPr>
        <w:t>.</w:t>
      </w:r>
      <w:r w:rsidRPr="00786A3C">
        <w:rPr>
          <w:rFonts w:asciiTheme="majorBidi" w:hAnsiTheme="majorBidi" w:cstheme="majorBidi"/>
        </w:rPr>
        <w:t xml:space="preserve"> The </w:t>
      </w:r>
      <w:r>
        <w:rPr>
          <w:rFonts w:asciiTheme="majorBidi" w:hAnsiTheme="majorBidi" w:cstheme="majorBidi"/>
        </w:rPr>
        <w:t>secretariat</w:t>
      </w:r>
      <w:r w:rsidRPr="00786A3C">
        <w:rPr>
          <w:rFonts w:asciiTheme="majorBidi" w:hAnsiTheme="majorBidi" w:cstheme="majorBidi"/>
        </w:rPr>
        <w:t xml:space="preserve"> </w:t>
      </w:r>
      <w:r>
        <w:rPr>
          <w:rFonts w:asciiTheme="majorBidi" w:hAnsiTheme="majorBidi" w:cstheme="majorBidi"/>
        </w:rPr>
        <w:t>was</w:t>
      </w:r>
      <w:r w:rsidRPr="00786A3C">
        <w:rPr>
          <w:rFonts w:asciiTheme="majorBidi" w:hAnsiTheme="majorBidi" w:cstheme="majorBidi"/>
        </w:rPr>
        <w:t xml:space="preserve"> requested to develop the paper by the third meeting of the Strategic Approach Open-ended Working Group held from 2-4 April 2019 in Montevideo, Uruguay.  </w:t>
      </w:r>
      <w:r w:rsidRPr="00786A3C">
        <w:rPr>
          <w:rFonts w:asciiTheme="majorBidi" w:hAnsiTheme="majorBidi" w:cstheme="majorBidi"/>
        </w:rPr>
        <w:br/>
      </w:r>
    </w:p>
    <w:p w14:paraId="1967ED6F" w14:textId="27C6275D" w:rsidR="00433547" w:rsidRDefault="00786A3C" w:rsidP="00D54D68">
      <w:pPr>
        <w:pStyle w:val="ListParagraph"/>
        <w:numPr>
          <w:ilvl w:val="0"/>
          <w:numId w:val="2"/>
        </w:numPr>
        <w:tabs>
          <w:tab w:val="left" w:pos="720"/>
        </w:tabs>
        <w:spacing w:beforeLines="120" w:before="288" w:afterLines="120" w:after="288"/>
        <w:rPr>
          <w:rFonts w:asciiTheme="majorBidi" w:hAnsiTheme="majorBidi" w:cstheme="majorBidi"/>
        </w:rPr>
      </w:pPr>
      <w:r w:rsidRPr="00786A3C">
        <w:rPr>
          <w:rFonts w:asciiTheme="majorBidi" w:hAnsiTheme="majorBidi" w:cstheme="majorBidi"/>
        </w:rPr>
        <w:t xml:space="preserve">Participants may wish to review the </w:t>
      </w:r>
      <w:r w:rsidR="00433547">
        <w:rPr>
          <w:rFonts w:asciiTheme="majorBidi" w:hAnsiTheme="majorBidi" w:cstheme="majorBidi"/>
        </w:rPr>
        <w:t xml:space="preserve">draft </w:t>
      </w:r>
      <w:proofErr w:type="gramStart"/>
      <w:r w:rsidR="00433547">
        <w:rPr>
          <w:rFonts w:asciiTheme="majorBidi" w:hAnsiTheme="majorBidi" w:cstheme="majorBidi"/>
        </w:rPr>
        <w:t>document  and</w:t>
      </w:r>
      <w:proofErr w:type="gramEnd"/>
      <w:r w:rsidR="00433547">
        <w:rPr>
          <w:rFonts w:asciiTheme="majorBidi" w:hAnsiTheme="majorBidi" w:cstheme="majorBidi"/>
        </w:rPr>
        <w:t xml:space="preserve"> consider it in the discussions under the relevant agenda item.  </w:t>
      </w:r>
    </w:p>
    <w:p w14:paraId="5302D21B" w14:textId="77777777" w:rsidR="00433547" w:rsidRDefault="00433547" w:rsidP="00433547">
      <w:pPr>
        <w:pStyle w:val="ListParagraph"/>
        <w:tabs>
          <w:tab w:val="left" w:pos="720"/>
        </w:tabs>
        <w:spacing w:beforeLines="120" w:before="288" w:afterLines="120" w:after="288"/>
        <w:ind w:left="1607"/>
        <w:rPr>
          <w:rFonts w:asciiTheme="majorBidi" w:hAnsiTheme="majorBidi" w:cstheme="majorBidi"/>
        </w:rPr>
      </w:pPr>
    </w:p>
    <w:p w14:paraId="4C6CBF1C" w14:textId="25379E21" w:rsidR="00433547" w:rsidRDefault="00433547" w:rsidP="00D54D68">
      <w:pPr>
        <w:pStyle w:val="ListParagraph"/>
        <w:numPr>
          <w:ilvl w:val="0"/>
          <w:numId w:val="2"/>
        </w:numPr>
        <w:tabs>
          <w:tab w:val="left" w:pos="720"/>
        </w:tabs>
        <w:spacing w:beforeLines="120" w:before="288" w:afterLines="120" w:after="288"/>
        <w:rPr>
          <w:rFonts w:asciiTheme="majorBidi" w:hAnsiTheme="majorBidi" w:cstheme="majorBidi"/>
        </w:rPr>
      </w:pPr>
      <w:r>
        <w:rPr>
          <w:rFonts w:asciiTheme="majorBidi" w:hAnsiTheme="majorBidi" w:cstheme="majorBidi"/>
        </w:rPr>
        <w:t>Stakeholders are invited to provide comments on the draft document by</w:t>
      </w:r>
      <w:r w:rsidR="00786A3C">
        <w:rPr>
          <w:rFonts w:asciiTheme="majorBidi" w:hAnsiTheme="majorBidi" w:cstheme="majorBidi"/>
        </w:rPr>
        <w:t xml:space="preserve"> 1 November 2019. </w:t>
      </w:r>
      <w:r>
        <w:rPr>
          <w:rFonts w:asciiTheme="majorBidi" w:hAnsiTheme="majorBidi" w:cstheme="majorBidi"/>
        </w:rPr>
        <w:t>Input should be sent to the Strategic Approach secretariat (</w:t>
      </w:r>
      <w:hyperlink r:id="rId11" w:history="1">
        <w:r w:rsidRPr="00433547">
          <w:rPr>
            <w:rFonts w:asciiTheme="majorBidi" w:hAnsiTheme="majorBidi" w:cstheme="majorBidi"/>
          </w:rPr>
          <w:t>saicm.chemicals@un.org</w:t>
        </w:r>
      </w:hyperlink>
      <w:r w:rsidRPr="00433547">
        <w:rPr>
          <w:rFonts w:asciiTheme="majorBidi" w:hAnsiTheme="majorBidi" w:cstheme="majorBidi"/>
        </w:rPr>
        <w:t>).</w:t>
      </w:r>
    </w:p>
    <w:p w14:paraId="02EC67BF" w14:textId="77777777" w:rsidR="00433547" w:rsidRPr="00433547" w:rsidRDefault="00433547" w:rsidP="00433547">
      <w:pPr>
        <w:pStyle w:val="ListParagraph"/>
        <w:rPr>
          <w:rFonts w:asciiTheme="majorBidi" w:hAnsiTheme="majorBidi" w:cstheme="majorBidi"/>
        </w:rPr>
      </w:pPr>
    </w:p>
    <w:p w14:paraId="3DC7C3AF" w14:textId="2342D59F" w:rsidR="00786A3C" w:rsidRPr="00786A3C" w:rsidRDefault="00786A3C" w:rsidP="00D54D68">
      <w:pPr>
        <w:pStyle w:val="ListParagraph"/>
        <w:numPr>
          <w:ilvl w:val="0"/>
          <w:numId w:val="2"/>
        </w:numPr>
        <w:tabs>
          <w:tab w:val="left" w:pos="720"/>
        </w:tabs>
        <w:spacing w:beforeLines="120" w:before="288" w:afterLines="120" w:after="288"/>
        <w:rPr>
          <w:rFonts w:asciiTheme="majorBidi" w:hAnsiTheme="majorBidi" w:cstheme="majorBidi"/>
        </w:rPr>
      </w:pPr>
      <w:r>
        <w:rPr>
          <w:rFonts w:asciiTheme="majorBidi" w:hAnsiTheme="majorBidi" w:cstheme="majorBidi"/>
        </w:rPr>
        <w:t xml:space="preserve">The paper will be </w:t>
      </w:r>
      <w:r w:rsidRPr="00786A3C">
        <w:rPr>
          <w:rFonts w:asciiTheme="majorBidi" w:hAnsiTheme="majorBidi" w:cstheme="majorBidi"/>
        </w:rPr>
        <w:t xml:space="preserve">finalized for consideration </w:t>
      </w:r>
      <w:r w:rsidR="00433547">
        <w:rPr>
          <w:rFonts w:asciiTheme="majorBidi" w:hAnsiTheme="majorBidi" w:cstheme="majorBidi"/>
        </w:rPr>
        <w:t xml:space="preserve">of </w:t>
      </w:r>
      <w:r w:rsidRPr="00786A3C">
        <w:rPr>
          <w:rFonts w:asciiTheme="majorBidi" w:hAnsiTheme="majorBidi" w:cstheme="majorBidi"/>
        </w:rPr>
        <w:t xml:space="preserve">the fourth meeting of the intersessional process in Bucharest, Romania, from 23 to 27 March 2020. </w:t>
      </w:r>
    </w:p>
    <w:p w14:paraId="33AAE612" w14:textId="77777777" w:rsidR="00786A3C" w:rsidRPr="007303D8" w:rsidRDefault="00786A3C" w:rsidP="00786A3C">
      <w:pPr>
        <w:pStyle w:val="ListParagraph"/>
        <w:tabs>
          <w:tab w:val="left" w:pos="720"/>
        </w:tabs>
        <w:spacing w:beforeLines="120" w:before="288" w:afterLines="120" w:after="288"/>
        <w:ind w:left="1607"/>
        <w:rPr>
          <w:rFonts w:asciiTheme="majorBidi" w:hAnsiTheme="majorBidi" w:cstheme="majorBidi"/>
          <w:sz w:val="22"/>
          <w:szCs w:val="22"/>
        </w:rPr>
      </w:pPr>
    </w:p>
    <w:p w14:paraId="4661FFBC" w14:textId="77777777" w:rsidR="00310FA0" w:rsidRPr="00310FA0" w:rsidRDefault="00310FA0" w:rsidP="00786A3C">
      <w:pPr>
        <w:tabs>
          <w:tab w:val="left" w:pos="720"/>
        </w:tabs>
        <w:spacing w:beforeLines="120" w:before="288" w:afterLines="120" w:after="288"/>
        <w:rPr>
          <w:rFonts w:asciiTheme="majorBidi" w:hAnsiTheme="majorBidi" w:cstheme="majorBidi"/>
          <w:sz w:val="22"/>
          <w:szCs w:val="22"/>
        </w:rPr>
      </w:pPr>
    </w:p>
    <w:p w14:paraId="3D8D56B2" w14:textId="7243D044" w:rsidR="00F60ADC" w:rsidRPr="00E82E60" w:rsidRDefault="00F60ADC" w:rsidP="00BC5218">
      <w:pPr>
        <w:tabs>
          <w:tab w:val="left" w:pos="720"/>
        </w:tabs>
        <w:rPr>
          <w:rFonts w:asciiTheme="majorBidi" w:hAnsiTheme="majorBidi" w:cstheme="majorBidi"/>
          <w:b/>
          <w:bCs/>
          <w:noProof/>
          <w:sz w:val="22"/>
          <w:szCs w:val="22"/>
        </w:rPr>
      </w:pPr>
    </w:p>
    <w:p w14:paraId="2E99A63B" w14:textId="578B0411" w:rsidR="00F60ADC" w:rsidRPr="00E82E60" w:rsidRDefault="00F60ADC" w:rsidP="00BC5218">
      <w:pPr>
        <w:tabs>
          <w:tab w:val="left" w:pos="720"/>
        </w:tabs>
        <w:rPr>
          <w:rFonts w:asciiTheme="majorBidi" w:hAnsiTheme="majorBidi" w:cstheme="majorBidi"/>
          <w:b/>
          <w:bCs/>
          <w:noProof/>
          <w:sz w:val="22"/>
          <w:szCs w:val="22"/>
        </w:rPr>
      </w:pPr>
    </w:p>
    <w:p w14:paraId="4A034624" w14:textId="77777777" w:rsidR="00ED099B" w:rsidRPr="00E82E60" w:rsidRDefault="00ED099B" w:rsidP="00ED099B">
      <w:pPr>
        <w:rPr>
          <w:rFonts w:asciiTheme="majorBidi" w:hAnsiTheme="majorBidi" w:cstheme="majorBidi"/>
          <w:b/>
          <w:sz w:val="28"/>
          <w:szCs w:val="28"/>
        </w:rPr>
      </w:pPr>
      <w:r w:rsidRPr="0013103D">
        <w:rPr>
          <w:rFonts w:asciiTheme="majorBidi" w:hAnsiTheme="majorBidi" w:cstheme="majorBidi"/>
          <w:b/>
          <w:sz w:val="28"/>
          <w:szCs w:val="28"/>
        </w:rPr>
        <w:lastRenderedPageBreak/>
        <w:t>Annex</w:t>
      </w:r>
    </w:p>
    <w:p w14:paraId="3E55E379" w14:textId="77777777" w:rsidR="00D255B4" w:rsidRDefault="00D255B4" w:rsidP="00ED099B">
      <w:pPr>
        <w:rPr>
          <w:rFonts w:asciiTheme="majorBidi" w:hAnsiTheme="majorBidi" w:cstheme="majorBidi"/>
          <w:b/>
          <w:sz w:val="28"/>
          <w:szCs w:val="28"/>
        </w:rPr>
      </w:pPr>
    </w:p>
    <w:p w14:paraId="6B8987DC" w14:textId="77777777" w:rsidR="00D255B4" w:rsidRDefault="00D255B4" w:rsidP="00D255B4">
      <w:pPr>
        <w:pStyle w:val="Title"/>
        <w:jc w:val="center"/>
        <w:rPr>
          <w:b/>
          <w:bCs/>
          <w:sz w:val="52"/>
          <w:szCs w:val="52"/>
        </w:rPr>
      </w:pPr>
      <w:bookmarkStart w:id="2" w:name="_Hlk16689688"/>
    </w:p>
    <w:p w14:paraId="372E8EE5" w14:textId="77777777" w:rsidR="00D255B4" w:rsidRDefault="00D255B4" w:rsidP="00D255B4">
      <w:pPr>
        <w:pStyle w:val="Title"/>
        <w:jc w:val="center"/>
        <w:rPr>
          <w:b/>
          <w:bCs/>
          <w:sz w:val="52"/>
          <w:szCs w:val="52"/>
        </w:rPr>
      </w:pPr>
    </w:p>
    <w:p w14:paraId="1E13374F" w14:textId="77777777" w:rsidR="00D255B4" w:rsidRDefault="00D255B4" w:rsidP="00D255B4">
      <w:pPr>
        <w:pStyle w:val="Title"/>
        <w:jc w:val="center"/>
        <w:rPr>
          <w:b/>
          <w:bCs/>
          <w:sz w:val="52"/>
          <w:szCs w:val="52"/>
        </w:rPr>
      </w:pPr>
    </w:p>
    <w:p w14:paraId="6D5E9EB0" w14:textId="77777777" w:rsidR="00D255B4" w:rsidRDefault="00D255B4" w:rsidP="00D255B4">
      <w:pPr>
        <w:pStyle w:val="Title"/>
        <w:jc w:val="center"/>
        <w:rPr>
          <w:b/>
          <w:bCs/>
          <w:sz w:val="52"/>
          <w:szCs w:val="52"/>
        </w:rPr>
      </w:pPr>
    </w:p>
    <w:p w14:paraId="162DFE68" w14:textId="623D8686" w:rsidR="00D255B4" w:rsidRDefault="00D255B4" w:rsidP="00D255B4">
      <w:pPr>
        <w:pStyle w:val="Title"/>
        <w:jc w:val="center"/>
        <w:rPr>
          <w:b/>
          <w:bCs/>
          <w:sz w:val="52"/>
          <w:szCs w:val="52"/>
        </w:rPr>
      </w:pPr>
      <w:r>
        <w:rPr>
          <w:b/>
          <w:bCs/>
          <w:sz w:val="52"/>
          <w:szCs w:val="52"/>
        </w:rPr>
        <w:t>Draft</w:t>
      </w:r>
    </w:p>
    <w:p w14:paraId="7D859C71" w14:textId="77777777" w:rsidR="00D255B4" w:rsidRDefault="00D255B4" w:rsidP="00D255B4">
      <w:pPr>
        <w:pStyle w:val="Title"/>
        <w:jc w:val="center"/>
        <w:rPr>
          <w:b/>
          <w:bCs/>
          <w:sz w:val="52"/>
          <w:szCs w:val="52"/>
        </w:rPr>
      </w:pPr>
    </w:p>
    <w:p w14:paraId="09CF91E4" w14:textId="77777777" w:rsidR="00D255B4" w:rsidRDefault="00D255B4" w:rsidP="00D255B4">
      <w:pPr>
        <w:pStyle w:val="Title"/>
        <w:jc w:val="center"/>
        <w:rPr>
          <w:b/>
          <w:bCs/>
          <w:sz w:val="52"/>
          <w:szCs w:val="52"/>
        </w:rPr>
      </w:pPr>
      <w:r w:rsidRPr="009F0AF9">
        <w:rPr>
          <w:b/>
          <w:bCs/>
          <w:sz w:val="52"/>
          <w:szCs w:val="52"/>
        </w:rPr>
        <w:t>Review of examples of successful mechanisms for cost recovery and implementation of the Polluter Pays Principle</w:t>
      </w:r>
    </w:p>
    <w:p w14:paraId="7B1C8E99" w14:textId="77777777" w:rsidR="00D255B4" w:rsidRPr="009F0AF9" w:rsidRDefault="00D255B4" w:rsidP="00D255B4"/>
    <w:p w14:paraId="11977B52" w14:textId="77777777" w:rsidR="00D255B4" w:rsidRDefault="00D255B4" w:rsidP="00D255B4"/>
    <w:p w14:paraId="7B62B674" w14:textId="77777777" w:rsidR="00D255B4" w:rsidRDefault="00D255B4" w:rsidP="00D255B4"/>
    <w:p w14:paraId="14FE6CCA" w14:textId="77777777" w:rsidR="00D255B4" w:rsidRDefault="00D255B4" w:rsidP="00D255B4">
      <w:pPr>
        <w:jc w:val="center"/>
      </w:pPr>
    </w:p>
    <w:p w14:paraId="7FA0438A" w14:textId="77777777" w:rsidR="00D255B4" w:rsidRDefault="00D255B4" w:rsidP="00D255B4"/>
    <w:p w14:paraId="424C143F" w14:textId="77777777" w:rsidR="00D255B4" w:rsidRDefault="00D255B4" w:rsidP="00D255B4"/>
    <w:p w14:paraId="7BB18C53" w14:textId="77777777" w:rsidR="00D255B4" w:rsidRDefault="00D255B4" w:rsidP="00D255B4"/>
    <w:p w14:paraId="65614B61" w14:textId="77777777" w:rsidR="00D255B4" w:rsidRDefault="00D255B4" w:rsidP="00D255B4"/>
    <w:p w14:paraId="6095B28F" w14:textId="77777777" w:rsidR="00D255B4" w:rsidRDefault="00D255B4" w:rsidP="00D255B4"/>
    <w:p w14:paraId="69F00E7C" w14:textId="77777777" w:rsidR="00D255B4" w:rsidRDefault="00D255B4" w:rsidP="00D255B4"/>
    <w:p w14:paraId="39689286" w14:textId="77777777" w:rsidR="00D255B4" w:rsidRDefault="00D255B4" w:rsidP="00D255B4"/>
    <w:p w14:paraId="7BC9F299" w14:textId="77777777" w:rsidR="00D255B4" w:rsidRDefault="00D255B4" w:rsidP="00D255B4"/>
    <w:p w14:paraId="0D6CC235" w14:textId="77777777" w:rsidR="00D255B4" w:rsidRDefault="00D255B4" w:rsidP="00D255B4"/>
    <w:p w14:paraId="20633104" w14:textId="77777777" w:rsidR="00D255B4" w:rsidRDefault="00D255B4" w:rsidP="00D255B4"/>
    <w:p w14:paraId="185C1E0D" w14:textId="77777777" w:rsidR="00D255B4" w:rsidRDefault="00D255B4" w:rsidP="00D255B4"/>
    <w:p w14:paraId="20F9AA06" w14:textId="77777777" w:rsidR="00D255B4" w:rsidRDefault="00D255B4" w:rsidP="00D255B4"/>
    <w:p w14:paraId="29671E33" w14:textId="77777777" w:rsidR="00D255B4" w:rsidRDefault="00D255B4" w:rsidP="00D255B4"/>
    <w:p w14:paraId="73FE447B" w14:textId="77777777" w:rsidR="00D255B4" w:rsidRDefault="00D255B4" w:rsidP="00D255B4"/>
    <w:p w14:paraId="7C960BD8" w14:textId="77777777" w:rsidR="00D255B4" w:rsidRDefault="00D255B4" w:rsidP="00D255B4"/>
    <w:p w14:paraId="235147F2" w14:textId="77777777" w:rsidR="00D255B4" w:rsidRDefault="00D255B4" w:rsidP="00D255B4"/>
    <w:p w14:paraId="0041C6BD" w14:textId="77777777" w:rsidR="00D255B4" w:rsidRDefault="00D255B4" w:rsidP="00D255B4"/>
    <w:p w14:paraId="7672007F" w14:textId="77777777" w:rsidR="00D255B4" w:rsidRDefault="00D255B4" w:rsidP="00D255B4"/>
    <w:p w14:paraId="0E89FF0D" w14:textId="77777777" w:rsidR="00D255B4" w:rsidRDefault="00D255B4" w:rsidP="00D255B4"/>
    <w:p w14:paraId="5F0A61C6" w14:textId="77777777" w:rsidR="00D255B4" w:rsidRDefault="00D255B4" w:rsidP="00D255B4">
      <w:pPr>
        <w:jc w:val="right"/>
      </w:pPr>
      <w:r>
        <w:t>13 September 2019</w:t>
      </w:r>
    </w:p>
    <w:sdt>
      <w:sdtPr>
        <w:rPr>
          <w:rFonts w:ascii="Calibri" w:eastAsiaTheme="minorHAnsi" w:hAnsi="Calibri" w:cs="Calibri"/>
          <w:color w:val="auto"/>
          <w:sz w:val="22"/>
          <w:szCs w:val="22"/>
        </w:rPr>
        <w:id w:val="-1571186469"/>
        <w:docPartObj>
          <w:docPartGallery w:val="Table of Contents"/>
          <w:docPartUnique/>
        </w:docPartObj>
      </w:sdtPr>
      <w:sdtEndPr>
        <w:rPr>
          <w:rFonts w:asciiTheme="minorHAnsi" w:hAnsiTheme="minorHAnsi" w:cstheme="minorBidi"/>
          <w:b/>
          <w:bCs/>
          <w:noProof/>
          <w:sz w:val="24"/>
          <w:szCs w:val="24"/>
        </w:rPr>
      </w:sdtEndPr>
      <w:sdtContent>
        <w:p w14:paraId="09A95684" w14:textId="77777777" w:rsidR="00D255B4" w:rsidRDefault="00D255B4" w:rsidP="00D255B4">
          <w:pPr>
            <w:pStyle w:val="TOCHeading"/>
          </w:pPr>
          <w:r>
            <w:t>Contents</w:t>
          </w:r>
        </w:p>
        <w:p w14:paraId="4068C3C5" w14:textId="5ABFC075" w:rsidR="00D255B4" w:rsidRDefault="00D255B4" w:rsidP="00D255B4">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9213811" w:history="1">
            <w:r w:rsidRPr="009C5785">
              <w:rPr>
                <w:rStyle w:val="Hyperlink"/>
                <w:noProof/>
              </w:rPr>
              <w:t>1.</w:t>
            </w:r>
            <w:r>
              <w:rPr>
                <w:rFonts w:asciiTheme="minorHAnsi" w:eastAsiaTheme="minorEastAsia" w:hAnsiTheme="minorHAnsi" w:cstheme="minorBidi"/>
                <w:noProof/>
              </w:rPr>
              <w:tab/>
            </w:r>
            <w:r w:rsidRPr="009C5785">
              <w:rPr>
                <w:rStyle w:val="Hyperlink"/>
                <w:noProof/>
              </w:rPr>
              <w:t>Introduction</w:t>
            </w:r>
            <w:r>
              <w:rPr>
                <w:noProof/>
                <w:webHidden/>
              </w:rPr>
              <w:tab/>
            </w:r>
            <w:r>
              <w:rPr>
                <w:noProof/>
                <w:webHidden/>
              </w:rPr>
              <w:fldChar w:fldCharType="begin"/>
            </w:r>
            <w:r>
              <w:rPr>
                <w:noProof/>
                <w:webHidden/>
              </w:rPr>
              <w:instrText xml:space="preserve"> PAGEREF _Toc19213811 \h </w:instrText>
            </w:r>
            <w:r>
              <w:rPr>
                <w:noProof/>
                <w:webHidden/>
              </w:rPr>
            </w:r>
            <w:r>
              <w:rPr>
                <w:noProof/>
                <w:webHidden/>
              </w:rPr>
              <w:fldChar w:fldCharType="separate"/>
            </w:r>
            <w:r w:rsidR="00334A84">
              <w:rPr>
                <w:noProof/>
                <w:webHidden/>
              </w:rPr>
              <w:t>4</w:t>
            </w:r>
            <w:r>
              <w:rPr>
                <w:noProof/>
                <w:webHidden/>
              </w:rPr>
              <w:fldChar w:fldCharType="end"/>
            </w:r>
          </w:hyperlink>
        </w:p>
        <w:p w14:paraId="0E2B30CA" w14:textId="40D657B2" w:rsidR="00D255B4" w:rsidRDefault="00D255B4" w:rsidP="00D255B4">
          <w:pPr>
            <w:pStyle w:val="TOC1"/>
            <w:tabs>
              <w:tab w:val="left" w:pos="440"/>
              <w:tab w:val="right" w:leader="dot" w:pos="9350"/>
            </w:tabs>
            <w:rPr>
              <w:rFonts w:asciiTheme="minorHAnsi" w:eastAsiaTheme="minorEastAsia" w:hAnsiTheme="minorHAnsi" w:cstheme="minorBidi"/>
              <w:noProof/>
            </w:rPr>
          </w:pPr>
          <w:hyperlink w:anchor="_Toc19213812" w:history="1">
            <w:r w:rsidRPr="009C5785">
              <w:rPr>
                <w:rStyle w:val="Hyperlink"/>
                <w:noProof/>
              </w:rPr>
              <w:t>2.</w:t>
            </w:r>
            <w:r>
              <w:rPr>
                <w:rFonts w:asciiTheme="minorHAnsi" w:eastAsiaTheme="minorEastAsia" w:hAnsiTheme="minorHAnsi" w:cstheme="minorBidi"/>
                <w:noProof/>
              </w:rPr>
              <w:tab/>
            </w:r>
            <w:r w:rsidRPr="009C5785">
              <w:rPr>
                <w:rStyle w:val="Hyperlink"/>
                <w:noProof/>
              </w:rPr>
              <w:t>Background</w:t>
            </w:r>
            <w:r>
              <w:rPr>
                <w:noProof/>
                <w:webHidden/>
              </w:rPr>
              <w:tab/>
            </w:r>
            <w:r>
              <w:rPr>
                <w:noProof/>
                <w:webHidden/>
              </w:rPr>
              <w:fldChar w:fldCharType="begin"/>
            </w:r>
            <w:r>
              <w:rPr>
                <w:noProof/>
                <w:webHidden/>
              </w:rPr>
              <w:instrText xml:space="preserve"> PAGEREF _Toc19213812 \h </w:instrText>
            </w:r>
            <w:r>
              <w:rPr>
                <w:noProof/>
                <w:webHidden/>
              </w:rPr>
            </w:r>
            <w:r>
              <w:rPr>
                <w:noProof/>
                <w:webHidden/>
              </w:rPr>
              <w:fldChar w:fldCharType="separate"/>
            </w:r>
            <w:r w:rsidR="00334A84">
              <w:rPr>
                <w:noProof/>
                <w:webHidden/>
              </w:rPr>
              <w:t>6</w:t>
            </w:r>
            <w:r>
              <w:rPr>
                <w:noProof/>
                <w:webHidden/>
              </w:rPr>
              <w:fldChar w:fldCharType="end"/>
            </w:r>
          </w:hyperlink>
        </w:p>
        <w:p w14:paraId="29FB6F27" w14:textId="6688FC29" w:rsidR="00D255B4" w:rsidRDefault="00D255B4" w:rsidP="00D255B4">
          <w:pPr>
            <w:pStyle w:val="TOC2"/>
            <w:tabs>
              <w:tab w:val="right" w:leader="dot" w:pos="9350"/>
            </w:tabs>
            <w:rPr>
              <w:rFonts w:asciiTheme="minorHAnsi" w:eastAsiaTheme="minorEastAsia" w:hAnsiTheme="minorHAnsi" w:cstheme="minorBidi"/>
              <w:noProof/>
            </w:rPr>
          </w:pPr>
          <w:hyperlink w:anchor="_Toc19213813" w:history="1">
            <w:r w:rsidRPr="009C5785">
              <w:rPr>
                <w:rStyle w:val="Hyperlink"/>
                <w:noProof/>
              </w:rPr>
              <w:t>2.1 Industry involvement</w:t>
            </w:r>
            <w:r>
              <w:rPr>
                <w:noProof/>
                <w:webHidden/>
              </w:rPr>
              <w:tab/>
            </w:r>
            <w:r>
              <w:rPr>
                <w:noProof/>
                <w:webHidden/>
              </w:rPr>
              <w:fldChar w:fldCharType="begin"/>
            </w:r>
            <w:r>
              <w:rPr>
                <w:noProof/>
                <w:webHidden/>
              </w:rPr>
              <w:instrText xml:space="preserve"> PAGEREF _Toc19213813 \h </w:instrText>
            </w:r>
            <w:r>
              <w:rPr>
                <w:noProof/>
                <w:webHidden/>
              </w:rPr>
            </w:r>
            <w:r>
              <w:rPr>
                <w:noProof/>
                <w:webHidden/>
              </w:rPr>
              <w:fldChar w:fldCharType="separate"/>
            </w:r>
            <w:r w:rsidR="00334A84">
              <w:rPr>
                <w:noProof/>
                <w:webHidden/>
              </w:rPr>
              <w:t>6</w:t>
            </w:r>
            <w:r>
              <w:rPr>
                <w:noProof/>
                <w:webHidden/>
              </w:rPr>
              <w:fldChar w:fldCharType="end"/>
            </w:r>
          </w:hyperlink>
        </w:p>
        <w:p w14:paraId="2DE406BB" w14:textId="6F59668C" w:rsidR="00D255B4" w:rsidRDefault="00D255B4" w:rsidP="00D255B4">
          <w:pPr>
            <w:pStyle w:val="TOC2"/>
            <w:tabs>
              <w:tab w:val="right" w:leader="dot" w:pos="9350"/>
            </w:tabs>
            <w:rPr>
              <w:rFonts w:asciiTheme="minorHAnsi" w:eastAsiaTheme="minorEastAsia" w:hAnsiTheme="minorHAnsi" w:cstheme="minorBidi"/>
              <w:noProof/>
            </w:rPr>
          </w:pPr>
          <w:hyperlink w:anchor="_Toc19213814" w:history="1">
            <w:r w:rsidRPr="009C5785">
              <w:rPr>
                <w:rStyle w:val="Hyperlink"/>
                <w:noProof/>
              </w:rPr>
              <w:t>2.2 Definitions</w:t>
            </w:r>
            <w:r>
              <w:rPr>
                <w:noProof/>
                <w:webHidden/>
              </w:rPr>
              <w:tab/>
            </w:r>
            <w:r>
              <w:rPr>
                <w:noProof/>
                <w:webHidden/>
              </w:rPr>
              <w:fldChar w:fldCharType="begin"/>
            </w:r>
            <w:r>
              <w:rPr>
                <w:noProof/>
                <w:webHidden/>
              </w:rPr>
              <w:instrText xml:space="preserve"> PAGEREF _Toc19213814 \h </w:instrText>
            </w:r>
            <w:r>
              <w:rPr>
                <w:noProof/>
                <w:webHidden/>
              </w:rPr>
            </w:r>
            <w:r>
              <w:rPr>
                <w:noProof/>
                <w:webHidden/>
              </w:rPr>
              <w:fldChar w:fldCharType="separate"/>
            </w:r>
            <w:r w:rsidR="00334A84">
              <w:rPr>
                <w:noProof/>
                <w:webHidden/>
              </w:rPr>
              <w:t>7</w:t>
            </w:r>
            <w:r>
              <w:rPr>
                <w:noProof/>
                <w:webHidden/>
              </w:rPr>
              <w:fldChar w:fldCharType="end"/>
            </w:r>
          </w:hyperlink>
        </w:p>
        <w:p w14:paraId="1FE30C6D" w14:textId="0517EB61" w:rsidR="00D255B4" w:rsidRDefault="00D255B4" w:rsidP="00D255B4">
          <w:pPr>
            <w:pStyle w:val="TOC2"/>
            <w:tabs>
              <w:tab w:val="right" w:leader="dot" w:pos="9350"/>
            </w:tabs>
            <w:rPr>
              <w:rFonts w:asciiTheme="minorHAnsi" w:eastAsiaTheme="minorEastAsia" w:hAnsiTheme="minorHAnsi" w:cstheme="minorBidi"/>
              <w:noProof/>
            </w:rPr>
          </w:pPr>
          <w:hyperlink w:anchor="_Toc19213815" w:history="1">
            <w:r w:rsidRPr="009C5785">
              <w:rPr>
                <w:rStyle w:val="Hyperlink"/>
                <w:noProof/>
              </w:rPr>
              <w:t>2.3 Methodology</w:t>
            </w:r>
            <w:r>
              <w:rPr>
                <w:noProof/>
                <w:webHidden/>
              </w:rPr>
              <w:tab/>
            </w:r>
            <w:r>
              <w:rPr>
                <w:noProof/>
                <w:webHidden/>
              </w:rPr>
              <w:fldChar w:fldCharType="begin"/>
            </w:r>
            <w:r>
              <w:rPr>
                <w:noProof/>
                <w:webHidden/>
              </w:rPr>
              <w:instrText xml:space="preserve"> PAGEREF _Toc19213815 \h </w:instrText>
            </w:r>
            <w:r>
              <w:rPr>
                <w:noProof/>
                <w:webHidden/>
              </w:rPr>
            </w:r>
            <w:r>
              <w:rPr>
                <w:noProof/>
                <w:webHidden/>
              </w:rPr>
              <w:fldChar w:fldCharType="separate"/>
            </w:r>
            <w:r w:rsidR="00334A84">
              <w:rPr>
                <w:noProof/>
                <w:webHidden/>
              </w:rPr>
              <w:t>8</w:t>
            </w:r>
            <w:r>
              <w:rPr>
                <w:noProof/>
                <w:webHidden/>
              </w:rPr>
              <w:fldChar w:fldCharType="end"/>
            </w:r>
          </w:hyperlink>
        </w:p>
        <w:p w14:paraId="646078ED" w14:textId="7C8EE966" w:rsidR="00D255B4" w:rsidRDefault="00D255B4" w:rsidP="00D255B4">
          <w:pPr>
            <w:pStyle w:val="TOC1"/>
            <w:tabs>
              <w:tab w:val="left" w:pos="440"/>
              <w:tab w:val="right" w:leader="dot" w:pos="9350"/>
            </w:tabs>
            <w:rPr>
              <w:rFonts w:asciiTheme="minorHAnsi" w:eastAsiaTheme="minorEastAsia" w:hAnsiTheme="minorHAnsi" w:cstheme="minorBidi"/>
              <w:noProof/>
            </w:rPr>
          </w:pPr>
          <w:hyperlink w:anchor="_Toc19213816" w:history="1">
            <w:r w:rsidRPr="009C5785">
              <w:rPr>
                <w:rStyle w:val="Hyperlink"/>
                <w:noProof/>
              </w:rPr>
              <w:t>3.</w:t>
            </w:r>
            <w:r>
              <w:rPr>
                <w:rFonts w:asciiTheme="minorHAnsi" w:eastAsiaTheme="minorEastAsia" w:hAnsiTheme="minorHAnsi" w:cstheme="minorBidi"/>
                <w:noProof/>
              </w:rPr>
              <w:tab/>
            </w:r>
            <w:r w:rsidRPr="009C5785">
              <w:rPr>
                <w:rStyle w:val="Hyperlink"/>
                <w:noProof/>
              </w:rPr>
              <w:t>Polluter Pays Principle</w:t>
            </w:r>
            <w:r>
              <w:rPr>
                <w:noProof/>
                <w:webHidden/>
              </w:rPr>
              <w:tab/>
            </w:r>
            <w:r>
              <w:rPr>
                <w:noProof/>
                <w:webHidden/>
              </w:rPr>
              <w:fldChar w:fldCharType="begin"/>
            </w:r>
            <w:r>
              <w:rPr>
                <w:noProof/>
                <w:webHidden/>
              </w:rPr>
              <w:instrText xml:space="preserve"> PAGEREF _Toc19213816 \h </w:instrText>
            </w:r>
            <w:r>
              <w:rPr>
                <w:noProof/>
                <w:webHidden/>
              </w:rPr>
            </w:r>
            <w:r>
              <w:rPr>
                <w:noProof/>
                <w:webHidden/>
              </w:rPr>
              <w:fldChar w:fldCharType="separate"/>
            </w:r>
            <w:r w:rsidR="00334A84">
              <w:rPr>
                <w:noProof/>
                <w:webHidden/>
              </w:rPr>
              <w:t>9</w:t>
            </w:r>
            <w:r>
              <w:rPr>
                <w:noProof/>
                <w:webHidden/>
              </w:rPr>
              <w:fldChar w:fldCharType="end"/>
            </w:r>
          </w:hyperlink>
        </w:p>
        <w:p w14:paraId="640C194D" w14:textId="4BB26B22" w:rsidR="00D255B4" w:rsidRDefault="00D255B4" w:rsidP="00D255B4">
          <w:pPr>
            <w:pStyle w:val="TOC1"/>
            <w:tabs>
              <w:tab w:val="left" w:pos="440"/>
              <w:tab w:val="right" w:leader="dot" w:pos="9350"/>
            </w:tabs>
            <w:rPr>
              <w:rFonts w:asciiTheme="minorHAnsi" w:eastAsiaTheme="minorEastAsia" w:hAnsiTheme="minorHAnsi" w:cstheme="minorBidi"/>
              <w:noProof/>
            </w:rPr>
          </w:pPr>
          <w:hyperlink w:anchor="_Toc19213817" w:history="1">
            <w:r w:rsidRPr="009C5785">
              <w:rPr>
                <w:rStyle w:val="Hyperlink"/>
                <w:noProof/>
              </w:rPr>
              <w:t>4.</w:t>
            </w:r>
            <w:r>
              <w:rPr>
                <w:rFonts w:asciiTheme="minorHAnsi" w:eastAsiaTheme="minorEastAsia" w:hAnsiTheme="minorHAnsi" w:cstheme="minorBidi"/>
                <w:noProof/>
              </w:rPr>
              <w:tab/>
            </w:r>
            <w:r w:rsidRPr="009C5785">
              <w:rPr>
                <w:rStyle w:val="Hyperlink"/>
                <w:noProof/>
              </w:rPr>
              <w:t>Cost recovery</w:t>
            </w:r>
            <w:r>
              <w:rPr>
                <w:noProof/>
                <w:webHidden/>
              </w:rPr>
              <w:tab/>
            </w:r>
            <w:r>
              <w:rPr>
                <w:noProof/>
                <w:webHidden/>
              </w:rPr>
              <w:fldChar w:fldCharType="begin"/>
            </w:r>
            <w:r>
              <w:rPr>
                <w:noProof/>
                <w:webHidden/>
              </w:rPr>
              <w:instrText xml:space="preserve"> PAGEREF _Toc19213817 \h </w:instrText>
            </w:r>
            <w:r>
              <w:rPr>
                <w:noProof/>
                <w:webHidden/>
              </w:rPr>
            </w:r>
            <w:r>
              <w:rPr>
                <w:noProof/>
                <w:webHidden/>
              </w:rPr>
              <w:fldChar w:fldCharType="separate"/>
            </w:r>
            <w:r w:rsidR="00334A84">
              <w:rPr>
                <w:noProof/>
                <w:webHidden/>
              </w:rPr>
              <w:t>11</w:t>
            </w:r>
            <w:r>
              <w:rPr>
                <w:noProof/>
                <w:webHidden/>
              </w:rPr>
              <w:fldChar w:fldCharType="end"/>
            </w:r>
          </w:hyperlink>
        </w:p>
        <w:p w14:paraId="3F338CD1" w14:textId="171E7C09" w:rsidR="00D255B4" w:rsidRDefault="00D255B4" w:rsidP="00D255B4">
          <w:pPr>
            <w:pStyle w:val="TOC2"/>
            <w:tabs>
              <w:tab w:val="right" w:leader="dot" w:pos="9350"/>
            </w:tabs>
            <w:rPr>
              <w:rFonts w:asciiTheme="minorHAnsi" w:eastAsiaTheme="minorEastAsia" w:hAnsiTheme="minorHAnsi" w:cstheme="minorBidi"/>
              <w:noProof/>
            </w:rPr>
          </w:pPr>
          <w:hyperlink w:anchor="_Toc19213818" w:history="1">
            <w:r w:rsidRPr="009C5785">
              <w:rPr>
                <w:rStyle w:val="Hyperlink"/>
                <w:noProof/>
              </w:rPr>
              <w:t>4.1 Annual fees</w:t>
            </w:r>
            <w:r>
              <w:rPr>
                <w:noProof/>
                <w:webHidden/>
              </w:rPr>
              <w:tab/>
            </w:r>
            <w:r>
              <w:rPr>
                <w:noProof/>
                <w:webHidden/>
              </w:rPr>
              <w:fldChar w:fldCharType="begin"/>
            </w:r>
            <w:r>
              <w:rPr>
                <w:noProof/>
                <w:webHidden/>
              </w:rPr>
              <w:instrText xml:space="preserve"> PAGEREF _Toc19213818 \h </w:instrText>
            </w:r>
            <w:r>
              <w:rPr>
                <w:noProof/>
                <w:webHidden/>
              </w:rPr>
            </w:r>
            <w:r>
              <w:rPr>
                <w:noProof/>
                <w:webHidden/>
              </w:rPr>
              <w:fldChar w:fldCharType="separate"/>
            </w:r>
            <w:r w:rsidR="00334A84">
              <w:rPr>
                <w:noProof/>
                <w:webHidden/>
              </w:rPr>
              <w:t>12</w:t>
            </w:r>
            <w:r>
              <w:rPr>
                <w:noProof/>
                <w:webHidden/>
              </w:rPr>
              <w:fldChar w:fldCharType="end"/>
            </w:r>
          </w:hyperlink>
        </w:p>
        <w:p w14:paraId="37AE12B5" w14:textId="350520D7" w:rsidR="00D255B4" w:rsidRDefault="00D255B4" w:rsidP="00D255B4">
          <w:pPr>
            <w:pStyle w:val="TOC2"/>
            <w:tabs>
              <w:tab w:val="right" w:leader="dot" w:pos="9350"/>
            </w:tabs>
            <w:rPr>
              <w:rFonts w:asciiTheme="minorHAnsi" w:eastAsiaTheme="minorEastAsia" w:hAnsiTheme="minorHAnsi" w:cstheme="minorBidi"/>
              <w:noProof/>
            </w:rPr>
          </w:pPr>
          <w:hyperlink w:anchor="_Toc19213819" w:history="1">
            <w:r w:rsidRPr="009C5785">
              <w:rPr>
                <w:rStyle w:val="Hyperlink"/>
                <w:noProof/>
              </w:rPr>
              <w:t>4.2 Fees per service</w:t>
            </w:r>
            <w:r>
              <w:rPr>
                <w:noProof/>
                <w:webHidden/>
              </w:rPr>
              <w:tab/>
            </w:r>
            <w:r>
              <w:rPr>
                <w:noProof/>
                <w:webHidden/>
              </w:rPr>
              <w:fldChar w:fldCharType="begin"/>
            </w:r>
            <w:r>
              <w:rPr>
                <w:noProof/>
                <w:webHidden/>
              </w:rPr>
              <w:instrText xml:space="preserve"> PAGEREF _Toc19213819 \h </w:instrText>
            </w:r>
            <w:r>
              <w:rPr>
                <w:noProof/>
                <w:webHidden/>
              </w:rPr>
            </w:r>
            <w:r>
              <w:rPr>
                <w:noProof/>
                <w:webHidden/>
              </w:rPr>
              <w:fldChar w:fldCharType="separate"/>
            </w:r>
            <w:r w:rsidR="00334A84">
              <w:rPr>
                <w:noProof/>
                <w:webHidden/>
              </w:rPr>
              <w:t>12</w:t>
            </w:r>
            <w:r>
              <w:rPr>
                <w:noProof/>
                <w:webHidden/>
              </w:rPr>
              <w:fldChar w:fldCharType="end"/>
            </w:r>
          </w:hyperlink>
        </w:p>
        <w:p w14:paraId="2C1068FF" w14:textId="72525E63" w:rsidR="00D255B4" w:rsidRDefault="00D255B4" w:rsidP="00D255B4">
          <w:pPr>
            <w:pStyle w:val="TOC2"/>
            <w:tabs>
              <w:tab w:val="right" w:leader="dot" w:pos="9350"/>
            </w:tabs>
            <w:rPr>
              <w:rFonts w:asciiTheme="minorHAnsi" w:eastAsiaTheme="minorEastAsia" w:hAnsiTheme="minorHAnsi" w:cstheme="minorBidi"/>
              <w:noProof/>
            </w:rPr>
          </w:pPr>
          <w:hyperlink w:anchor="_Toc19213820" w:history="1">
            <w:r w:rsidRPr="009C5785">
              <w:rPr>
                <w:rStyle w:val="Hyperlink"/>
                <w:noProof/>
              </w:rPr>
              <w:t>4.3 Authorization fees</w:t>
            </w:r>
            <w:r>
              <w:rPr>
                <w:noProof/>
                <w:webHidden/>
              </w:rPr>
              <w:tab/>
            </w:r>
            <w:r>
              <w:rPr>
                <w:noProof/>
                <w:webHidden/>
              </w:rPr>
              <w:fldChar w:fldCharType="begin"/>
            </w:r>
            <w:r>
              <w:rPr>
                <w:noProof/>
                <w:webHidden/>
              </w:rPr>
              <w:instrText xml:space="preserve"> PAGEREF _Toc19213820 \h </w:instrText>
            </w:r>
            <w:r>
              <w:rPr>
                <w:noProof/>
                <w:webHidden/>
              </w:rPr>
            </w:r>
            <w:r>
              <w:rPr>
                <w:noProof/>
                <w:webHidden/>
              </w:rPr>
              <w:fldChar w:fldCharType="separate"/>
            </w:r>
            <w:r w:rsidR="00334A84">
              <w:rPr>
                <w:noProof/>
                <w:webHidden/>
              </w:rPr>
              <w:t>13</w:t>
            </w:r>
            <w:r>
              <w:rPr>
                <w:noProof/>
                <w:webHidden/>
              </w:rPr>
              <w:fldChar w:fldCharType="end"/>
            </w:r>
          </w:hyperlink>
        </w:p>
        <w:p w14:paraId="0C98BDCE" w14:textId="4A8169E2" w:rsidR="00D255B4" w:rsidRDefault="00D255B4" w:rsidP="00D255B4">
          <w:pPr>
            <w:pStyle w:val="TOC2"/>
            <w:tabs>
              <w:tab w:val="right" w:leader="dot" w:pos="9350"/>
            </w:tabs>
            <w:rPr>
              <w:rFonts w:asciiTheme="minorHAnsi" w:eastAsiaTheme="minorEastAsia" w:hAnsiTheme="minorHAnsi" w:cstheme="minorBidi"/>
              <w:noProof/>
            </w:rPr>
          </w:pPr>
          <w:hyperlink w:anchor="_Toc19213821" w:history="1">
            <w:r w:rsidRPr="009C5785">
              <w:rPr>
                <w:rStyle w:val="Hyperlink"/>
                <w:noProof/>
              </w:rPr>
              <w:t>4.4 Inspection fees</w:t>
            </w:r>
            <w:r>
              <w:rPr>
                <w:noProof/>
                <w:webHidden/>
              </w:rPr>
              <w:tab/>
            </w:r>
            <w:r>
              <w:rPr>
                <w:noProof/>
                <w:webHidden/>
              </w:rPr>
              <w:fldChar w:fldCharType="begin"/>
            </w:r>
            <w:r>
              <w:rPr>
                <w:noProof/>
                <w:webHidden/>
              </w:rPr>
              <w:instrText xml:space="preserve"> PAGEREF _Toc19213821 \h </w:instrText>
            </w:r>
            <w:r>
              <w:rPr>
                <w:noProof/>
                <w:webHidden/>
              </w:rPr>
            </w:r>
            <w:r>
              <w:rPr>
                <w:noProof/>
                <w:webHidden/>
              </w:rPr>
              <w:fldChar w:fldCharType="separate"/>
            </w:r>
            <w:r w:rsidR="00334A84">
              <w:rPr>
                <w:noProof/>
                <w:webHidden/>
              </w:rPr>
              <w:t>13</w:t>
            </w:r>
            <w:r>
              <w:rPr>
                <w:noProof/>
                <w:webHidden/>
              </w:rPr>
              <w:fldChar w:fldCharType="end"/>
            </w:r>
          </w:hyperlink>
        </w:p>
        <w:p w14:paraId="5AB64008" w14:textId="49EA0CF1" w:rsidR="00D255B4" w:rsidRDefault="00D255B4" w:rsidP="00D255B4">
          <w:pPr>
            <w:pStyle w:val="TOC2"/>
            <w:tabs>
              <w:tab w:val="right" w:leader="dot" w:pos="9350"/>
            </w:tabs>
            <w:rPr>
              <w:rFonts w:asciiTheme="minorHAnsi" w:eastAsiaTheme="minorEastAsia" w:hAnsiTheme="minorHAnsi" w:cstheme="minorBidi"/>
              <w:noProof/>
            </w:rPr>
          </w:pPr>
          <w:hyperlink w:anchor="_Toc19213822" w:history="1">
            <w:r w:rsidRPr="009C5785">
              <w:rPr>
                <w:rStyle w:val="Hyperlink"/>
                <w:noProof/>
              </w:rPr>
              <w:t>4.5 Fees for import licenses</w:t>
            </w:r>
            <w:r>
              <w:rPr>
                <w:noProof/>
                <w:webHidden/>
              </w:rPr>
              <w:tab/>
            </w:r>
            <w:r>
              <w:rPr>
                <w:noProof/>
                <w:webHidden/>
              </w:rPr>
              <w:fldChar w:fldCharType="begin"/>
            </w:r>
            <w:r>
              <w:rPr>
                <w:noProof/>
                <w:webHidden/>
              </w:rPr>
              <w:instrText xml:space="preserve"> PAGEREF _Toc19213822 \h </w:instrText>
            </w:r>
            <w:r>
              <w:rPr>
                <w:noProof/>
                <w:webHidden/>
              </w:rPr>
            </w:r>
            <w:r>
              <w:rPr>
                <w:noProof/>
                <w:webHidden/>
              </w:rPr>
              <w:fldChar w:fldCharType="separate"/>
            </w:r>
            <w:r w:rsidR="00334A84">
              <w:rPr>
                <w:noProof/>
                <w:webHidden/>
              </w:rPr>
              <w:t>14</w:t>
            </w:r>
            <w:r>
              <w:rPr>
                <w:noProof/>
                <w:webHidden/>
              </w:rPr>
              <w:fldChar w:fldCharType="end"/>
            </w:r>
          </w:hyperlink>
        </w:p>
        <w:p w14:paraId="1CC35597" w14:textId="067CE888" w:rsidR="00D255B4" w:rsidRDefault="00D255B4" w:rsidP="00D255B4">
          <w:pPr>
            <w:pStyle w:val="TOC1"/>
            <w:tabs>
              <w:tab w:val="left" w:pos="440"/>
              <w:tab w:val="right" w:leader="dot" w:pos="9350"/>
            </w:tabs>
            <w:rPr>
              <w:rFonts w:asciiTheme="minorHAnsi" w:eastAsiaTheme="minorEastAsia" w:hAnsiTheme="minorHAnsi" w:cstheme="minorBidi"/>
              <w:noProof/>
            </w:rPr>
          </w:pPr>
          <w:hyperlink w:anchor="_Toc19213823" w:history="1">
            <w:r w:rsidRPr="009C5785">
              <w:rPr>
                <w:rStyle w:val="Hyperlink"/>
                <w:noProof/>
              </w:rPr>
              <w:t>5.</w:t>
            </w:r>
            <w:r>
              <w:rPr>
                <w:rFonts w:asciiTheme="minorHAnsi" w:eastAsiaTheme="minorEastAsia" w:hAnsiTheme="minorHAnsi" w:cstheme="minorBidi"/>
                <w:noProof/>
              </w:rPr>
              <w:tab/>
            </w:r>
            <w:r w:rsidRPr="009C5785">
              <w:rPr>
                <w:rStyle w:val="Hyperlink"/>
                <w:noProof/>
              </w:rPr>
              <w:t>Economic instruments</w:t>
            </w:r>
            <w:r>
              <w:rPr>
                <w:noProof/>
                <w:webHidden/>
              </w:rPr>
              <w:tab/>
            </w:r>
            <w:r>
              <w:rPr>
                <w:noProof/>
                <w:webHidden/>
              </w:rPr>
              <w:fldChar w:fldCharType="begin"/>
            </w:r>
            <w:r>
              <w:rPr>
                <w:noProof/>
                <w:webHidden/>
              </w:rPr>
              <w:instrText xml:space="preserve"> PAGEREF _Toc19213823 \h </w:instrText>
            </w:r>
            <w:r>
              <w:rPr>
                <w:noProof/>
                <w:webHidden/>
              </w:rPr>
            </w:r>
            <w:r>
              <w:rPr>
                <w:noProof/>
                <w:webHidden/>
              </w:rPr>
              <w:fldChar w:fldCharType="separate"/>
            </w:r>
            <w:r w:rsidR="00334A84">
              <w:rPr>
                <w:noProof/>
                <w:webHidden/>
              </w:rPr>
              <w:t>15</w:t>
            </w:r>
            <w:r>
              <w:rPr>
                <w:noProof/>
                <w:webHidden/>
              </w:rPr>
              <w:fldChar w:fldCharType="end"/>
            </w:r>
          </w:hyperlink>
        </w:p>
        <w:p w14:paraId="0CB73DCD" w14:textId="47B8ADEF" w:rsidR="00D255B4" w:rsidRDefault="00D255B4" w:rsidP="00D255B4">
          <w:pPr>
            <w:pStyle w:val="TOC2"/>
            <w:tabs>
              <w:tab w:val="right" w:leader="dot" w:pos="9350"/>
            </w:tabs>
            <w:rPr>
              <w:rFonts w:asciiTheme="minorHAnsi" w:eastAsiaTheme="minorEastAsia" w:hAnsiTheme="minorHAnsi" w:cstheme="minorBidi"/>
              <w:noProof/>
            </w:rPr>
          </w:pPr>
          <w:hyperlink w:anchor="_Toc19213824" w:history="1">
            <w:r w:rsidRPr="009C5785">
              <w:rPr>
                <w:rStyle w:val="Hyperlink"/>
                <w:noProof/>
              </w:rPr>
              <w:t>5.1 Taxes and fees</w:t>
            </w:r>
            <w:r>
              <w:rPr>
                <w:noProof/>
                <w:webHidden/>
              </w:rPr>
              <w:tab/>
            </w:r>
            <w:r>
              <w:rPr>
                <w:noProof/>
                <w:webHidden/>
              </w:rPr>
              <w:fldChar w:fldCharType="begin"/>
            </w:r>
            <w:r>
              <w:rPr>
                <w:noProof/>
                <w:webHidden/>
              </w:rPr>
              <w:instrText xml:space="preserve"> PAGEREF _Toc19213824 \h </w:instrText>
            </w:r>
            <w:r>
              <w:rPr>
                <w:noProof/>
                <w:webHidden/>
              </w:rPr>
            </w:r>
            <w:r>
              <w:rPr>
                <w:noProof/>
                <w:webHidden/>
              </w:rPr>
              <w:fldChar w:fldCharType="separate"/>
            </w:r>
            <w:r w:rsidR="00334A84">
              <w:rPr>
                <w:noProof/>
                <w:webHidden/>
              </w:rPr>
              <w:t>17</w:t>
            </w:r>
            <w:r>
              <w:rPr>
                <w:noProof/>
                <w:webHidden/>
              </w:rPr>
              <w:fldChar w:fldCharType="end"/>
            </w:r>
          </w:hyperlink>
        </w:p>
        <w:p w14:paraId="6CCAA0EF" w14:textId="72A02D2C" w:rsidR="00D255B4" w:rsidRDefault="00D255B4" w:rsidP="00D255B4">
          <w:pPr>
            <w:pStyle w:val="TOC2"/>
            <w:tabs>
              <w:tab w:val="right" w:leader="dot" w:pos="9350"/>
            </w:tabs>
            <w:rPr>
              <w:rFonts w:asciiTheme="minorHAnsi" w:eastAsiaTheme="minorEastAsia" w:hAnsiTheme="minorHAnsi" w:cstheme="minorBidi"/>
              <w:noProof/>
            </w:rPr>
          </w:pPr>
          <w:hyperlink w:anchor="_Toc19213825" w:history="1">
            <w:r w:rsidRPr="009C5785">
              <w:rPr>
                <w:rStyle w:val="Hyperlink"/>
                <w:noProof/>
              </w:rPr>
              <w:t>5.2 Subsidy removal</w:t>
            </w:r>
            <w:r>
              <w:rPr>
                <w:noProof/>
                <w:webHidden/>
              </w:rPr>
              <w:tab/>
            </w:r>
            <w:r>
              <w:rPr>
                <w:noProof/>
                <w:webHidden/>
              </w:rPr>
              <w:fldChar w:fldCharType="begin"/>
            </w:r>
            <w:r>
              <w:rPr>
                <w:noProof/>
                <w:webHidden/>
              </w:rPr>
              <w:instrText xml:space="preserve"> PAGEREF _Toc19213825 \h </w:instrText>
            </w:r>
            <w:r>
              <w:rPr>
                <w:noProof/>
                <w:webHidden/>
              </w:rPr>
            </w:r>
            <w:r>
              <w:rPr>
                <w:noProof/>
                <w:webHidden/>
              </w:rPr>
              <w:fldChar w:fldCharType="separate"/>
            </w:r>
            <w:r w:rsidR="00334A84">
              <w:rPr>
                <w:noProof/>
                <w:webHidden/>
              </w:rPr>
              <w:t>20</w:t>
            </w:r>
            <w:r>
              <w:rPr>
                <w:noProof/>
                <w:webHidden/>
              </w:rPr>
              <w:fldChar w:fldCharType="end"/>
            </w:r>
          </w:hyperlink>
        </w:p>
        <w:p w14:paraId="348CEB42" w14:textId="2B742A91" w:rsidR="00D255B4" w:rsidRDefault="00D255B4" w:rsidP="00D255B4">
          <w:pPr>
            <w:pStyle w:val="TOC2"/>
            <w:tabs>
              <w:tab w:val="right" w:leader="dot" w:pos="9350"/>
            </w:tabs>
            <w:rPr>
              <w:rFonts w:asciiTheme="minorHAnsi" w:eastAsiaTheme="minorEastAsia" w:hAnsiTheme="minorHAnsi" w:cstheme="minorBidi"/>
              <w:noProof/>
            </w:rPr>
          </w:pPr>
          <w:hyperlink w:anchor="_Toc19213826" w:history="1">
            <w:r w:rsidRPr="009C5785">
              <w:rPr>
                <w:rStyle w:val="Hyperlink"/>
                <w:noProof/>
              </w:rPr>
              <w:t>5.3 Deposit-refund systems</w:t>
            </w:r>
            <w:r>
              <w:rPr>
                <w:noProof/>
                <w:webHidden/>
              </w:rPr>
              <w:tab/>
            </w:r>
            <w:r>
              <w:rPr>
                <w:noProof/>
                <w:webHidden/>
              </w:rPr>
              <w:fldChar w:fldCharType="begin"/>
            </w:r>
            <w:r>
              <w:rPr>
                <w:noProof/>
                <w:webHidden/>
              </w:rPr>
              <w:instrText xml:space="preserve"> PAGEREF _Toc19213826 \h </w:instrText>
            </w:r>
            <w:r>
              <w:rPr>
                <w:noProof/>
                <w:webHidden/>
              </w:rPr>
            </w:r>
            <w:r>
              <w:rPr>
                <w:noProof/>
                <w:webHidden/>
              </w:rPr>
              <w:fldChar w:fldCharType="separate"/>
            </w:r>
            <w:r w:rsidR="00334A84">
              <w:rPr>
                <w:noProof/>
                <w:webHidden/>
              </w:rPr>
              <w:t>20</w:t>
            </w:r>
            <w:r>
              <w:rPr>
                <w:noProof/>
                <w:webHidden/>
              </w:rPr>
              <w:fldChar w:fldCharType="end"/>
            </w:r>
          </w:hyperlink>
        </w:p>
        <w:p w14:paraId="1D2A1553" w14:textId="505AF210" w:rsidR="00D255B4" w:rsidRDefault="00D255B4" w:rsidP="00D255B4">
          <w:pPr>
            <w:pStyle w:val="TOC2"/>
            <w:tabs>
              <w:tab w:val="right" w:leader="dot" w:pos="9350"/>
            </w:tabs>
            <w:rPr>
              <w:rFonts w:asciiTheme="minorHAnsi" w:eastAsiaTheme="minorEastAsia" w:hAnsiTheme="minorHAnsi" w:cstheme="minorBidi"/>
              <w:noProof/>
            </w:rPr>
          </w:pPr>
          <w:hyperlink w:anchor="_Toc19213827" w:history="1">
            <w:r w:rsidRPr="009C5785">
              <w:rPr>
                <w:rStyle w:val="Hyperlink"/>
                <w:noProof/>
              </w:rPr>
              <w:t>5.4 Trade permits</w:t>
            </w:r>
            <w:r>
              <w:rPr>
                <w:noProof/>
                <w:webHidden/>
              </w:rPr>
              <w:tab/>
            </w:r>
            <w:r>
              <w:rPr>
                <w:noProof/>
                <w:webHidden/>
              </w:rPr>
              <w:fldChar w:fldCharType="begin"/>
            </w:r>
            <w:r>
              <w:rPr>
                <w:noProof/>
                <w:webHidden/>
              </w:rPr>
              <w:instrText xml:space="preserve"> PAGEREF _Toc19213827 \h </w:instrText>
            </w:r>
            <w:r>
              <w:rPr>
                <w:noProof/>
                <w:webHidden/>
              </w:rPr>
            </w:r>
            <w:r>
              <w:rPr>
                <w:noProof/>
                <w:webHidden/>
              </w:rPr>
              <w:fldChar w:fldCharType="separate"/>
            </w:r>
            <w:r w:rsidR="00334A84">
              <w:rPr>
                <w:noProof/>
                <w:webHidden/>
              </w:rPr>
              <w:t>21</w:t>
            </w:r>
            <w:r>
              <w:rPr>
                <w:noProof/>
                <w:webHidden/>
              </w:rPr>
              <w:fldChar w:fldCharType="end"/>
            </w:r>
          </w:hyperlink>
        </w:p>
        <w:p w14:paraId="7280DC87" w14:textId="7F3B04E5" w:rsidR="00D255B4" w:rsidRDefault="00D255B4" w:rsidP="00D255B4">
          <w:pPr>
            <w:pStyle w:val="TOC2"/>
            <w:tabs>
              <w:tab w:val="right" w:leader="dot" w:pos="9350"/>
            </w:tabs>
            <w:rPr>
              <w:rFonts w:asciiTheme="minorHAnsi" w:eastAsiaTheme="minorEastAsia" w:hAnsiTheme="minorHAnsi" w:cstheme="minorBidi"/>
              <w:noProof/>
            </w:rPr>
          </w:pPr>
          <w:hyperlink w:anchor="_Toc19213828" w:history="1">
            <w:r w:rsidRPr="009C5785">
              <w:rPr>
                <w:rStyle w:val="Hyperlink"/>
                <w:noProof/>
              </w:rPr>
              <w:t>5.5 Extended producer responsibility</w:t>
            </w:r>
            <w:r>
              <w:rPr>
                <w:noProof/>
                <w:webHidden/>
              </w:rPr>
              <w:tab/>
            </w:r>
            <w:r>
              <w:rPr>
                <w:noProof/>
                <w:webHidden/>
              </w:rPr>
              <w:fldChar w:fldCharType="begin"/>
            </w:r>
            <w:r>
              <w:rPr>
                <w:noProof/>
                <w:webHidden/>
              </w:rPr>
              <w:instrText xml:space="preserve"> PAGEREF _Toc19213828 \h </w:instrText>
            </w:r>
            <w:r>
              <w:rPr>
                <w:noProof/>
                <w:webHidden/>
              </w:rPr>
            </w:r>
            <w:r>
              <w:rPr>
                <w:noProof/>
                <w:webHidden/>
              </w:rPr>
              <w:fldChar w:fldCharType="separate"/>
            </w:r>
            <w:r w:rsidR="00334A84">
              <w:rPr>
                <w:noProof/>
                <w:webHidden/>
              </w:rPr>
              <w:t>21</w:t>
            </w:r>
            <w:r>
              <w:rPr>
                <w:noProof/>
                <w:webHidden/>
              </w:rPr>
              <w:fldChar w:fldCharType="end"/>
            </w:r>
          </w:hyperlink>
        </w:p>
        <w:p w14:paraId="54991CE7" w14:textId="72CDBA55" w:rsidR="00D255B4" w:rsidRDefault="00D255B4" w:rsidP="00D255B4">
          <w:pPr>
            <w:pStyle w:val="TOC1"/>
            <w:tabs>
              <w:tab w:val="right" w:leader="dot" w:pos="9350"/>
            </w:tabs>
            <w:rPr>
              <w:rFonts w:asciiTheme="minorHAnsi" w:eastAsiaTheme="minorEastAsia" w:hAnsiTheme="minorHAnsi" w:cstheme="minorBidi"/>
              <w:noProof/>
            </w:rPr>
          </w:pPr>
          <w:hyperlink w:anchor="_Toc19213829" w:history="1">
            <w:r w:rsidRPr="009C5785">
              <w:rPr>
                <w:rStyle w:val="Hyperlink"/>
                <w:noProof/>
              </w:rPr>
              <w:t xml:space="preserve">6. Examples from other </w:t>
            </w:r>
            <w:r>
              <w:rPr>
                <w:rStyle w:val="Hyperlink"/>
                <w:noProof/>
              </w:rPr>
              <w:t>areas</w:t>
            </w:r>
            <w:r>
              <w:rPr>
                <w:noProof/>
                <w:webHidden/>
              </w:rPr>
              <w:tab/>
            </w:r>
            <w:r>
              <w:rPr>
                <w:noProof/>
                <w:webHidden/>
              </w:rPr>
              <w:fldChar w:fldCharType="begin"/>
            </w:r>
            <w:r>
              <w:rPr>
                <w:noProof/>
                <w:webHidden/>
              </w:rPr>
              <w:instrText xml:space="preserve"> PAGEREF _Toc19213829 \h </w:instrText>
            </w:r>
            <w:r>
              <w:rPr>
                <w:noProof/>
                <w:webHidden/>
              </w:rPr>
            </w:r>
            <w:r>
              <w:rPr>
                <w:noProof/>
                <w:webHidden/>
              </w:rPr>
              <w:fldChar w:fldCharType="separate"/>
            </w:r>
            <w:r w:rsidR="00334A84">
              <w:rPr>
                <w:noProof/>
                <w:webHidden/>
              </w:rPr>
              <w:t>23</w:t>
            </w:r>
            <w:r>
              <w:rPr>
                <w:noProof/>
                <w:webHidden/>
              </w:rPr>
              <w:fldChar w:fldCharType="end"/>
            </w:r>
          </w:hyperlink>
        </w:p>
        <w:p w14:paraId="10F6BF7C" w14:textId="0F4861DD" w:rsidR="00D255B4" w:rsidRDefault="00D255B4" w:rsidP="00D255B4">
          <w:pPr>
            <w:pStyle w:val="TOC2"/>
            <w:tabs>
              <w:tab w:val="right" w:leader="dot" w:pos="9350"/>
            </w:tabs>
            <w:rPr>
              <w:rFonts w:asciiTheme="minorHAnsi" w:eastAsiaTheme="minorEastAsia" w:hAnsiTheme="minorHAnsi" w:cstheme="minorBidi"/>
              <w:noProof/>
            </w:rPr>
          </w:pPr>
          <w:hyperlink w:anchor="_Toc19213830" w:history="1">
            <w:r w:rsidRPr="009C5785">
              <w:rPr>
                <w:rStyle w:val="Hyperlink"/>
                <w:noProof/>
              </w:rPr>
              <w:t>6.1 Pollution charges</w:t>
            </w:r>
            <w:r>
              <w:rPr>
                <w:noProof/>
                <w:webHidden/>
              </w:rPr>
              <w:tab/>
            </w:r>
            <w:r>
              <w:rPr>
                <w:noProof/>
                <w:webHidden/>
              </w:rPr>
              <w:fldChar w:fldCharType="begin"/>
            </w:r>
            <w:r>
              <w:rPr>
                <w:noProof/>
                <w:webHidden/>
              </w:rPr>
              <w:instrText xml:space="preserve"> PAGEREF _Toc19213830 \h </w:instrText>
            </w:r>
            <w:r>
              <w:rPr>
                <w:noProof/>
                <w:webHidden/>
              </w:rPr>
            </w:r>
            <w:r>
              <w:rPr>
                <w:noProof/>
                <w:webHidden/>
              </w:rPr>
              <w:fldChar w:fldCharType="separate"/>
            </w:r>
            <w:r w:rsidR="00334A84">
              <w:rPr>
                <w:noProof/>
                <w:webHidden/>
              </w:rPr>
              <w:t>23</w:t>
            </w:r>
            <w:r>
              <w:rPr>
                <w:noProof/>
                <w:webHidden/>
              </w:rPr>
              <w:fldChar w:fldCharType="end"/>
            </w:r>
          </w:hyperlink>
        </w:p>
        <w:p w14:paraId="651CAB4C" w14:textId="15184E18" w:rsidR="00D255B4" w:rsidRDefault="00D255B4" w:rsidP="00D255B4">
          <w:pPr>
            <w:pStyle w:val="TOC2"/>
            <w:tabs>
              <w:tab w:val="right" w:leader="dot" w:pos="9350"/>
            </w:tabs>
            <w:rPr>
              <w:rFonts w:asciiTheme="minorHAnsi" w:eastAsiaTheme="minorEastAsia" w:hAnsiTheme="minorHAnsi" w:cstheme="minorBidi"/>
              <w:noProof/>
            </w:rPr>
          </w:pPr>
          <w:hyperlink w:anchor="_Toc19213831" w:history="1">
            <w:r w:rsidRPr="009C5785">
              <w:rPr>
                <w:rStyle w:val="Hyperlink"/>
                <w:noProof/>
              </w:rPr>
              <w:t>6.2 Biodiversity incentives</w:t>
            </w:r>
            <w:r>
              <w:rPr>
                <w:noProof/>
                <w:webHidden/>
              </w:rPr>
              <w:tab/>
            </w:r>
            <w:r>
              <w:rPr>
                <w:noProof/>
                <w:webHidden/>
              </w:rPr>
              <w:fldChar w:fldCharType="begin"/>
            </w:r>
            <w:r>
              <w:rPr>
                <w:noProof/>
                <w:webHidden/>
              </w:rPr>
              <w:instrText xml:space="preserve"> PAGEREF _Toc19213831 \h </w:instrText>
            </w:r>
            <w:r>
              <w:rPr>
                <w:noProof/>
                <w:webHidden/>
              </w:rPr>
            </w:r>
            <w:r>
              <w:rPr>
                <w:noProof/>
                <w:webHidden/>
              </w:rPr>
              <w:fldChar w:fldCharType="separate"/>
            </w:r>
            <w:r w:rsidR="00334A84">
              <w:rPr>
                <w:noProof/>
                <w:webHidden/>
              </w:rPr>
              <w:t>24</w:t>
            </w:r>
            <w:r>
              <w:rPr>
                <w:noProof/>
                <w:webHidden/>
              </w:rPr>
              <w:fldChar w:fldCharType="end"/>
            </w:r>
          </w:hyperlink>
        </w:p>
        <w:p w14:paraId="17E465BE" w14:textId="107CF81F" w:rsidR="00D255B4" w:rsidRDefault="00D255B4" w:rsidP="00D255B4">
          <w:pPr>
            <w:pStyle w:val="TOC2"/>
            <w:tabs>
              <w:tab w:val="right" w:leader="dot" w:pos="9350"/>
            </w:tabs>
            <w:rPr>
              <w:rFonts w:asciiTheme="minorHAnsi" w:eastAsiaTheme="minorEastAsia" w:hAnsiTheme="minorHAnsi" w:cstheme="minorBidi"/>
              <w:noProof/>
            </w:rPr>
          </w:pPr>
          <w:hyperlink w:anchor="_Toc19213832" w:history="1">
            <w:r w:rsidRPr="009C5785">
              <w:rPr>
                <w:rStyle w:val="Hyperlink"/>
                <w:noProof/>
              </w:rPr>
              <w:t>6.3 Innovative market-based mechanisms</w:t>
            </w:r>
            <w:r>
              <w:rPr>
                <w:noProof/>
                <w:webHidden/>
              </w:rPr>
              <w:tab/>
            </w:r>
            <w:r>
              <w:rPr>
                <w:noProof/>
                <w:webHidden/>
              </w:rPr>
              <w:fldChar w:fldCharType="begin"/>
            </w:r>
            <w:r>
              <w:rPr>
                <w:noProof/>
                <w:webHidden/>
              </w:rPr>
              <w:instrText xml:space="preserve"> PAGEREF _Toc19213832 \h </w:instrText>
            </w:r>
            <w:r>
              <w:rPr>
                <w:noProof/>
                <w:webHidden/>
              </w:rPr>
            </w:r>
            <w:r>
              <w:rPr>
                <w:noProof/>
                <w:webHidden/>
              </w:rPr>
              <w:fldChar w:fldCharType="separate"/>
            </w:r>
            <w:r w:rsidR="00334A84">
              <w:rPr>
                <w:noProof/>
                <w:webHidden/>
              </w:rPr>
              <w:t>25</w:t>
            </w:r>
            <w:r>
              <w:rPr>
                <w:noProof/>
                <w:webHidden/>
              </w:rPr>
              <w:fldChar w:fldCharType="end"/>
            </w:r>
          </w:hyperlink>
        </w:p>
        <w:p w14:paraId="301FE96A" w14:textId="424C625B" w:rsidR="00D255B4" w:rsidRDefault="00D255B4" w:rsidP="00D255B4">
          <w:pPr>
            <w:pStyle w:val="TOC1"/>
            <w:tabs>
              <w:tab w:val="right" w:leader="dot" w:pos="9350"/>
            </w:tabs>
            <w:rPr>
              <w:rFonts w:asciiTheme="minorHAnsi" w:eastAsiaTheme="minorEastAsia" w:hAnsiTheme="minorHAnsi" w:cstheme="minorBidi"/>
              <w:noProof/>
            </w:rPr>
          </w:pPr>
          <w:hyperlink w:anchor="_Toc19213833" w:history="1">
            <w:r w:rsidRPr="009C5785">
              <w:rPr>
                <w:rStyle w:val="Hyperlink"/>
                <w:noProof/>
              </w:rPr>
              <w:t>7. Summary and conclusions</w:t>
            </w:r>
            <w:r>
              <w:rPr>
                <w:noProof/>
                <w:webHidden/>
              </w:rPr>
              <w:tab/>
            </w:r>
            <w:r>
              <w:rPr>
                <w:noProof/>
                <w:webHidden/>
              </w:rPr>
              <w:fldChar w:fldCharType="begin"/>
            </w:r>
            <w:r>
              <w:rPr>
                <w:noProof/>
                <w:webHidden/>
              </w:rPr>
              <w:instrText xml:space="preserve"> PAGEREF _Toc19213833 \h </w:instrText>
            </w:r>
            <w:r>
              <w:rPr>
                <w:noProof/>
                <w:webHidden/>
              </w:rPr>
            </w:r>
            <w:r>
              <w:rPr>
                <w:noProof/>
                <w:webHidden/>
              </w:rPr>
              <w:fldChar w:fldCharType="separate"/>
            </w:r>
            <w:r w:rsidR="00334A84">
              <w:rPr>
                <w:noProof/>
                <w:webHidden/>
              </w:rPr>
              <w:t>27</w:t>
            </w:r>
            <w:r>
              <w:rPr>
                <w:noProof/>
                <w:webHidden/>
              </w:rPr>
              <w:fldChar w:fldCharType="end"/>
            </w:r>
          </w:hyperlink>
        </w:p>
        <w:p w14:paraId="534A549C" w14:textId="72DCA379" w:rsidR="00D255B4" w:rsidRDefault="00D255B4" w:rsidP="00D255B4">
          <w:pPr>
            <w:pStyle w:val="TOC1"/>
            <w:tabs>
              <w:tab w:val="right" w:leader="dot" w:pos="9350"/>
            </w:tabs>
            <w:rPr>
              <w:rFonts w:asciiTheme="minorHAnsi" w:eastAsiaTheme="minorEastAsia" w:hAnsiTheme="minorHAnsi" w:cstheme="minorBidi"/>
              <w:noProof/>
            </w:rPr>
          </w:pPr>
          <w:hyperlink w:anchor="_Toc19213834" w:history="1">
            <w:r w:rsidRPr="009C5785">
              <w:rPr>
                <w:rStyle w:val="Hyperlink"/>
                <w:noProof/>
              </w:rPr>
              <w:t>References</w:t>
            </w:r>
            <w:r>
              <w:rPr>
                <w:noProof/>
                <w:webHidden/>
              </w:rPr>
              <w:tab/>
            </w:r>
            <w:r>
              <w:rPr>
                <w:noProof/>
                <w:webHidden/>
              </w:rPr>
              <w:fldChar w:fldCharType="begin"/>
            </w:r>
            <w:r>
              <w:rPr>
                <w:noProof/>
                <w:webHidden/>
              </w:rPr>
              <w:instrText xml:space="preserve"> PAGEREF _Toc19213834 \h </w:instrText>
            </w:r>
            <w:r>
              <w:rPr>
                <w:noProof/>
                <w:webHidden/>
              </w:rPr>
            </w:r>
            <w:r>
              <w:rPr>
                <w:noProof/>
                <w:webHidden/>
              </w:rPr>
              <w:fldChar w:fldCharType="separate"/>
            </w:r>
            <w:r w:rsidR="00334A84">
              <w:rPr>
                <w:noProof/>
                <w:webHidden/>
              </w:rPr>
              <w:t>28</w:t>
            </w:r>
            <w:r>
              <w:rPr>
                <w:noProof/>
                <w:webHidden/>
              </w:rPr>
              <w:fldChar w:fldCharType="end"/>
            </w:r>
          </w:hyperlink>
        </w:p>
        <w:p w14:paraId="659CBAFD" w14:textId="77777777" w:rsidR="00D255B4" w:rsidRDefault="00D255B4" w:rsidP="00D255B4">
          <w:r>
            <w:rPr>
              <w:b/>
              <w:bCs/>
              <w:noProof/>
            </w:rPr>
            <w:fldChar w:fldCharType="end"/>
          </w:r>
        </w:p>
      </w:sdtContent>
    </w:sdt>
    <w:p w14:paraId="48BE5F57" w14:textId="77777777" w:rsidR="00D255B4" w:rsidRDefault="00D255B4" w:rsidP="00D255B4"/>
    <w:p w14:paraId="4A5C67DE" w14:textId="77777777" w:rsidR="00D255B4" w:rsidRDefault="00D255B4" w:rsidP="00D255B4"/>
    <w:p w14:paraId="560992A1" w14:textId="77777777" w:rsidR="00D255B4" w:rsidRDefault="00D255B4" w:rsidP="00D255B4"/>
    <w:p w14:paraId="484B024E" w14:textId="77777777" w:rsidR="00D255B4" w:rsidRPr="000972EA" w:rsidRDefault="00D255B4" w:rsidP="00D255B4"/>
    <w:bookmarkEnd w:id="2"/>
    <w:p w14:paraId="00A43FAF" w14:textId="77777777" w:rsidR="00D255B4" w:rsidRDefault="00D255B4" w:rsidP="00D255B4">
      <w:pPr>
        <w:jc w:val="both"/>
        <w:rPr>
          <w:rFonts w:cstheme="minorHAnsi"/>
          <w:b/>
          <w:bCs/>
        </w:rPr>
      </w:pPr>
    </w:p>
    <w:p w14:paraId="382BCBC8" w14:textId="77777777" w:rsidR="00D255B4" w:rsidRDefault="00D255B4" w:rsidP="00D255B4"/>
    <w:p w14:paraId="03357BC5" w14:textId="77777777" w:rsidR="00D255B4" w:rsidRDefault="00D255B4" w:rsidP="00D255B4"/>
    <w:p w14:paraId="35D9F7C7" w14:textId="77777777" w:rsidR="00D255B4" w:rsidRDefault="00D255B4" w:rsidP="00D255B4"/>
    <w:p w14:paraId="06036484" w14:textId="77777777" w:rsidR="00D255B4" w:rsidRDefault="00D255B4" w:rsidP="00D255B4"/>
    <w:p w14:paraId="4B33D08D" w14:textId="77777777" w:rsidR="00D255B4" w:rsidRDefault="00D255B4" w:rsidP="00D255B4"/>
    <w:p w14:paraId="6E155295" w14:textId="77777777" w:rsidR="00D935A3" w:rsidRDefault="00D935A3">
      <w:pPr>
        <w:rPr>
          <w:rFonts w:asciiTheme="majorHAnsi" w:eastAsiaTheme="majorEastAsia" w:hAnsiTheme="majorHAnsi" w:cstheme="majorBidi"/>
          <w:color w:val="2F5496" w:themeColor="accent1" w:themeShade="BF"/>
          <w:sz w:val="32"/>
          <w:szCs w:val="32"/>
        </w:rPr>
      </w:pPr>
      <w:bookmarkStart w:id="3" w:name="_Toc19213811"/>
      <w:r>
        <w:br w:type="page"/>
      </w:r>
    </w:p>
    <w:p w14:paraId="1DD49EB2" w14:textId="776162B9" w:rsidR="00D255B4" w:rsidRPr="00A82842" w:rsidRDefault="00D255B4" w:rsidP="00D54D68">
      <w:pPr>
        <w:pStyle w:val="Heading1"/>
        <w:numPr>
          <w:ilvl w:val="0"/>
          <w:numId w:val="4"/>
        </w:numPr>
      </w:pPr>
      <w:r w:rsidRPr="00A82842">
        <w:lastRenderedPageBreak/>
        <w:t>Introduction</w:t>
      </w:r>
      <w:bookmarkEnd w:id="3"/>
      <w:r w:rsidRPr="00A82842">
        <w:t xml:space="preserve"> </w:t>
      </w:r>
    </w:p>
    <w:p w14:paraId="00D8D49B" w14:textId="77777777" w:rsidR="00D255B4" w:rsidRDefault="00D255B4" w:rsidP="00D255B4">
      <w:pPr>
        <w:jc w:val="both"/>
        <w:rPr>
          <w:rFonts w:cstheme="minorHAnsi"/>
        </w:rPr>
      </w:pPr>
    </w:p>
    <w:p w14:paraId="1960EBCB" w14:textId="77777777" w:rsidR="00D255B4" w:rsidRDefault="00D255B4" w:rsidP="00D255B4">
      <w:pPr>
        <w:jc w:val="both"/>
        <w:rPr>
          <w:rFonts w:cstheme="minorHAnsi"/>
        </w:rPr>
      </w:pPr>
      <w:r w:rsidRPr="00DD4979">
        <w:rPr>
          <w:rFonts w:cstheme="minorHAnsi"/>
        </w:rPr>
        <w:t xml:space="preserve">The </w:t>
      </w:r>
      <w:r>
        <w:rPr>
          <w:rFonts w:cstheme="minorHAnsi"/>
        </w:rPr>
        <w:t>overall objective</w:t>
      </w:r>
      <w:r w:rsidRPr="00DD4979">
        <w:rPr>
          <w:rFonts w:cstheme="minorHAnsi"/>
        </w:rPr>
        <w:t xml:space="preserve"> of this</w:t>
      </w:r>
      <w:r>
        <w:rPr>
          <w:rFonts w:cstheme="minorHAnsi"/>
        </w:rPr>
        <w:t xml:space="preserve"> report is to </w:t>
      </w:r>
      <w:r w:rsidRPr="00DD4979">
        <w:rPr>
          <w:rFonts w:cstheme="minorHAnsi"/>
        </w:rPr>
        <w:t xml:space="preserve">provide examples of successful mechanisms for </w:t>
      </w:r>
      <w:bookmarkStart w:id="4" w:name="_Hlk16696350"/>
      <w:r w:rsidRPr="00DD4979">
        <w:rPr>
          <w:rFonts w:cstheme="minorHAnsi"/>
        </w:rPr>
        <w:t xml:space="preserve">cost recovery and implementation of the </w:t>
      </w:r>
      <w:r>
        <w:rPr>
          <w:rFonts w:cstheme="minorHAnsi"/>
        </w:rPr>
        <w:t>P</w:t>
      </w:r>
      <w:r w:rsidRPr="00DD4979">
        <w:rPr>
          <w:rFonts w:cstheme="minorHAnsi"/>
        </w:rPr>
        <w:t xml:space="preserve">olluter </w:t>
      </w:r>
      <w:r>
        <w:rPr>
          <w:rFonts w:cstheme="minorHAnsi"/>
        </w:rPr>
        <w:t>P</w:t>
      </w:r>
      <w:r w:rsidRPr="00DD4979">
        <w:rPr>
          <w:rFonts w:cstheme="minorHAnsi"/>
        </w:rPr>
        <w:t xml:space="preserve">ays </w:t>
      </w:r>
      <w:r>
        <w:rPr>
          <w:rFonts w:cstheme="minorHAnsi"/>
        </w:rPr>
        <w:t>P</w:t>
      </w:r>
      <w:r w:rsidRPr="00DD4979">
        <w:rPr>
          <w:rFonts w:cstheme="minorHAnsi"/>
        </w:rPr>
        <w:t xml:space="preserve">rinciple </w:t>
      </w:r>
      <w:bookmarkEnd w:id="4"/>
      <w:r w:rsidRPr="00DD4979">
        <w:rPr>
          <w:rFonts w:cstheme="minorHAnsi"/>
        </w:rPr>
        <w:t>for the financing of risk management and risk reduction activities</w:t>
      </w:r>
      <w:r>
        <w:rPr>
          <w:rFonts w:cstheme="minorHAnsi"/>
        </w:rPr>
        <w:t xml:space="preserve"> for the sound management of chemicals and waste</w:t>
      </w:r>
      <w:r w:rsidRPr="00DD4979">
        <w:rPr>
          <w:rFonts w:cstheme="minorHAnsi"/>
        </w:rPr>
        <w:t xml:space="preserve"> at the national level, in response to the call from the third meeting of Open-ended Working Group of the International Conference on Chemicals Management </w:t>
      </w:r>
      <w:r>
        <w:rPr>
          <w:rFonts w:cstheme="minorHAnsi"/>
        </w:rPr>
        <w:t xml:space="preserve">(OEWG-3) </w:t>
      </w:r>
      <w:r w:rsidRPr="00DD4979">
        <w:rPr>
          <w:rFonts w:cstheme="minorHAnsi"/>
        </w:rPr>
        <w:t>held in April 2019 in Montevideo, Uruguay. Th</w:t>
      </w:r>
      <w:r>
        <w:rPr>
          <w:rFonts w:cstheme="minorHAnsi"/>
        </w:rPr>
        <w:t>is is an interim report, which will</w:t>
      </w:r>
      <w:r w:rsidRPr="00DD4979">
        <w:rPr>
          <w:rFonts w:cstheme="minorHAnsi"/>
        </w:rPr>
        <w:t xml:space="preserve"> </w:t>
      </w:r>
      <w:proofErr w:type="gramStart"/>
      <w:r>
        <w:rPr>
          <w:rFonts w:cstheme="minorHAnsi"/>
        </w:rPr>
        <w:t>presented</w:t>
      </w:r>
      <w:proofErr w:type="gramEnd"/>
      <w:r>
        <w:rPr>
          <w:rFonts w:cstheme="minorHAnsi"/>
        </w:rPr>
        <w:t xml:space="preserve"> to the third meeting of the </w:t>
      </w:r>
      <w:r w:rsidRPr="00DD4979">
        <w:rPr>
          <w:rFonts w:cstheme="minorHAnsi"/>
        </w:rPr>
        <w:t xml:space="preserve">Intersessional Process </w:t>
      </w:r>
      <w:r>
        <w:rPr>
          <w:rFonts w:cstheme="minorHAnsi"/>
        </w:rPr>
        <w:t>of the Strategic Approach and sound management of chemicals and waste beyond 2020 in Bangkok, Thailand, from 1 to 4 October 2019, and</w:t>
      </w:r>
      <w:r w:rsidRPr="00DD4979">
        <w:rPr>
          <w:rFonts w:cstheme="minorHAnsi"/>
        </w:rPr>
        <w:t xml:space="preserve"> finalized for consideration </w:t>
      </w:r>
      <w:r>
        <w:rPr>
          <w:rFonts w:cstheme="minorHAnsi"/>
        </w:rPr>
        <w:t>at</w:t>
      </w:r>
      <w:r w:rsidRPr="00DD4979">
        <w:rPr>
          <w:rFonts w:cstheme="minorHAnsi"/>
        </w:rPr>
        <w:t xml:space="preserve"> the fourth meeting of the </w:t>
      </w:r>
      <w:r>
        <w:rPr>
          <w:rFonts w:cstheme="minorHAnsi"/>
        </w:rPr>
        <w:t xml:space="preserve">intersessional process </w:t>
      </w:r>
      <w:r w:rsidRPr="00DD4979">
        <w:rPr>
          <w:rFonts w:cstheme="minorHAnsi"/>
        </w:rPr>
        <w:t>in Bucharest, Romania</w:t>
      </w:r>
      <w:r>
        <w:rPr>
          <w:rFonts w:cstheme="minorHAnsi"/>
        </w:rPr>
        <w:t xml:space="preserve">, </w:t>
      </w:r>
      <w:r w:rsidRPr="00DD4979">
        <w:rPr>
          <w:rFonts w:cstheme="minorHAnsi"/>
        </w:rPr>
        <w:t xml:space="preserve">from 23 to 27 March 2020. </w:t>
      </w:r>
    </w:p>
    <w:p w14:paraId="3642880A" w14:textId="77777777" w:rsidR="00D255B4" w:rsidRPr="00DD4979" w:rsidRDefault="00D255B4" w:rsidP="00D255B4">
      <w:pPr>
        <w:jc w:val="both"/>
      </w:pPr>
    </w:p>
    <w:p w14:paraId="3169BCF1" w14:textId="77777777" w:rsidR="00D255B4" w:rsidRDefault="00D255B4" w:rsidP="00D255B4">
      <w:pPr>
        <w:jc w:val="both"/>
      </w:pPr>
      <w:r>
        <w:t xml:space="preserve">The study focuses on the application of the Polluter Pays Principle for risk reduction, </w:t>
      </w:r>
      <w:r w:rsidRPr="003C2AFC">
        <w:t>including preventing, reducing, remediating, minimizing and eliminating risks</w:t>
      </w:r>
      <w:r>
        <w:t xml:space="preserve"> to human health and the environment from unsound management of chemicals. The study makes distinction between economic instruments that consist of fiscal policies aiming to incorporate negative externalities into product prices and cost recovery measures intended to cover costs from staffing and operating national administration for chemicals control. Economic instruments complement traditional approaches to risk reduction. Non-market-based measures, including corporate social and environmental responsibility, are beyond the scope of this study. </w:t>
      </w:r>
    </w:p>
    <w:p w14:paraId="4082287E" w14:textId="77777777" w:rsidR="00D255B4" w:rsidRDefault="00D255B4" w:rsidP="00D255B4">
      <w:pPr>
        <w:jc w:val="both"/>
        <w:rPr>
          <w:b/>
          <w:bCs/>
        </w:rPr>
      </w:pPr>
    </w:p>
    <w:p w14:paraId="5C58336D" w14:textId="77777777" w:rsidR="00D255B4" w:rsidRDefault="00D255B4" w:rsidP="00D255B4">
      <w:pPr>
        <w:jc w:val="both"/>
        <w:rPr>
          <w:rFonts w:cstheme="minorHAnsi"/>
        </w:rPr>
      </w:pPr>
      <w:r>
        <w:t xml:space="preserve">Since the inception of SAICM in 2006, industry involvement has been a central feature in its work. Despite progress, the use of </w:t>
      </w:r>
      <w:r w:rsidRPr="00DD4979">
        <w:t xml:space="preserve">economic instruments </w:t>
      </w:r>
      <w:r>
        <w:t xml:space="preserve">and cost recovery measures </w:t>
      </w:r>
      <w:r w:rsidRPr="00DD4979">
        <w:t>in the context of sound management of chemicals</w:t>
      </w:r>
      <w:r>
        <w:t xml:space="preserve"> and waste are still poorly understood and implemented.</w:t>
      </w:r>
      <w:r w:rsidRPr="00DD4979">
        <w:t xml:space="preserve"> </w:t>
      </w:r>
      <w:r w:rsidRPr="00DD4979">
        <w:rPr>
          <w:rFonts w:cstheme="minorHAnsi"/>
        </w:rPr>
        <w:t xml:space="preserve">The second edition of the Global Chemical Outlook </w:t>
      </w:r>
      <w:r>
        <w:rPr>
          <w:rFonts w:cstheme="minorHAnsi"/>
        </w:rPr>
        <w:t xml:space="preserve">(GCO-II) </w:t>
      </w:r>
      <w:r w:rsidRPr="00DD4979">
        <w:rPr>
          <w:rFonts w:cstheme="minorHAnsi"/>
        </w:rPr>
        <w:t>highlights that “gaps remain in regard to increasing industry contributions to match responsibility and the required level of support” and recommends “</w:t>
      </w:r>
      <w:proofErr w:type="spellStart"/>
      <w:r w:rsidRPr="00DD4979">
        <w:rPr>
          <w:rFonts w:cstheme="minorHAnsi"/>
        </w:rPr>
        <w:t>promot</w:t>
      </w:r>
      <w:proofErr w:type="spellEnd"/>
      <w:r>
        <w:rPr>
          <w:rFonts w:cstheme="minorHAnsi"/>
        </w:rPr>
        <w:t>[</w:t>
      </w:r>
      <w:proofErr w:type="spellStart"/>
      <w:r>
        <w:rPr>
          <w:rFonts w:cstheme="minorHAnsi"/>
        </w:rPr>
        <w:t>ing</w:t>
      </w:r>
      <w:proofErr w:type="spellEnd"/>
      <w:r>
        <w:rPr>
          <w:rFonts w:cstheme="minorHAnsi"/>
        </w:rPr>
        <w:t>]</w:t>
      </w:r>
      <w:r w:rsidRPr="00DD4979">
        <w:rPr>
          <w:rFonts w:cstheme="minorHAnsi"/>
        </w:rPr>
        <w:t xml:space="preserve"> extended producer responsibility </w:t>
      </w:r>
      <w:r>
        <w:rPr>
          <w:rFonts w:cstheme="minorHAnsi"/>
        </w:rPr>
        <w:t xml:space="preserve">(EPR) </w:t>
      </w:r>
      <w:r w:rsidRPr="00DD4979">
        <w:rPr>
          <w:rFonts w:cstheme="minorHAnsi"/>
        </w:rPr>
        <w:t>and internalization of costs by industry” (UNEP, 201</w:t>
      </w:r>
      <w:r>
        <w:rPr>
          <w:rFonts w:cstheme="minorHAnsi"/>
        </w:rPr>
        <w:t>9a</w:t>
      </w:r>
      <w:r w:rsidRPr="00DD4979">
        <w:rPr>
          <w:rFonts w:cstheme="minorHAnsi"/>
        </w:rPr>
        <w:t>). The preceding edition</w:t>
      </w:r>
      <w:r>
        <w:rPr>
          <w:rFonts w:cstheme="minorHAnsi"/>
        </w:rPr>
        <w:t xml:space="preserve"> of the outlook</w:t>
      </w:r>
      <w:r w:rsidRPr="00DD4979">
        <w:rPr>
          <w:rFonts w:cstheme="minorHAnsi"/>
        </w:rPr>
        <w:t xml:space="preserve"> </w:t>
      </w:r>
      <w:r>
        <w:rPr>
          <w:rFonts w:cstheme="minorHAnsi"/>
        </w:rPr>
        <w:t xml:space="preserve">(GCO-I) </w:t>
      </w:r>
      <w:r w:rsidRPr="00DD4979">
        <w:rPr>
          <w:rFonts w:cstheme="minorHAnsi"/>
        </w:rPr>
        <w:t xml:space="preserve">already noted </w:t>
      </w:r>
      <w:r>
        <w:rPr>
          <w:rFonts w:cstheme="minorHAnsi"/>
        </w:rPr>
        <w:t xml:space="preserve">that </w:t>
      </w:r>
      <w:r w:rsidRPr="00DD4979">
        <w:rPr>
          <w:rFonts w:cstheme="minorHAnsi"/>
        </w:rPr>
        <w:t>“the vast majority of human health costs linked to chemicals production, consumption, and disposal are not borne by chemicals producers, or shared down the value-chain</w:t>
      </w:r>
      <w:r>
        <w:rPr>
          <w:rFonts w:cstheme="minorHAnsi"/>
        </w:rPr>
        <w:t>” and emphasized that “u</w:t>
      </w:r>
      <w:r w:rsidRPr="00DD4979">
        <w:rPr>
          <w:rFonts w:cstheme="minorHAnsi"/>
        </w:rPr>
        <w:t>ncompensated harm to human health and the environment are market failures that need correction”</w:t>
      </w:r>
      <w:r>
        <w:rPr>
          <w:rFonts w:cstheme="minorHAnsi"/>
        </w:rPr>
        <w:t xml:space="preserve"> (UNEP, 2013a)</w:t>
      </w:r>
      <w:r w:rsidRPr="00DD4979">
        <w:rPr>
          <w:rFonts w:cstheme="minorHAnsi"/>
        </w:rPr>
        <w:t xml:space="preserve">. </w:t>
      </w:r>
    </w:p>
    <w:p w14:paraId="3EB9CBA4" w14:textId="77777777" w:rsidR="00D255B4" w:rsidRDefault="00D255B4" w:rsidP="00D255B4">
      <w:pPr>
        <w:jc w:val="both"/>
        <w:rPr>
          <w:rFonts w:cstheme="minorHAnsi"/>
        </w:rPr>
      </w:pPr>
    </w:p>
    <w:p w14:paraId="78C633C2" w14:textId="77777777" w:rsidR="00D255B4" w:rsidRDefault="00D255B4" w:rsidP="00D255B4">
      <w:pPr>
        <w:jc w:val="both"/>
        <w:rPr>
          <w:rFonts w:cstheme="minorHAnsi"/>
        </w:rPr>
      </w:pPr>
      <w:r w:rsidRPr="00DD4979">
        <w:rPr>
          <w:rFonts w:cstheme="minorHAnsi"/>
        </w:rPr>
        <w:t xml:space="preserve">The </w:t>
      </w:r>
      <w:r>
        <w:rPr>
          <w:rFonts w:cstheme="minorHAnsi"/>
        </w:rPr>
        <w:t xml:space="preserve">high </w:t>
      </w:r>
      <w:r w:rsidRPr="00DD4979">
        <w:rPr>
          <w:rFonts w:cstheme="minorHAnsi"/>
        </w:rPr>
        <w:t xml:space="preserve">economic </w:t>
      </w:r>
      <w:r>
        <w:rPr>
          <w:rFonts w:cstheme="minorHAnsi"/>
        </w:rPr>
        <w:t xml:space="preserve">and societal </w:t>
      </w:r>
      <w:r w:rsidRPr="00DD4979">
        <w:rPr>
          <w:rFonts w:cstheme="minorHAnsi"/>
        </w:rPr>
        <w:t xml:space="preserve">price tag of </w:t>
      </w:r>
      <w:r>
        <w:rPr>
          <w:rFonts w:cstheme="minorHAnsi"/>
        </w:rPr>
        <w:t>market failures</w:t>
      </w:r>
      <w:r w:rsidRPr="00DD4979">
        <w:rPr>
          <w:rFonts w:cstheme="minorHAnsi"/>
        </w:rPr>
        <w:t xml:space="preserve"> </w:t>
      </w:r>
      <w:r>
        <w:rPr>
          <w:rFonts w:cstheme="minorHAnsi"/>
        </w:rPr>
        <w:t xml:space="preserve">in the chemicals and waste sector </w:t>
      </w:r>
      <w:r w:rsidRPr="00DD4979">
        <w:rPr>
          <w:rFonts w:cstheme="minorHAnsi"/>
        </w:rPr>
        <w:t xml:space="preserve">has been </w:t>
      </w:r>
      <w:r>
        <w:rPr>
          <w:rFonts w:cstheme="minorHAnsi"/>
        </w:rPr>
        <w:t xml:space="preserve">well </w:t>
      </w:r>
      <w:r w:rsidRPr="00DD4979">
        <w:rPr>
          <w:rFonts w:cstheme="minorHAnsi"/>
        </w:rPr>
        <w:t xml:space="preserve">documented in </w:t>
      </w:r>
      <w:r>
        <w:rPr>
          <w:rFonts w:cstheme="minorHAnsi"/>
        </w:rPr>
        <w:t xml:space="preserve">many studies, including: USD </w:t>
      </w:r>
      <w:r w:rsidRPr="00DD4979">
        <w:rPr>
          <w:rFonts w:cstheme="minorHAnsi"/>
        </w:rPr>
        <w:t xml:space="preserve">90 billion for health-related costs </w:t>
      </w:r>
      <w:r>
        <w:rPr>
          <w:rFonts w:cstheme="minorHAnsi"/>
        </w:rPr>
        <w:t xml:space="preserve">for smallholders </w:t>
      </w:r>
      <w:r w:rsidRPr="00DD4979">
        <w:rPr>
          <w:rFonts w:cstheme="minorHAnsi"/>
        </w:rPr>
        <w:t>from pesticide use in Sub-Saharan Africa in 2005-2020 (UNEP, 2013</w:t>
      </w:r>
      <w:r>
        <w:rPr>
          <w:rFonts w:cstheme="minorHAnsi"/>
        </w:rPr>
        <w:t>a</w:t>
      </w:r>
      <w:r w:rsidRPr="00DD4979">
        <w:rPr>
          <w:rFonts w:cstheme="minorHAnsi"/>
        </w:rPr>
        <w:t>)</w:t>
      </w:r>
      <w:r>
        <w:rPr>
          <w:rFonts w:cstheme="minorHAnsi"/>
        </w:rPr>
        <w:t xml:space="preserve">; USD </w:t>
      </w:r>
      <w:r w:rsidRPr="00DD4979">
        <w:rPr>
          <w:rFonts w:cstheme="minorHAnsi"/>
        </w:rPr>
        <w:t>1</w:t>
      </w:r>
      <w:r>
        <w:rPr>
          <w:rFonts w:cstheme="minorHAnsi"/>
        </w:rPr>
        <w:t>57</w:t>
      </w:r>
      <w:r w:rsidRPr="00DD4979">
        <w:rPr>
          <w:rFonts w:cstheme="minorHAnsi"/>
        </w:rPr>
        <w:t xml:space="preserve"> billion median annual health costs for diseases associated with endocrine disrupting chemicals in </w:t>
      </w:r>
      <w:r>
        <w:rPr>
          <w:rFonts w:cstheme="minorHAnsi"/>
        </w:rPr>
        <w:t xml:space="preserve">the </w:t>
      </w:r>
      <w:r w:rsidRPr="00DD4979">
        <w:rPr>
          <w:rFonts w:cstheme="minorHAnsi"/>
        </w:rPr>
        <w:t>EU (</w:t>
      </w:r>
      <w:proofErr w:type="spellStart"/>
      <w:r w:rsidRPr="00DD4979">
        <w:rPr>
          <w:rFonts w:cstheme="minorHAnsi"/>
        </w:rPr>
        <w:t>Trasande</w:t>
      </w:r>
      <w:proofErr w:type="spellEnd"/>
      <w:r w:rsidRPr="00DD4979">
        <w:rPr>
          <w:rFonts w:cstheme="minorHAnsi"/>
        </w:rPr>
        <w:t xml:space="preserve"> et al., 2015)</w:t>
      </w:r>
      <w:r>
        <w:rPr>
          <w:rFonts w:cstheme="minorHAnsi"/>
        </w:rPr>
        <w:t xml:space="preserve">; and USD </w:t>
      </w:r>
      <w:r w:rsidRPr="00DD4979">
        <w:rPr>
          <w:rFonts w:cstheme="minorHAnsi"/>
        </w:rPr>
        <w:t xml:space="preserve">977 billon annual costs related to childhood exposure </w:t>
      </w:r>
      <w:r>
        <w:rPr>
          <w:rFonts w:cstheme="minorHAnsi"/>
        </w:rPr>
        <w:t xml:space="preserve">to lead </w:t>
      </w:r>
      <w:r w:rsidRPr="00DD4979">
        <w:rPr>
          <w:rFonts w:cstheme="minorHAnsi"/>
        </w:rPr>
        <w:t>in low- and middle-income countries (</w:t>
      </w:r>
      <w:proofErr w:type="spellStart"/>
      <w:r w:rsidRPr="00DD4979">
        <w:rPr>
          <w:rFonts w:cstheme="minorHAnsi"/>
        </w:rPr>
        <w:t>Attina</w:t>
      </w:r>
      <w:proofErr w:type="spellEnd"/>
      <w:r w:rsidRPr="00DD4979">
        <w:rPr>
          <w:rFonts w:cstheme="minorHAnsi"/>
        </w:rPr>
        <w:t xml:space="preserve"> &amp; </w:t>
      </w:r>
      <w:proofErr w:type="spellStart"/>
      <w:r w:rsidRPr="00DD4979">
        <w:rPr>
          <w:rFonts w:cstheme="minorHAnsi"/>
        </w:rPr>
        <w:t>Trasande</w:t>
      </w:r>
      <w:proofErr w:type="spellEnd"/>
      <w:r w:rsidRPr="00DD4979">
        <w:rPr>
          <w:rFonts w:cstheme="minorHAnsi"/>
        </w:rPr>
        <w:t>, 2013)</w:t>
      </w:r>
      <w:r>
        <w:rPr>
          <w:rFonts w:cstheme="minorHAnsi"/>
        </w:rPr>
        <w:t>. G</w:t>
      </w:r>
      <w:r w:rsidRPr="00DD4979">
        <w:rPr>
          <w:rFonts w:cstheme="minorHAnsi"/>
        </w:rPr>
        <w:t xml:space="preserve">iven that the </w:t>
      </w:r>
      <w:r>
        <w:rPr>
          <w:rFonts w:cstheme="minorHAnsi"/>
        </w:rPr>
        <w:t xml:space="preserve">size of the </w:t>
      </w:r>
      <w:r w:rsidRPr="00DD4979">
        <w:rPr>
          <w:rFonts w:cstheme="minorHAnsi"/>
        </w:rPr>
        <w:t xml:space="preserve">global chemicals industry </w:t>
      </w:r>
      <w:r>
        <w:rPr>
          <w:rFonts w:cstheme="minorHAnsi"/>
        </w:rPr>
        <w:t>is approximately USD 5</w:t>
      </w:r>
      <w:r w:rsidRPr="00DD4979">
        <w:rPr>
          <w:rFonts w:cstheme="minorHAnsi"/>
        </w:rPr>
        <w:t xml:space="preserve"> trillion and is expected to double by 2030,</w:t>
      </w:r>
      <w:r>
        <w:rPr>
          <w:rFonts w:cstheme="minorHAnsi"/>
        </w:rPr>
        <w:t xml:space="preserve"> many actors have voiced the need for more action to internalize the costs to the environment and human health in the chemicals industry and throughout the entire value chain </w:t>
      </w:r>
      <w:r w:rsidRPr="00DD4979">
        <w:rPr>
          <w:rFonts w:cstheme="minorHAnsi"/>
        </w:rPr>
        <w:t>(UNEP, 2019</w:t>
      </w:r>
      <w:r>
        <w:rPr>
          <w:rFonts w:cstheme="minorHAnsi"/>
        </w:rPr>
        <w:t>a</w:t>
      </w:r>
      <w:r w:rsidRPr="00DD4979">
        <w:rPr>
          <w:rFonts w:cstheme="minorHAnsi"/>
        </w:rPr>
        <w:t xml:space="preserve">). </w:t>
      </w:r>
    </w:p>
    <w:p w14:paraId="66BC89DE" w14:textId="77777777" w:rsidR="00D255B4" w:rsidRDefault="00D255B4" w:rsidP="00D255B4">
      <w:pPr>
        <w:pStyle w:val="Heading2"/>
        <w:spacing w:before="0"/>
      </w:pPr>
    </w:p>
    <w:p w14:paraId="6A01F52B" w14:textId="77777777" w:rsidR="00D255B4" w:rsidRPr="00DB5EAB" w:rsidRDefault="00D255B4" w:rsidP="00D255B4">
      <w:pPr>
        <w:spacing w:line="259" w:lineRule="auto"/>
        <w:jc w:val="both"/>
        <w:rPr>
          <w:rFonts w:cstheme="minorHAnsi"/>
        </w:rPr>
      </w:pPr>
      <w:r>
        <w:t xml:space="preserve">This report is structured around three main sections: </w:t>
      </w:r>
      <w:proofErr w:type="gramStart"/>
      <w:r>
        <w:t>the</w:t>
      </w:r>
      <w:proofErr w:type="gramEnd"/>
      <w:r>
        <w:t xml:space="preserve"> Polluter Pays Principle, cost recovery measures and economic instruments. The narrative is supported with examples from different countries. In general, t</w:t>
      </w:r>
      <w:r w:rsidRPr="00DB5EAB">
        <w:rPr>
          <w:rFonts w:cstheme="minorHAnsi"/>
        </w:rPr>
        <w:t xml:space="preserve">here is a </w:t>
      </w:r>
      <w:r>
        <w:rPr>
          <w:rFonts w:cstheme="minorHAnsi"/>
        </w:rPr>
        <w:t xml:space="preserve">time </w:t>
      </w:r>
      <w:r w:rsidRPr="00DB5EAB">
        <w:rPr>
          <w:rFonts w:cstheme="minorHAnsi"/>
        </w:rPr>
        <w:t xml:space="preserve">lag between </w:t>
      </w:r>
      <w:r>
        <w:rPr>
          <w:rFonts w:cstheme="minorHAnsi"/>
        </w:rPr>
        <w:t>high-income countries</w:t>
      </w:r>
      <w:r w:rsidRPr="00DB5EAB">
        <w:rPr>
          <w:rFonts w:cstheme="minorHAnsi"/>
        </w:rPr>
        <w:t xml:space="preserve"> and </w:t>
      </w:r>
      <w:r>
        <w:rPr>
          <w:rFonts w:cstheme="minorHAnsi"/>
        </w:rPr>
        <w:t>middle- and low-income countries</w:t>
      </w:r>
      <w:r w:rsidRPr="00DB5EAB">
        <w:rPr>
          <w:rFonts w:cstheme="minorHAnsi"/>
        </w:rPr>
        <w:t xml:space="preserve"> in implementation of economic instruments. Most of the countries with successful policies in place are, in fact, </w:t>
      </w:r>
      <w:r>
        <w:rPr>
          <w:rFonts w:cstheme="minorHAnsi"/>
        </w:rPr>
        <w:t>high-income countries</w:t>
      </w:r>
      <w:r w:rsidRPr="00DB5EAB">
        <w:t>. This report attempt</w:t>
      </w:r>
      <w:r>
        <w:t>s</w:t>
      </w:r>
      <w:r w:rsidRPr="00DB5EAB">
        <w:t xml:space="preserve"> to recount </w:t>
      </w:r>
      <w:r>
        <w:t xml:space="preserve">low- and middle-income country </w:t>
      </w:r>
      <w:r w:rsidRPr="00DB5EAB">
        <w:t>examples to the fullest extent possible</w:t>
      </w:r>
      <w:r>
        <w:t xml:space="preserve">, while also bearing in mind that the objective as requested by OEWG-3 is to exemplify </w:t>
      </w:r>
      <w:r w:rsidRPr="00DD4979">
        <w:rPr>
          <w:rFonts w:cstheme="minorHAnsi"/>
        </w:rPr>
        <w:t>successful mechanisms</w:t>
      </w:r>
      <w:r>
        <w:rPr>
          <w:rFonts w:cstheme="minorHAnsi"/>
        </w:rPr>
        <w:t xml:space="preserve">. The lack of research on the effectiveness of economic instruments used for sound management of chemicals and waste is a critical limitation of this review. </w:t>
      </w:r>
    </w:p>
    <w:p w14:paraId="6827658F" w14:textId="77777777" w:rsidR="00D255B4" w:rsidRDefault="00D255B4" w:rsidP="00D255B4">
      <w:pPr>
        <w:spacing w:after="160" w:line="259" w:lineRule="auto"/>
      </w:pPr>
      <w:r>
        <w:br w:type="page"/>
      </w:r>
    </w:p>
    <w:p w14:paraId="4A701137" w14:textId="77777777" w:rsidR="00D255B4" w:rsidRDefault="00D255B4" w:rsidP="00D54D68">
      <w:pPr>
        <w:pStyle w:val="Heading1"/>
        <w:numPr>
          <w:ilvl w:val="0"/>
          <w:numId w:val="4"/>
        </w:numPr>
      </w:pPr>
      <w:bookmarkStart w:id="5" w:name="_Toc19213812"/>
      <w:r>
        <w:lastRenderedPageBreak/>
        <w:t>Background</w:t>
      </w:r>
      <w:bookmarkEnd w:id="5"/>
      <w:r>
        <w:t xml:space="preserve">  </w:t>
      </w:r>
    </w:p>
    <w:p w14:paraId="485144E5" w14:textId="77777777" w:rsidR="00D255B4" w:rsidRDefault="00D255B4" w:rsidP="00D255B4"/>
    <w:p w14:paraId="70CCDDD4" w14:textId="77777777" w:rsidR="00D255B4" w:rsidRDefault="00D255B4" w:rsidP="00D255B4">
      <w:pPr>
        <w:pStyle w:val="Heading2"/>
      </w:pPr>
      <w:bookmarkStart w:id="6" w:name="_Toc19213813"/>
      <w:r>
        <w:t>2.1 Industry involvement</w:t>
      </w:r>
      <w:bookmarkEnd w:id="6"/>
      <w:r>
        <w:t xml:space="preserve"> </w:t>
      </w:r>
    </w:p>
    <w:p w14:paraId="7E6709A5" w14:textId="77777777" w:rsidR="00D255B4" w:rsidRDefault="00D255B4" w:rsidP="00D255B4">
      <w:pPr>
        <w:jc w:val="both"/>
        <w:rPr>
          <w:rFonts w:cstheme="minorHAnsi"/>
        </w:rPr>
      </w:pPr>
    </w:p>
    <w:p w14:paraId="51E9F40E" w14:textId="77777777" w:rsidR="00D255B4" w:rsidRDefault="00D255B4" w:rsidP="00D255B4">
      <w:pPr>
        <w:jc w:val="both"/>
      </w:pPr>
      <w:r w:rsidRPr="004F61AD">
        <w:rPr>
          <w:rFonts w:cstheme="minorHAnsi"/>
        </w:rPr>
        <w:t xml:space="preserve">In 2013, </w:t>
      </w:r>
      <w:r>
        <w:rPr>
          <w:rFonts w:cstheme="minorHAnsi"/>
        </w:rPr>
        <w:t xml:space="preserve">the </w:t>
      </w:r>
      <w:r w:rsidRPr="004F61AD">
        <w:rPr>
          <w:rFonts w:cstheme="minorHAnsi"/>
        </w:rPr>
        <w:t xml:space="preserve">Governing Council </w:t>
      </w:r>
      <w:r>
        <w:rPr>
          <w:rFonts w:cstheme="minorHAnsi"/>
        </w:rPr>
        <w:t xml:space="preserve">of the United Nations Environment </w:t>
      </w:r>
      <w:proofErr w:type="spellStart"/>
      <w:r>
        <w:rPr>
          <w:rFonts w:cstheme="minorHAnsi"/>
        </w:rPr>
        <w:t>Programme</w:t>
      </w:r>
      <w:proofErr w:type="spellEnd"/>
      <w:r>
        <w:rPr>
          <w:rFonts w:cstheme="minorHAnsi"/>
        </w:rPr>
        <w:t xml:space="preserve"> (UNEP) </w:t>
      </w:r>
      <w:r w:rsidRPr="004F61AD">
        <w:rPr>
          <w:rFonts w:cstheme="minorHAnsi"/>
        </w:rPr>
        <w:t>adopted, through d</w:t>
      </w:r>
      <w:r w:rsidRPr="004F61AD">
        <w:t>ecision UNEP/</w:t>
      </w:r>
      <w:r w:rsidRPr="004F61AD">
        <w:rPr>
          <w:rFonts w:cstheme="minorHAnsi"/>
        </w:rPr>
        <w:t>GC.27/12</w:t>
      </w:r>
      <w:r>
        <w:rPr>
          <w:rFonts w:cstheme="minorHAnsi"/>
        </w:rPr>
        <w:t>,</w:t>
      </w:r>
      <w:r w:rsidRPr="004F61AD">
        <w:rPr>
          <w:rFonts w:cstheme="minorHAnsi"/>
        </w:rPr>
        <w:t xml:space="preserve"> </w:t>
      </w:r>
      <w:r>
        <w:rPr>
          <w:rFonts w:cstheme="minorHAnsi"/>
        </w:rPr>
        <w:t>an</w:t>
      </w:r>
      <w:r w:rsidRPr="004F61AD">
        <w:rPr>
          <w:rFonts w:cstheme="minorHAnsi"/>
        </w:rPr>
        <w:t xml:space="preserve"> integrated approach to financing </w:t>
      </w:r>
      <w:r>
        <w:rPr>
          <w:rFonts w:cstheme="minorHAnsi"/>
        </w:rPr>
        <w:t xml:space="preserve">the </w:t>
      </w:r>
      <w:r w:rsidRPr="004F61AD">
        <w:rPr>
          <w:rFonts w:cstheme="minorHAnsi"/>
        </w:rPr>
        <w:t>sound management of chemicals and waste</w:t>
      </w:r>
      <w:r>
        <w:rPr>
          <w:rFonts w:cstheme="minorHAnsi"/>
        </w:rPr>
        <w:t>.</w:t>
      </w:r>
      <w:r w:rsidRPr="004F61AD">
        <w:rPr>
          <w:rFonts w:cstheme="minorHAnsi"/>
        </w:rPr>
        <w:t xml:space="preserve"> </w:t>
      </w:r>
      <w:r>
        <w:rPr>
          <w:rFonts w:cstheme="minorHAnsi"/>
        </w:rPr>
        <w:t>It</w:t>
      </w:r>
      <w:r w:rsidRPr="004F61AD">
        <w:rPr>
          <w:rFonts w:cstheme="minorHAnsi"/>
        </w:rPr>
        <w:t xml:space="preserve"> </w:t>
      </w:r>
      <w:r>
        <w:rPr>
          <w:rFonts w:cstheme="minorHAnsi"/>
        </w:rPr>
        <w:t>is composed of three complementary and interlinked components: mainstreaming, industry involvement, and dedicated external financing. The component of industry involvement promotes the use of</w:t>
      </w:r>
      <w:r w:rsidRPr="004F61AD">
        <w:rPr>
          <w:rFonts w:cstheme="minorHAnsi"/>
        </w:rPr>
        <w:t xml:space="preserve"> economic instruments</w:t>
      </w:r>
      <w:r>
        <w:rPr>
          <w:rFonts w:cstheme="minorHAnsi"/>
        </w:rPr>
        <w:t xml:space="preserve"> that are defined as</w:t>
      </w:r>
      <w:r w:rsidRPr="004F61AD">
        <w:rPr>
          <w:rFonts w:cstheme="minorHAnsi"/>
        </w:rPr>
        <w:t xml:space="preserve"> </w:t>
      </w:r>
      <w:r>
        <w:rPr>
          <w:rFonts w:cstheme="minorHAnsi"/>
        </w:rPr>
        <w:t>“</w:t>
      </w:r>
      <w:r w:rsidRPr="004F61AD">
        <w:rPr>
          <w:rFonts w:cstheme="minorHAnsi"/>
        </w:rPr>
        <w:t>a set of policy mechanisms that can provide financing for</w:t>
      </w:r>
      <w:r w:rsidRPr="00DD4979">
        <w:rPr>
          <w:rFonts w:cstheme="minorHAnsi"/>
        </w:rPr>
        <w:t xml:space="preserve"> chemicals and waste management through, in particular, cost recovery</w:t>
      </w:r>
      <w:r>
        <w:rPr>
          <w:rFonts w:cstheme="minorHAnsi"/>
        </w:rPr>
        <w:t>,</w:t>
      </w:r>
      <w:r w:rsidRPr="00DD4979">
        <w:rPr>
          <w:rFonts w:cstheme="minorHAnsi"/>
        </w:rPr>
        <w:t>” and clarifies that “cost recovery measures seek to shift the hidden public costs of managing chemicals from government budgets to private sources”</w:t>
      </w:r>
      <w:r>
        <w:rPr>
          <w:rFonts w:cstheme="minorHAnsi"/>
        </w:rPr>
        <w:t xml:space="preserve"> (UNEP, 2013b). As summarized by </w:t>
      </w:r>
      <w:r>
        <w:t>t</w:t>
      </w:r>
      <w:r w:rsidRPr="00DD4979">
        <w:t>he independent evaluation of SAICM</w:t>
      </w:r>
      <w:r>
        <w:t>,</w:t>
      </w:r>
      <w:r w:rsidRPr="00DD4979">
        <w:t xml:space="preserve"> </w:t>
      </w:r>
      <w:r w:rsidRPr="00DD4979">
        <w:rPr>
          <w:rFonts w:eastAsia="MS Mincho" w:cstheme="minorHAnsi"/>
        </w:rPr>
        <w:t>“</w:t>
      </w:r>
      <w:r>
        <w:rPr>
          <w:rFonts w:eastAsia="MS Mincho" w:cstheme="minorHAnsi"/>
        </w:rPr>
        <w:t>i</w:t>
      </w:r>
      <w:r w:rsidRPr="00DD4979">
        <w:rPr>
          <w:rFonts w:eastAsia="MS Mincho" w:cstheme="minorHAnsi"/>
        </w:rPr>
        <w:t>ndustry involvement was envisaged as meaning that industry internalizes the costs of complying with chemicals and waste regulations, with economic instruments (e.g. taxes and subsidies) used to shift the external costs of production, use and disposal of chemicals away from the public sector to the private sector”</w:t>
      </w:r>
      <w:r>
        <w:rPr>
          <w:rFonts w:eastAsia="MS Mincho" w:cstheme="minorHAnsi"/>
        </w:rPr>
        <w:t xml:space="preserve"> (SAICM, 2019).</w:t>
      </w:r>
      <w:r w:rsidRPr="00DD4979">
        <w:t xml:space="preserve"> </w:t>
      </w:r>
    </w:p>
    <w:p w14:paraId="17449355" w14:textId="77777777" w:rsidR="00D255B4" w:rsidRDefault="00D255B4" w:rsidP="00D255B4">
      <w:pPr>
        <w:jc w:val="both"/>
      </w:pPr>
    </w:p>
    <w:p w14:paraId="3CD4D9FA" w14:textId="77777777" w:rsidR="00D255B4" w:rsidRPr="00276D37" w:rsidRDefault="00D255B4" w:rsidP="00D255B4">
      <w:pPr>
        <w:jc w:val="both"/>
        <w:rPr>
          <w:rFonts w:cstheme="minorHAnsi"/>
        </w:rPr>
      </w:pPr>
      <w:r>
        <w:rPr>
          <w:rFonts w:cstheme="minorHAnsi"/>
        </w:rPr>
        <w:t xml:space="preserve">In </w:t>
      </w:r>
      <w:r w:rsidRPr="00276D37">
        <w:rPr>
          <w:rFonts w:cstheme="minorHAnsi"/>
        </w:rPr>
        <w:t xml:space="preserve">2015, ICCM4 welcomed </w:t>
      </w:r>
      <w:r>
        <w:rPr>
          <w:rFonts w:cstheme="minorHAnsi"/>
        </w:rPr>
        <w:t>the</w:t>
      </w:r>
      <w:r w:rsidRPr="00276D37">
        <w:rPr>
          <w:rFonts w:cstheme="minorHAnsi"/>
        </w:rPr>
        <w:t xml:space="preserve"> integrated approach</w:t>
      </w:r>
      <w:r>
        <w:rPr>
          <w:rFonts w:cstheme="minorHAnsi"/>
        </w:rPr>
        <w:t>,</w:t>
      </w:r>
      <w:r w:rsidRPr="00276D37">
        <w:rPr>
          <w:rFonts w:cstheme="minorHAnsi"/>
        </w:rPr>
        <w:t xml:space="preserve"> highlighted its applicability to SAICM and endorsed the </w:t>
      </w:r>
      <w:r w:rsidRPr="00276D37">
        <w:t>overall orientation and guidance (OOG)</w:t>
      </w:r>
      <w:r>
        <w:t>, which specifies “</w:t>
      </w:r>
      <w:r>
        <w:rPr>
          <w:rFonts w:cstheme="minorHAnsi"/>
        </w:rPr>
        <w:t>i</w:t>
      </w:r>
      <w:r w:rsidRPr="00276D37">
        <w:rPr>
          <w:rFonts w:cstheme="minorHAnsi"/>
        </w:rPr>
        <w:t>ndustry participation and responsibility across the life cycle, including cost recovery policies</w:t>
      </w:r>
      <w:r>
        <w:rPr>
          <w:rFonts w:cstheme="minorHAnsi"/>
        </w:rPr>
        <w:t xml:space="preserve">” as one of eleven basic elements that are considered </w:t>
      </w:r>
      <w:r w:rsidRPr="00276D37">
        <w:t xml:space="preserve">critical at the national and regional levels </w:t>
      </w:r>
      <w:r>
        <w:t>for</w:t>
      </w:r>
      <w:r w:rsidRPr="00276D37">
        <w:t xml:space="preserve"> the attainment of sound chemicals and waste management</w:t>
      </w:r>
      <w:r>
        <w:t xml:space="preserve"> </w:t>
      </w:r>
      <w:r w:rsidRPr="00276D37">
        <w:rPr>
          <w:rFonts w:cstheme="minorHAnsi"/>
        </w:rPr>
        <w:t>(SAICM, 2015)</w:t>
      </w:r>
      <w:r w:rsidRPr="00276D37">
        <w:t>.</w:t>
      </w:r>
      <w:r>
        <w:rPr>
          <w:rStyle w:val="FootnoteReference"/>
        </w:rPr>
        <w:footnoteReference w:id="2"/>
      </w:r>
      <w:r w:rsidRPr="00276D37">
        <w:t xml:space="preserve"> </w:t>
      </w:r>
      <w:r>
        <w:rPr>
          <w:rFonts w:cstheme="minorHAnsi"/>
        </w:rPr>
        <w:t>The OOG solidifies the objective in the overarching policy strategy (OPS) of SAICM, which in paragraph 19, calls for “</w:t>
      </w:r>
      <w:r w:rsidRPr="00E37B4E">
        <w:rPr>
          <w:rFonts w:cstheme="minorHAnsi"/>
        </w:rPr>
        <w:t>assessing and adopting at the national and sub</w:t>
      </w:r>
      <w:r w:rsidRPr="00E37B4E">
        <w:rPr>
          <w:rFonts w:ascii="Cambria Math" w:hAnsi="Cambria Math" w:cs="Cambria Math"/>
        </w:rPr>
        <w:t>‑</w:t>
      </w:r>
      <w:r w:rsidRPr="00E37B4E">
        <w:rPr>
          <w:rFonts w:cstheme="minorHAnsi"/>
        </w:rPr>
        <w:t>national levels economic instruments intended to internalize the external costs of chemicals</w:t>
      </w:r>
      <w:r>
        <w:rPr>
          <w:rFonts w:cstheme="minorHAnsi"/>
        </w:rPr>
        <w:t xml:space="preserve">” (SAICM, 2006a). Furthermore, the Global Plan of Action (GPA) of SAICM includes the </w:t>
      </w:r>
      <w:r w:rsidRPr="00587D2D">
        <w:rPr>
          <w:rFonts w:cstheme="minorHAnsi"/>
        </w:rPr>
        <w:t>development and application of economic instruments</w:t>
      </w:r>
      <w:r>
        <w:rPr>
          <w:rFonts w:cstheme="minorHAnsi"/>
        </w:rPr>
        <w:t xml:space="preserve"> as an activity (no. 193) (SAICM, 2006b).  </w:t>
      </w:r>
    </w:p>
    <w:p w14:paraId="4CBB2B34" w14:textId="77777777" w:rsidR="00D255B4" w:rsidRDefault="00D255B4" w:rsidP="00D255B4"/>
    <w:p w14:paraId="43754C7F" w14:textId="77777777" w:rsidR="00D255B4" w:rsidRPr="00387054" w:rsidRDefault="00D255B4" w:rsidP="00D255B4">
      <w:pPr>
        <w:jc w:val="both"/>
        <w:rPr>
          <w:rFonts w:cstheme="minorHAnsi"/>
        </w:rPr>
      </w:pPr>
      <w:r>
        <w:rPr>
          <w:rFonts w:cstheme="minorHAnsi"/>
        </w:rPr>
        <w:t>The UNEP Executive Director’s</w:t>
      </w:r>
      <w:r w:rsidRPr="00387054">
        <w:rPr>
          <w:rFonts w:cstheme="minorHAnsi"/>
        </w:rPr>
        <w:t xml:space="preserve"> evaluation of the implementation of the integrated approach to financing the sound management of chemicals and waste </w:t>
      </w:r>
      <w:r>
        <w:rPr>
          <w:rFonts w:cstheme="minorHAnsi"/>
        </w:rPr>
        <w:t xml:space="preserve">was welcomed by the fourth session of the United Nations Environment Assembly (UNEA), in March 2019 in Nairobi, Kenya </w:t>
      </w:r>
      <w:r w:rsidRPr="00387054">
        <w:rPr>
          <w:rFonts w:cstheme="minorHAnsi"/>
        </w:rPr>
        <w:t>(UNEP, 2019</w:t>
      </w:r>
      <w:r>
        <w:rPr>
          <w:rFonts w:cstheme="minorHAnsi"/>
        </w:rPr>
        <w:t>b</w:t>
      </w:r>
      <w:r w:rsidRPr="00387054">
        <w:rPr>
          <w:rFonts w:cstheme="minorHAnsi"/>
        </w:rPr>
        <w:t>)</w:t>
      </w:r>
      <w:r>
        <w:rPr>
          <w:rFonts w:cstheme="minorHAnsi"/>
        </w:rPr>
        <w:t>.</w:t>
      </w:r>
      <w:r>
        <w:rPr>
          <w:rStyle w:val="FootnoteReference"/>
          <w:rFonts w:cstheme="minorHAnsi"/>
        </w:rPr>
        <w:footnoteReference w:id="3"/>
      </w:r>
      <w:r>
        <w:rPr>
          <w:rFonts w:cstheme="minorHAnsi"/>
        </w:rPr>
        <w:t xml:space="preserve"> At </w:t>
      </w:r>
      <w:r w:rsidRPr="00387054">
        <w:rPr>
          <w:rFonts w:cstheme="minorHAnsi"/>
        </w:rPr>
        <w:t>OEWG-3</w:t>
      </w:r>
      <w:r>
        <w:rPr>
          <w:rFonts w:cstheme="minorHAnsi"/>
        </w:rPr>
        <w:t xml:space="preserve">, </w:t>
      </w:r>
      <w:r w:rsidRPr="00387054">
        <w:rPr>
          <w:rFonts w:cstheme="minorHAnsi"/>
        </w:rPr>
        <w:t>stakeholders</w:t>
      </w:r>
      <w:r>
        <w:rPr>
          <w:rFonts w:cstheme="minorHAnsi"/>
        </w:rPr>
        <w:t xml:space="preserve"> requested that</w:t>
      </w:r>
      <w:r w:rsidRPr="00387054">
        <w:rPr>
          <w:rFonts w:cstheme="minorHAnsi"/>
        </w:rPr>
        <w:t xml:space="preserve"> its conclusions and recommendations </w:t>
      </w:r>
      <w:r>
        <w:rPr>
          <w:rFonts w:cstheme="minorHAnsi"/>
        </w:rPr>
        <w:t>be considered during the preparation</w:t>
      </w:r>
      <w:r w:rsidRPr="00387054">
        <w:rPr>
          <w:rFonts w:cstheme="minorHAnsi"/>
        </w:rPr>
        <w:t xml:space="preserve"> of this report. </w:t>
      </w:r>
    </w:p>
    <w:p w14:paraId="06047F7A" w14:textId="77777777" w:rsidR="00D255B4" w:rsidRDefault="00D255B4" w:rsidP="00D255B4">
      <w:pPr>
        <w:jc w:val="both"/>
      </w:pPr>
    </w:p>
    <w:p w14:paraId="759B2EE7" w14:textId="77777777" w:rsidR="00D255B4" w:rsidRDefault="00D255B4" w:rsidP="00D255B4">
      <w:pPr>
        <w:jc w:val="both"/>
        <w:rPr>
          <w:rFonts w:cstheme="minorHAnsi"/>
        </w:rPr>
      </w:pPr>
      <w:r>
        <w:rPr>
          <w:rFonts w:cstheme="minorHAnsi"/>
        </w:rPr>
        <w:t xml:space="preserve">One of the findings of the evaluation of the integrated approach is that, because industry involvement has never been properly defined in the context of the sound management of chemicals and waste and there are no existing </w:t>
      </w:r>
      <w:r w:rsidRPr="00991CAD">
        <w:rPr>
          <w:rFonts w:cstheme="minorHAnsi"/>
        </w:rPr>
        <w:t xml:space="preserve">indicators and verification methods </w:t>
      </w:r>
      <w:r>
        <w:rPr>
          <w:rFonts w:cstheme="minorHAnsi"/>
        </w:rPr>
        <w:t xml:space="preserve">to monitor and </w:t>
      </w:r>
      <w:r w:rsidRPr="00991CAD">
        <w:t>assess industry participation</w:t>
      </w:r>
      <w:r>
        <w:rPr>
          <w:rFonts w:cstheme="minorHAnsi"/>
        </w:rPr>
        <w:t>, the level of industry involvement is largely unknown</w:t>
      </w:r>
      <w:r>
        <w:t xml:space="preserve">. </w:t>
      </w:r>
      <w:r>
        <w:rPr>
          <w:rFonts w:cstheme="minorHAnsi"/>
        </w:rPr>
        <w:t xml:space="preserve">The evaluation calls for a more strategic and pragmatic approach to enhance industry involvement, including accompanying it with outcome and impact monitoring. To this end, any measures taken to promote the use of economic instruments and cost recovery measures, which constitute an important component of industry involvement, are poorly known. </w:t>
      </w:r>
    </w:p>
    <w:p w14:paraId="5D634DFA" w14:textId="77777777" w:rsidR="00D255B4" w:rsidRDefault="00D255B4" w:rsidP="00D255B4">
      <w:pPr>
        <w:jc w:val="both"/>
        <w:rPr>
          <w:rFonts w:cstheme="minorHAnsi"/>
        </w:rPr>
      </w:pPr>
    </w:p>
    <w:p w14:paraId="45B3459D" w14:textId="77777777" w:rsidR="00D255B4" w:rsidRDefault="00D255B4" w:rsidP="00D255B4">
      <w:pPr>
        <w:jc w:val="both"/>
        <w:rPr>
          <w:rFonts w:cstheme="minorHAnsi"/>
        </w:rPr>
      </w:pPr>
      <w:r>
        <w:rPr>
          <w:rFonts w:cstheme="minorHAnsi"/>
        </w:rPr>
        <w:t>Furthermore, the evaluation also notes that, although g</w:t>
      </w:r>
      <w:r w:rsidRPr="00C70140">
        <w:rPr>
          <w:rFonts w:cstheme="minorHAnsi"/>
        </w:rPr>
        <w:t xml:space="preserve">ood examples of industry involvement </w:t>
      </w:r>
      <w:r>
        <w:rPr>
          <w:rFonts w:cstheme="minorHAnsi"/>
        </w:rPr>
        <w:t xml:space="preserve">are </w:t>
      </w:r>
      <w:r w:rsidRPr="00C70140">
        <w:rPr>
          <w:rFonts w:cstheme="minorHAnsi"/>
        </w:rPr>
        <w:t>emerging, the</w:t>
      </w:r>
      <w:r>
        <w:rPr>
          <w:rFonts w:cstheme="minorHAnsi"/>
        </w:rPr>
        <w:t>se</w:t>
      </w:r>
      <w:r w:rsidRPr="00C70140">
        <w:rPr>
          <w:rFonts w:cstheme="minorHAnsi"/>
        </w:rPr>
        <w:t xml:space="preserve"> experiences are not being synthesized to create replicable models</w:t>
      </w:r>
      <w:r>
        <w:rPr>
          <w:rFonts w:cstheme="minorHAnsi"/>
        </w:rPr>
        <w:t>.</w:t>
      </w:r>
      <w:r w:rsidRPr="00C70140">
        <w:rPr>
          <w:rFonts w:cstheme="minorHAnsi"/>
        </w:rPr>
        <w:t xml:space="preserve"> </w:t>
      </w:r>
      <w:r>
        <w:rPr>
          <w:rFonts w:cstheme="minorHAnsi"/>
        </w:rPr>
        <w:t xml:space="preserve">Consequently, there is </w:t>
      </w:r>
      <w:r w:rsidRPr="00C70140">
        <w:rPr>
          <w:rFonts w:cstheme="minorHAnsi"/>
        </w:rPr>
        <w:t xml:space="preserve">a </w:t>
      </w:r>
      <w:r>
        <w:rPr>
          <w:rFonts w:cstheme="minorHAnsi"/>
        </w:rPr>
        <w:t xml:space="preserve">need for a </w:t>
      </w:r>
      <w:r w:rsidRPr="00C70140">
        <w:rPr>
          <w:rFonts w:cstheme="minorHAnsi"/>
        </w:rPr>
        <w:t>clear</w:t>
      </w:r>
      <w:r>
        <w:rPr>
          <w:rFonts w:cstheme="minorHAnsi"/>
        </w:rPr>
        <w:t>er</w:t>
      </w:r>
      <w:r w:rsidRPr="00C70140">
        <w:rPr>
          <w:rFonts w:cstheme="minorHAnsi"/>
        </w:rPr>
        <w:t xml:space="preserve"> idea of what successful industry involvement </w:t>
      </w:r>
      <w:r>
        <w:rPr>
          <w:rFonts w:cstheme="minorHAnsi"/>
        </w:rPr>
        <w:t xml:space="preserve">at the national levels </w:t>
      </w:r>
      <w:r w:rsidRPr="00C70140">
        <w:rPr>
          <w:rFonts w:cstheme="minorHAnsi"/>
        </w:rPr>
        <w:t>should look like</w:t>
      </w:r>
      <w:r>
        <w:rPr>
          <w:rFonts w:cstheme="minorHAnsi"/>
        </w:rPr>
        <w:t xml:space="preserve">, including the use of economic instruments. </w:t>
      </w:r>
    </w:p>
    <w:p w14:paraId="0982710E" w14:textId="77777777" w:rsidR="00D255B4" w:rsidRDefault="00D255B4" w:rsidP="00D255B4">
      <w:pPr>
        <w:jc w:val="both"/>
        <w:rPr>
          <w:rFonts w:cstheme="minorHAnsi"/>
        </w:rPr>
      </w:pPr>
    </w:p>
    <w:p w14:paraId="6C37D178" w14:textId="77777777" w:rsidR="00D255B4" w:rsidRDefault="00D255B4" w:rsidP="00D255B4">
      <w:pPr>
        <w:jc w:val="both"/>
        <w:rPr>
          <w:rFonts w:cstheme="minorHAnsi"/>
        </w:rPr>
      </w:pPr>
      <w:r>
        <w:rPr>
          <w:rFonts w:cstheme="minorHAnsi"/>
        </w:rPr>
        <w:t xml:space="preserve">The evaluation also recommends UNEP to </w:t>
      </w:r>
      <w:r w:rsidRPr="00982F52">
        <w:rPr>
          <w:rFonts w:cstheme="minorHAnsi"/>
        </w:rPr>
        <w:t>prepare an updated guidance on the integrated</w:t>
      </w:r>
      <w:r>
        <w:rPr>
          <w:rFonts w:cstheme="minorHAnsi"/>
        </w:rPr>
        <w:t xml:space="preserve"> approach and to reframe its narrative around the 2030 Agenda on Sustainable Development.</w:t>
      </w:r>
      <w:r>
        <w:rPr>
          <w:rStyle w:val="FootnoteReference"/>
          <w:rFonts w:cstheme="minorHAnsi"/>
        </w:rPr>
        <w:footnoteReference w:id="4"/>
      </w:r>
      <w:r>
        <w:rPr>
          <w:rFonts w:cstheme="minorHAnsi"/>
        </w:rPr>
        <w:t xml:space="preserve"> The evaluation further highlights that the SAICM Secretariat has assumed the role of a key broker in implementing the integrated approach and recommends the role of SAICM and its successor in delivering the integrated approach be reviewed and assessed.</w:t>
      </w:r>
      <w:r>
        <w:rPr>
          <w:rStyle w:val="FootnoteReference"/>
          <w:rFonts w:cstheme="minorHAnsi"/>
        </w:rPr>
        <w:footnoteReference w:id="5"/>
      </w:r>
      <w:r>
        <w:rPr>
          <w:rFonts w:cstheme="minorHAnsi"/>
        </w:rPr>
        <w:t xml:space="preserve"> </w:t>
      </w:r>
    </w:p>
    <w:p w14:paraId="346BC8F4" w14:textId="77777777" w:rsidR="00D255B4" w:rsidRDefault="00D255B4" w:rsidP="00D255B4">
      <w:pPr>
        <w:jc w:val="both"/>
        <w:rPr>
          <w:rFonts w:cstheme="minorHAnsi"/>
        </w:rPr>
      </w:pPr>
    </w:p>
    <w:p w14:paraId="260902E5" w14:textId="77777777" w:rsidR="00D255B4" w:rsidRDefault="00D255B4" w:rsidP="00D255B4">
      <w:pPr>
        <w:jc w:val="both"/>
        <w:rPr>
          <w:rFonts w:cstheme="minorHAnsi"/>
        </w:rPr>
      </w:pPr>
    </w:p>
    <w:p w14:paraId="42C0E541" w14:textId="77777777" w:rsidR="00D255B4" w:rsidRDefault="00D255B4" w:rsidP="00D255B4">
      <w:pPr>
        <w:pStyle w:val="Heading2"/>
      </w:pPr>
      <w:bookmarkStart w:id="7" w:name="_Toc19213814"/>
      <w:r>
        <w:t>2.2 Definitions</w:t>
      </w:r>
      <w:bookmarkEnd w:id="7"/>
      <w:r>
        <w:t xml:space="preserve"> </w:t>
      </w:r>
    </w:p>
    <w:p w14:paraId="7D27D530" w14:textId="77777777" w:rsidR="00D255B4" w:rsidRDefault="00D255B4" w:rsidP="00D255B4">
      <w:pPr>
        <w:jc w:val="both"/>
      </w:pPr>
    </w:p>
    <w:p w14:paraId="7C2A85D3" w14:textId="77777777" w:rsidR="00D255B4" w:rsidRDefault="00D255B4" w:rsidP="00D255B4">
      <w:pPr>
        <w:jc w:val="both"/>
      </w:pPr>
      <w:r>
        <w:t xml:space="preserve">Definitions for key terms used in this report are listed below: </w:t>
      </w:r>
    </w:p>
    <w:p w14:paraId="065CE55E" w14:textId="77777777" w:rsidR="00D255B4" w:rsidRDefault="00D255B4" w:rsidP="00D255B4">
      <w:pPr>
        <w:jc w:val="both"/>
      </w:pPr>
    </w:p>
    <w:p w14:paraId="34D80869" w14:textId="77777777" w:rsidR="00D255B4" w:rsidRPr="00246898" w:rsidRDefault="00D255B4" w:rsidP="00D54D68">
      <w:pPr>
        <w:pStyle w:val="ListParagraph"/>
        <w:numPr>
          <w:ilvl w:val="0"/>
          <w:numId w:val="5"/>
        </w:numPr>
        <w:spacing w:after="160" w:line="259" w:lineRule="auto"/>
        <w:jc w:val="both"/>
        <w:rPr>
          <w:rFonts w:cstheme="minorHAnsi"/>
        </w:rPr>
      </w:pPr>
      <w:bookmarkStart w:id="8" w:name="_Hlk16689581"/>
      <w:r w:rsidRPr="00246898">
        <w:rPr>
          <w:rFonts w:cstheme="minorHAnsi"/>
          <w:b/>
          <w:bCs/>
        </w:rPr>
        <w:t>Polluter pays principle</w:t>
      </w:r>
      <w:r w:rsidRPr="00246898">
        <w:rPr>
          <w:rFonts w:cstheme="minorHAnsi"/>
        </w:rPr>
        <w:t xml:space="preserve"> “National authorities should </w:t>
      </w:r>
      <w:proofErr w:type="spellStart"/>
      <w:r w:rsidRPr="00246898">
        <w:rPr>
          <w:rFonts w:cstheme="minorHAnsi"/>
        </w:rPr>
        <w:t>endeavour</w:t>
      </w:r>
      <w:proofErr w:type="spellEnd"/>
      <w:r w:rsidRPr="00246898">
        <w:rPr>
          <w:rFonts w:cstheme="minorHAnsi"/>
        </w:rPr>
        <w:t xml:space="preserve"> to promote the internalization of environmental costs and the use of economic instruments, taking into account the approach that the polluter should, in principle, bear the cost of pollution, with due regard to the public interest and without distorting international trade and investment.” (UN, 1992) </w:t>
      </w:r>
    </w:p>
    <w:p w14:paraId="5EC78600" w14:textId="77777777" w:rsidR="00D255B4" w:rsidRPr="00246898" w:rsidRDefault="00D255B4" w:rsidP="00D54D68">
      <w:pPr>
        <w:pStyle w:val="ListParagraph"/>
        <w:numPr>
          <w:ilvl w:val="0"/>
          <w:numId w:val="5"/>
        </w:numPr>
        <w:spacing w:after="160" w:line="259" w:lineRule="auto"/>
        <w:jc w:val="both"/>
        <w:rPr>
          <w:rFonts w:cstheme="minorHAnsi"/>
        </w:rPr>
      </w:pPr>
      <w:r w:rsidRPr="00246898">
        <w:rPr>
          <w:rFonts w:cstheme="minorHAnsi"/>
          <w:b/>
          <w:bCs/>
        </w:rPr>
        <w:t>Economic instruments:</w:t>
      </w:r>
      <w:r w:rsidRPr="00246898">
        <w:rPr>
          <w:rFonts w:cstheme="minorHAnsi"/>
        </w:rPr>
        <w:t xml:space="preserve"> “Set of policy mechanisms that can provide financing for chemicals and wastes management through, in particular, cost recovery” (UNEP, 2013</w:t>
      </w:r>
      <w:r>
        <w:rPr>
          <w:rFonts w:cstheme="minorHAnsi"/>
        </w:rPr>
        <w:t>a</w:t>
      </w:r>
      <w:r w:rsidRPr="00246898">
        <w:rPr>
          <w:rFonts w:cstheme="minorHAnsi"/>
        </w:rPr>
        <w:t>)</w:t>
      </w:r>
    </w:p>
    <w:p w14:paraId="276C9062" w14:textId="77777777" w:rsidR="00D255B4" w:rsidRPr="00246898" w:rsidRDefault="00D255B4" w:rsidP="00D54D68">
      <w:pPr>
        <w:pStyle w:val="ListParagraph"/>
        <w:numPr>
          <w:ilvl w:val="0"/>
          <w:numId w:val="5"/>
        </w:numPr>
        <w:spacing w:after="160" w:line="259" w:lineRule="auto"/>
        <w:jc w:val="both"/>
        <w:rPr>
          <w:rFonts w:cstheme="minorHAnsi"/>
        </w:rPr>
      </w:pPr>
      <w:r w:rsidRPr="00246898">
        <w:rPr>
          <w:rFonts w:cstheme="minorHAnsi"/>
          <w:b/>
          <w:bCs/>
        </w:rPr>
        <w:t>Cost recovery</w:t>
      </w:r>
      <w:r>
        <w:rPr>
          <w:rFonts w:cstheme="minorHAnsi"/>
          <w:b/>
          <w:bCs/>
        </w:rPr>
        <w:t>:</w:t>
      </w:r>
      <w:r w:rsidRPr="00246898">
        <w:rPr>
          <w:rFonts w:cstheme="minorHAnsi"/>
          <w:b/>
          <w:bCs/>
        </w:rPr>
        <w:t xml:space="preserve"> </w:t>
      </w:r>
      <w:r w:rsidRPr="00823909">
        <w:rPr>
          <w:rFonts w:cstheme="minorHAnsi"/>
        </w:rPr>
        <w:t>Fees paid by the regulated industries to cover costs of chemicals control activities</w:t>
      </w:r>
      <w:r>
        <w:rPr>
          <w:rFonts w:cstheme="minorHAnsi"/>
          <w:b/>
          <w:bCs/>
        </w:rPr>
        <w:t xml:space="preserve"> </w:t>
      </w:r>
      <w:r w:rsidRPr="00246898">
        <w:rPr>
          <w:rFonts w:cstheme="minorHAnsi"/>
        </w:rPr>
        <w:t xml:space="preserve">(UNEP, </w:t>
      </w:r>
      <w:r>
        <w:rPr>
          <w:rFonts w:cstheme="minorHAnsi"/>
        </w:rPr>
        <w:t>2019c</w:t>
      </w:r>
      <w:r w:rsidRPr="00246898">
        <w:rPr>
          <w:rFonts w:cstheme="minorHAnsi"/>
        </w:rPr>
        <w:t>)</w:t>
      </w:r>
    </w:p>
    <w:bookmarkEnd w:id="8"/>
    <w:p w14:paraId="0AEBC60A" w14:textId="77777777" w:rsidR="00D255B4" w:rsidRPr="007245E1" w:rsidRDefault="00D255B4" w:rsidP="00D54D68">
      <w:pPr>
        <w:pStyle w:val="ListParagraph"/>
        <w:numPr>
          <w:ilvl w:val="0"/>
          <w:numId w:val="5"/>
        </w:numPr>
        <w:spacing w:after="160" w:line="259" w:lineRule="auto"/>
        <w:jc w:val="both"/>
        <w:rPr>
          <w:rFonts w:cstheme="minorHAnsi"/>
        </w:rPr>
      </w:pPr>
      <w:r w:rsidRPr="007245E1">
        <w:rPr>
          <w:rFonts w:cstheme="minorHAnsi"/>
          <w:b/>
          <w:bCs/>
        </w:rPr>
        <w:t>Extended Producer Responsibility</w:t>
      </w:r>
      <w:r w:rsidRPr="007245E1">
        <w:rPr>
          <w:rFonts w:cstheme="minorHAnsi"/>
        </w:rPr>
        <w:t>: “Policy approach in which producers’ responsibility, physical and/or financial, for a product is extended to the post-consumer stage of a product’s life-cycle” (OECD, 2001)</w:t>
      </w:r>
    </w:p>
    <w:p w14:paraId="12191739" w14:textId="77777777" w:rsidR="00D255B4" w:rsidRPr="007245E1" w:rsidRDefault="00D255B4" w:rsidP="00D54D68">
      <w:pPr>
        <w:pStyle w:val="ListParagraph"/>
        <w:numPr>
          <w:ilvl w:val="0"/>
          <w:numId w:val="5"/>
        </w:numPr>
        <w:spacing w:after="160" w:line="259" w:lineRule="auto"/>
        <w:jc w:val="both"/>
        <w:rPr>
          <w:rFonts w:cstheme="minorHAnsi"/>
          <w:b/>
          <w:bCs/>
        </w:rPr>
      </w:pPr>
      <w:r w:rsidRPr="007245E1">
        <w:rPr>
          <w:rFonts w:cstheme="minorHAnsi"/>
          <w:b/>
          <w:bCs/>
        </w:rPr>
        <w:t>Tax “</w:t>
      </w:r>
      <w:r w:rsidRPr="007245E1">
        <w:rPr>
          <w:rFonts w:cstheme="minorHAnsi"/>
        </w:rPr>
        <w:t>Compulsory, unrequited payment to government levied on tax base with a proven, specific negative impact on the environment” (OECD, 2016</w:t>
      </w:r>
      <w:r>
        <w:rPr>
          <w:rFonts w:cstheme="minorHAnsi"/>
        </w:rPr>
        <w:t>a</w:t>
      </w:r>
      <w:r w:rsidRPr="007245E1">
        <w:rPr>
          <w:rFonts w:cstheme="minorHAnsi"/>
        </w:rPr>
        <w:t>)</w:t>
      </w:r>
    </w:p>
    <w:p w14:paraId="679C91EA" w14:textId="77777777" w:rsidR="00D255B4" w:rsidRPr="007245E1" w:rsidRDefault="00D255B4" w:rsidP="00D54D68">
      <w:pPr>
        <w:pStyle w:val="ListParagraph"/>
        <w:numPr>
          <w:ilvl w:val="0"/>
          <w:numId w:val="5"/>
        </w:numPr>
        <w:spacing w:line="259" w:lineRule="auto"/>
        <w:jc w:val="both"/>
        <w:rPr>
          <w:rFonts w:cstheme="minorHAnsi"/>
          <w:b/>
          <w:bCs/>
        </w:rPr>
      </w:pPr>
      <w:r w:rsidRPr="007245E1">
        <w:rPr>
          <w:rFonts w:cstheme="minorHAnsi"/>
          <w:b/>
          <w:bCs/>
        </w:rPr>
        <w:t>Fee “</w:t>
      </w:r>
      <w:r w:rsidRPr="007245E1">
        <w:rPr>
          <w:rFonts w:cstheme="minorHAnsi"/>
        </w:rPr>
        <w:t>Compulsory requited payments to the government that are levied in proportion to the services provided” (OECD, 2016</w:t>
      </w:r>
      <w:r>
        <w:rPr>
          <w:rFonts w:cstheme="minorHAnsi"/>
        </w:rPr>
        <w:t>a</w:t>
      </w:r>
      <w:r w:rsidRPr="007245E1">
        <w:rPr>
          <w:rFonts w:cstheme="minorHAnsi"/>
        </w:rPr>
        <w:t>)</w:t>
      </w:r>
    </w:p>
    <w:p w14:paraId="7C969E4A" w14:textId="77777777" w:rsidR="00D255B4" w:rsidRPr="007245E1" w:rsidRDefault="00D255B4" w:rsidP="00D54D68">
      <w:pPr>
        <w:pStyle w:val="ListParagraph"/>
        <w:numPr>
          <w:ilvl w:val="0"/>
          <w:numId w:val="5"/>
        </w:numPr>
        <w:spacing w:line="259" w:lineRule="auto"/>
        <w:jc w:val="both"/>
        <w:rPr>
          <w:rFonts w:cstheme="minorHAnsi"/>
          <w:b/>
          <w:bCs/>
        </w:rPr>
      </w:pPr>
      <w:r w:rsidRPr="007245E1">
        <w:rPr>
          <w:rFonts w:cstheme="minorHAnsi"/>
          <w:b/>
          <w:bCs/>
        </w:rPr>
        <w:t>Subsidy “</w:t>
      </w:r>
      <w:r w:rsidRPr="007245E1">
        <w:rPr>
          <w:rFonts w:cstheme="minorHAnsi"/>
        </w:rPr>
        <w:t>Reduces directly or indirectly the use of something that has a proven, specific negative impact on the environment” (OECD</w:t>
      </w:r>
      <w:r>
        <w:rPr>
          <w:rFonts w:cstheme="minorHAnsi"/>
        </w:rPr>
        <w:t>,</w:t>
      </w:r>
      <w:r w:rsidRPr="007245E1">
        <w:rPr>
          <w:rFonts w:cstheme="minorHAnsi"/>
        </w:rPr>
        <w:t xml:space="preserve"> 2016</w:t>
      </w:r>
      <w:r>
        <w:rPr>
          <w:rFonts w:cstheme="minorHAnsi"/>
        </w:rPr>
        <w:t>a</w:t>
      </w:r>
      <w:r w:rsidRPr="007245E1">
        <w:rPr>
          <w:rFonts w:cstheme="minorHAnsi"/>
        </w:rPr>
        <w:t>)</w:t>
      </w:r>
    </w:p>
    <w:p w14:paraId="39436662" w14:textId="77777777" w:rsidR="00D255B4" w:rsidRPr="007245E1" w:rsidRDefault="00D255B4" w:rsidP="00D54D68">
      <w:pPr>
        <w:pStyle w:val="ListParagraph"/>
        <w:numPr>
          <w:ilvl w:val="0"/>
          <w:numId w:val="5"/>
        </w:numPr>
        <w:spacing w:line="259" w:lineRule="auto"/>
        <w:jc w:val="both"/>
        <w:rPr>
          <w:rFonts w:cstheme="minorHAnsi"/>
          <w:b/>
          <w:bCs/>
        </w:rPr>
      </w:pPr>
      <w:r w:rsidRPr="007245E1">
        <w:rPr>
          <w:rFonts w:cstheme="minorHAnsi"/>
          <w:b/>
          <w:bCs/>
        </w:rPr>
        <w:t>Deposit refund systems</w:t>
      </w:r>
      <w:r>
        <w:rPr>
          <w:rFonts w:cstheme="minorHAnsi"/>
          <w:b/>
          <w:bCs/>
        </w:rPr>
        <w:t>:</w:t>
      </w:r>
      <w:r w:rsidRPr="007245E1">
        <w:rPr>
          <w:rFonts w:cstheme="minorHAnsi"/>
          <w:b/>
          <w:bCs/>
        </w:rPr>
        <w:t xml:space="preserve"> </w:t>
      </w:r>
      <w:r w:rsidRPr="007245E1">
        <w:rPr>
          <w:rFonts w:cstheme="minorHAnsi"/>
        </w:rPr>
        <w:t>Combination of a product charge (the deposit) and a subsidy for recycling or proper disposal (the refund), generally with the objective to discourage illegal or improper disposal (OECD, 2016</w:t>
      </w:r>
      <w:r>
        <w:rPr>
          <w:rFonts w:cstheme="minorHAnsi"/>
        </w:rPr>
        <w:t>a</w:t>
      </w:r>
      <w:r w:rsidRPr="007245E1">
        <w:rPr>
          <w:rFonts w:cstheme="minorHAnsi"/>
        </w:rPr>
        <w:t>)</w:t>
      </w:r>
    </w:p>
    <w:p w14:paraId="69BB8DD9" w14:textId="77777777" w:rsidR="00D255B4" w:rsidRPr="00455F8E" w:rsidRDefault="00D255B4" w:rsidP="00D54D68">
      <w:pPr>
        <w:pStyle w:val="ListParagraph"/>
        <w:numPr>
          <w:ilvl w:val="0"/>
          <w:numId w:val="5"/>
        </w:numPr>
        <w:spacing w:line="259" w:lineRule="auto"/>
        <w:jc w:val="both"/>
        <w:rPr>
          <w:rFonts w:cstheme="minorHAnsi"/>
          <w:b/>
          <w:bCs/>
        </w:rPr>
      </w:pPr>
      <w:r w:rsidRPr="007245E1">
        <w:rPr>
          <w:rFonts w:cstheme="minorHAnsi"/>
          <w:b/>
          <w:bCs/>
        </w:rPr>
        <w:t xml:space="preserve">Risk reduction </w:t>
      </w:r>
      <w:r w:rsidRPr="007245E1">
        <w:rPr>
          <w:rFonts w:cstheme="minorHAnsi"/>
        </w:rPr>
        <w:t xml:space="preserve">“Chemicals or chemical uses that pose an unreasonable and otherwise unmanageable risk to human health and the environment based on a </w:t>
      </w:r>
      <w:r w:rsidRPr="007245E1">
        <w:rPr>
          <w:rFonts w:cstheme="minorHAnsi"/>
        </w:rPr>
        <w:lastRenderedPageBreak/>
        <w:t>science</w:t>
      </w:r>
      <w:r w:rsidRPr="007245E1">
        <w:rPr>
          <w:rFonts w:ascii="Cambria Math" w:hAnsi="Cambria Math" w:cs="Cambria Math"/>
        </w:rPr>
        <w:t>‑</w:t>
      </w:r>
      <w:r w:rsidRPr="007245E1">
        <w:rPr>
          <w:rFonts w:cstheme="minorHAnsi"/>
        </w:rPr>
        <w:t>based risk assessment and taking into account</w:t>
      </w:r>
      <w:r w:rsidRPr="00455F8E">
        <w:rPr>
          <w:rFonts w:cstheme="minorHAnsi"/>
        </w:rPr>
        <w:t xml:space="preserve"> the costs and benefits as well as the availability of safer substitutes and their efficacy, are no longer produced or used.” (SAICM, 20</w:t>
      </w:r>
      <w:r>
        <w:rPr>
          <w:rFonts w:cstheme="minorHAnsi"/>
        </w:rPr>
        <w:t>0</w:t>
      </w:r>
      <w:r w:rsidRPr="00455F8E">
        <w:rPr>
          <w:rFonts w:cstheme="minorHAnsi"/>
        </w:rPr>
        <w:t>6a)</w:t>
      </w:r>
    </w:p>
    <w:p w14:paraId="5B3DAC46" w14:textId="77777777" w:rsidR="00D255B4" w:rsidRDefault="00D255B4" w:rsidP="00D255B4">
      <w:pPr>
        <w:jc w:val="both"/>
        <w:rPr>
          <w:rFonts w:cstheme="minorHAnsi"/>
        </w:rPr>
      </w:pPr>
    </w:p>
    <w:p w14:paraId="6806EF97" w14:textId="77777777" w:rsidR="00D255B4" w:rsidRDefault="00D255B4" w:rsidP="00D255B4">
      <w:pPr>
        <w:jc w:val="both"/>
        <w:rPr>
          <w:rFonts w:cstheme="minorHAnsi"/>
        </w:rPr>
      </w:pPr>
    </w:p>
    <w:p w14:paraId="6D225EDA" w14:textId="77777777" w:rsidR="00D255B4" w:rsidRDefault="00D255B4" w:rsidP="00D255B4">
      <w:pPr>
        <w:pStyle w:val="Heading2"/>
        <w:spacing w:before="0"/>
      </w:pPr>
      <w:bookmarkStart w:id="9" w:name="_Toc19213815"/>
      <w:r>
        <w:t>2.3 Methodology</w:t>
      </w:r>
      <w:bookmarkEnd w:id="9"/>
      <w:r>
        <w:t xml:space="preserve"> </w:t>
      </w:r>
    </w:p>
    <w:p w14:paraId="5A9DB9B8" w14:textId="77777777" w:rsidR="00D255B4" w:rsidRDefault="00D255B4" w:rsidP="00D255B4">
      <w:pPr>
        <w:jc w:val="both"/>
        <w:rPr>
          <w:b/>
          <w:bCs/>
        </w:rPr>
      </w:pPr>
    </w:p>
    <w:p w14:paraId="6FEAB0AA" w14:textId="77777777" w:rsidR="00D255B4" w:rsidRDefault="00D255B4" w:rsidP="00D255B4">
      <w:pPr>
        <w:jc w:val="both"/>
        <w:rPr>
          <w:rFonts w:cstheme="minorHAnsi"/>
        </w:rPr>
      </w:pPr>
      <w:bookmarkStart w:id="10" w:name="_Hlk16689340"/>
      <w:r>
        <w:rPr>
          <w:rFonts w:cstheme="minorHAnsi"/>
        </w:rPr>
        <w:t xml:space="preserve">This report is based on input received from stakeholders, a literature review and semi-structured interviews with key stakeholders from governments, UN bodies, academia, the private sector and non-governmental organizations (NGOs).  </w:t>
      </w:r>
      <w:bookmarkEnd w:id="10"/>
      <w:r>
        <w:rPr>
          <w:rFonts w:cstheme="minorHAnsi"/>
        </w:rPr>
        <w:t>Following the request of the OEWG-3, the Secretariat invited stakeholders to submit input for this review. Responses were received from two countries (Iraq and Madagascar), the United Nations Rapporteur on human rights and hazardous substances and wastes, the Research and Education Center for Development (</w:t>
      </w:r>
      <w:r w:rsidRPr="00643A0E">
        <w:rPr>
          <w:rFonts w:cstheme="minorHAnsi"/>
        </w:rPr>
        <w:t>C</w:t>
      </w:r>
      <w:r>
        <w:rPr>
          <w:rFonts w:cstheme="minorHAnsi"/>
        </w:rPr>
        <w:t>R</w:t>
      </w:r>
      <w:r w:rsidRPr="00643A0E">
        <w:rPr>
          <w:rFonts w:cstheme="minorHAnsi"/>
        </w:rPr>
        <w:t>EPD</w:t>
      </w:r>
      <w:r>
        <w:rPr>
          <w:rFonts w:cstheme="minorHAnsi"/>
        </w:rPr>
        <w:t>)</w:t>
      </w:r>
      <w:r w:rsidRPr="00643A0E">
        <w:rPr>
          <w:rFonts w:cstheme="minorHAnsi"/>
        </w:rPr>
        <w:t xml:space="preserve">, IPEN, the </w:t>
      </w:r>
      <w:r>
        <w:rPr>
          <w:rFonts w:cstheme="minorHAnsi"/>
        </w:rPr>
        <w:t xml:space="preserve">Pesticide Action Network and a joint submission from 11 other NGOs.  These inputs are available on the </w:t>
      </w:r>
      <w:proofErr w:type="spellStart"/>
      <w:r>
        <w:rPr>
          <w:rFonts w:cstheme="minorHAnsi"/>
        </w:rPr>
        <w:t>saicm</w:t>
      </w:r>
      <w:proofErr w:type="spellEnd"/>
      <w:r>
        <w:rPr>
          <w:rFonts w:cstheme="minorHAnsi"/>
        </w:rPr>
        <w:t xml:space="preserve"> web-site (www.saicm.org).</w:t>
      </w:r>
    </w:p>
    <w:p w14:paraId="19886E62" w14:textId="77777777" w:rsidR="00D255B4" w:rsidRDefault="00D255B4" w:rsidP="00D255B4">
      <w:pPr>
        <w:jc w:val="both"/>
        <w:rPr>
          <w:rFonts w:cstheme="minorHAnsi"/>
        </w:rPr>
      </w:pPr>
    </w:p>
    <w:p w14:paraId="21FF6C90" w14:textId="77777777" w:rsidR="00D255B4" w:rsidRDefault="00D255B4" w:rsidP="00D255B4">
      <w:pPr>
        <w:jc w:val="both"/>
        <w:rPr>
          <w:rFonts w:cstheme="minorHAnsi"/>
        </w:rPr>
      </w:pPr>
    </w:p>
    <w:p w14:paraId="5EF48450" w14:textId="77777777" w:rsidR="00D255B4" w:rsidRDefault="00D255B4" w:rsidP="00D255B4">
      <w:pPr>
        <w:jc w:val="both"/>
        <w:rPr>
          <w:rFonts w:cstheme="minorHAnsi"/>
        </w:rPr>
      </w:pPr>
    </w:p>
    <w:p w14:paraId="6584CD26" w14:textId="77777777" w:rsidR="00D255B4" w:rsidRDefault="00D255B4" w:rsidP="00D255B4">
      <w:pPr>
        <w:jc w:val="both"/>
        <w:rPr>
          <w:rFonts w:cstheme="minorHAnsi"/>
        </w:rPr>
      </w:pPr>
    </w:p>
    <w:p w14:paraId="32BF0DB6" w14:textId="77777777" w:rsidR="00D255B4" w:rsidRDefault="00D255B4" w:rsidP="00D255B4">
      <w:pPr>
        <w:jc w:val="both"/>
        <w:rPr>
          <w:rFonts w:cstheme="minorHAnsi"/>
        </w:rPr>
      </w:pPr>
    </w:p>
    <w:p w14:paraId="667DCFF6" w14:textId="77777777" w:rsidR="00D255B4" w:rsidRDefault="00D255B4" w:rsidP="00D255B4">
      <w:pPr>
        <w:jc w:val="both"/>
        <w:rPr>
          <w:rFonts w:cstheme="minorHAnsi"/>
        </w:rPr>
      </w:pPr>
    </w:p>
    <w:p w14:paraId="03A01033" w14:textId="77777777" w:rsidR="00D255B4" w:rsidRDefault="00D255B4" w:rsidP="00D255B4">
      <w:pPr>
        <w:jc w:val="both"/>
        <w:rPr>
          <w:rFonts w:cstheme="minorHAnsi"/>
        </w:rPr>
      </w:pPr>
    </w:p>
    <w:p w14:paraId="2E9A235C" w14:textId="77777777" w:rsidR="00D255B4" w:rsidRDefault="00D255B4" w:rsidP="00D255B4">
      <w:pPr>
        <w:jc w:val="both"/>
        <w:rPr>
          <w:rFonts w:cstheme="minorHAnsi"/>
        </w:rPr>
      </w:pPr>
    </w:p>
    <w:p w14:paraId="6A4B480D" w14:textId="77777777" w:rsidR="00D255B4" w:rsidRDefault="00D255B4" w:rsidP="00D255B4">
      <w:pPr>
        <w:jc w:val="both"/>
        <w:rPr>
          <w:rFonts w:cstheme="minorHAnsi"/>
        </w:rPr>
      </w:pPr>
    </w:p>
    <w:p w14:paraId="65180D70" w14:textId="77777777" w:rsidR="00D255B4" w:rsidRDefault="00D255B4" w:rsidP="00D255B4">
      <w:pPr>
        <w:jc w:val="both"/>
        <w:rPr>
          <w:rFonts w:cstheme="minorHAnsi"/>
        </w:rPr>
      </w:pPr>
    </w:p>
    <w:p w14:paraId="66C85F0C" w14:textId="77777777" w:rsidR="00D255B4" w:rsidRDefault="00D255B4" w:rsidP="00D255B4">
      <w:pPr>
        <w:jc w:val="both"/>
        <w:rPr>
          <w:rFonts w:cstheme="minorHAnsi"/>
        </w:rPr>
      </w:pPr>
    </w:p>
    <w:p w14:paraId="2FF335A3" w14:textId="77777777" w:rsidR="00D255B4" w:rsidRDefault="00D255B4" w:rsidP="00D255B4">
      <w:pPr>
        <w:jc w:val="both"/>
        <w:rPr>
          <w:rFonts w:cstheme="minorHAnsi"/>
        </w:rPr>
      </w:pPr>
    </w:p>
    <w:p w14:paraId="205D85BC" w14:textId="77777777" w:rsidR="00D255B4" w:rsidRDefault="00D255B4" w:rsidP="00D255B4">
      <w:pPr>
        <w:jc w:val="both"/>
        <w:rPr>
          <w:rFonts w:cstheme="minorHAnsi"/>
        </w:rPr>
      </w:pPr>
    </w:p>
    <w:p w14:paraId="3EE036C4" w14:textId="77777777" w:rsidR="00D255B4" w:rsidRDefault="00D255B4" w:rsidP="00D255B4">
      <w:pPr>
        <w:jc w:val="both"/>
        <w:rPr>
          <w:rFonts w:cstheme="minorHAnsi"/>
        </w:rPr>
      </w:pPr>
    </w:p>
    <w:p w14:paraId="3AA1E342" w14:textId="77777777" w:rsidR="00D255B4" w:rsidRDefault="00D255B4" w:rsidP="00D255B4">
      <w:pPr>
        <w:jc w:val="both"/>
        <w:rPr>
          <w:rFonts w:cstheme="minorHAnsi"/>
        </w:rPr>
      </w:pPr>
    </w:p>
    <w:p w14:paraId="6F981D96" w14:textId="77777777" w:rsidR="00D255B4" w:rsidRDefault="00D255B4" w:rsidP="00D255B4">
      <w:pPr>
        <w:jc w:val="both"/>
        <w:rPr>
          <w:rFonts w:cstheme="minorHAnsi"/>
        </w:rPr>
      </w:pPr>
    </w:p>
    <w:p w14:paraId="39B3EFB0" w14:textId="77777777" w:rsidR="00D255B4" w:rsidRDefault="00D255B4" w:rsidP="00D255B4">
      <w:pPr>
        <w:jc w:val="both"/>
        <w:rPr>
          <w:rFonts w:cstheme="minorHAnsi"/>
        </w:rPr>
      </w:pPr>
    </w:p>
    <w:p w14:paraId="46FF17DE" w14:textId="77777777" w:rsidR="00D255B4" w:rsidRDefault="00D255B4" w:rsidP="00D255B4">
      <w:pPr>
        <w:jc w:val="both"/>
        <w:rPr>
          <w:rFonts w:cstheme="minorHAnsi"/>
        </w:rPr>
      </w:pPr>
    </w:p>
    <w:p w14:paraId="43436CD3" w14:textId="77777777" w:rsidR="00D255B4" w:rsidRDefault="00D255B4" w:rsidP="00D255B4">
      <w:pPr>
        <w:jc w:val="both"/>
        <w:rPr>
          <w:rFonts w:cstheme="minorHAnsi"/>
        </w:rPr>
      </w:pPr>
    </w:p>
    <w:p w14:paraId="0CB2B7F1" w14:textId="77777777" w:rsidR="00D255B4" w:rsidRDefault="00D255B4" w:rsidP="00D255B4">
      <w:pPr>
        <w:jc w:val="both"/>
        <w:rPr>
          <w:rFonts w:cstheme="minorHAnsi"/>
        </w:rPr>
      </w:pPr>
    </w:p>
    <w:p w14:paraId="3F47517F" w14:textId="77777777" w:rsidR="00D255B4" w:rsidRDefault="00D255B4" w:rsidP="00D255B4">
      <w:pPr>
        <w:jc w:val="both"/>
        <w:rPr>
          <w:rFonts w:cstheme="minorHAnsi"/>
        </w:rPr>
      </w:pPr>
    </w:p>
    <w:p w14:paraId="2E0E50C7" w14:textId="77777777" w:rsidR="00D255B4" w:rsidRDefault="00D255B4" w:rsidP="00D255B4">
      <w:pPr>
        <w:jc w:val="both"/>
        <w:rPr>
          <w:rFonts w:cstheme="minorHAnsi"/>
        </w:rPr>
      </w:pPr>
    </w:p>
    <w:p w14:paraId="763D9B63" w14:textId="77777777" w:rsidR="00D255B4" w:rsidRDefault="00D255B4" w:rsidP="00D255B4">
      <w:pPr>
        <w:jc w:val="both"/>
        <w:rPr>
          <w:rFonts w:cstheme="minorHAnsi"/>
        </w:rPr>
      </w:pPr>
    </w:p>
    <w:p w14:paraId="3F77D3E6" w14:textId="77777777" w:rsidR="00D255B4" w:rsidRDefault="00D255B4">
      <w:pPr>
        <w:rPr>
          <w:rFonts w:asciiTheme="majorHAnsi" w:eastAsiaTheme="majorEastAsia" w:hAnsiTheme="majorHAnsi" w:cstheme="majorBidi"/>
          <w:color w:val="2F5496" w:themeColor="accent1" w:themeShade="BF"/>
          <w:sz w:val="32"/>
          <w:szCs w:val="32"/>
        </w:rPr>
      </w:pPr>
      <w:bookmarkStart w:id="11" w:name="_Toc19213816"/>
      <w:r>
        <w:br w:type="page"/>
      </w:r>
    </w:p>
    <w:p w14:paraId="347F0E8A" w14:textId="248C8FDD" w:rsidR="00D255B4" w:rsidRPr="0095450C" w:rsidRDefault="00D255B4" w:rsidP="00D54D68">
      <w:pPr>
        <w:pStyle w:val="Heading1"/>
        <w:numPr>
          <w:ilvl w:val="0"/>
          <w:numId w:val="4"/>
        </w:numPr>
      </w:pPr>
      <w:r>
        <w:lastRenderedPageBreak/>
        <w:t>Polluter Pays Principle</w:t>
      </w:r>
      <w:bookmarkEnd w:id="11"/>
      <w:r>
        <w:t xml:space="preserve"> </w:t>
      </w:r>
    </w:p>
    <w:p w14:paraId="095D9B6E" w14:textId="77777777" w:rsidR="00D255B4" w:rsidRPr="00CC467B" w:rsidRDefault="00D255B4" w:rsidP="00D255B4">
      <w:pPr>
        <w:jc w:val="both"/>
        <w:rPr>
          <w:rFonts w:ascii="Arial" w:hAnsi="Arial" w:cs="Arial"/>
        </w:rPr>
      </w:pPr>
    </w:p>
    <w:p w14:paraId="67206F86" w14:textId="77777777" w:rsidR="00D255B4" w:rsidRPr="00B64BE0" w:rsidRDefault="00D255B4" w:rsidP="00D255B4">
      <w:pPr>
        <w:jc w:val="both"/>
        <w:rPr>
          <w:rFonts w:cstheme="minorHAnsi"/>
        </w:rPr>
      </w:pPr>
      <w:r>
        <w:rPr>
          <w:rFonts w:cstheme="minorHAnsi"/>
        </w:rPr>
        <w:t xml:space="preserve">The Polluter Pays Principle is a fundamental principle of international environmental law, which has been defined in </w:t>
      </w:r>
      <w:r w:rsidRPr="00B64BE0">
        <w:rPr>
          <w:rFonts w:cstheme="minorHAnsi"/>
        </w:rPr>
        <w:t xml:space="preserve">Principle 16 of the </w:t>
      </w:r>
      <w:r>
        <w:rPr>
          <w:rFonts w:cstheme="minorHAnsi"/>
        </w:rPr>
        <w:t xml:space="preserve">1992 </w:t>
      </w:r>
      <w:r w:rsidRPr="00B64BE0">
        <w:rPr>
          <w:rFonts w:cstheme="minorHAnsi"/>
        </w:rPr>
        <w:t xml:space="preserve">Rio </w:t>
      </w:r>
      <w:proofErr w:type="spellStart"/>
      <w:r w:rsidRPr="00B64BE0">
        <w:rPr>
          <w:rFonts w:cstheme="minorHAnsi"/>
        </w:rPr>
        <w:t>Declartion</w:t>
      </w:r>
      <w:proofErr w:type="spellEnd"/>
      <w:r w:rsidRPr="00B64BE0">
        <w:rPr>
          <w:rFonts w:cstheme="minorHAnsi"/>
        </w:rPr>
        <w:t xml:space="preserve"> </w:t>
      </w:r>
      <w:r>
        <w:rPr>
          <w:rFonts w:cstheme="minorHAnsi"/>
        </w:rPr>
        <w:t xml:space="preserve">on Environment and Development </w:t>
      </w:r>
      <w:r w:rsidRPr="00B64BE0">
        <w:rPr>
          <w:rFonts w:cstheme="minorHAnsi"/>
        </w:rPr>
        <w:t xml:space="preserve">as follows: </w:t>
      </w:r>
      <w:r w:rsidRPr="00B64BE0">
        <w:rPr>
          <w:rFonts w:cstheme="minorHAnsi"/>
          <w:i/>
          <w:iCs/>
        </w:rPr>
        <w:t xml:space="preserve"> </w:t>
      </w:r>
      <w:r w:rsidRPr="00B64BE0">
        <w:rPr>
          <w:rFonts w:cstheme="minorHAnsi"/>
        </w:rPr>
        <w:t xml:space="preserve">“national authorities should </w:t>
      </w:r>
      <w:proofErr w:type="spellStart"/>
      <w:r w:rsidRPr="00B64BE0">
        <w:rPr>
          <w:rFonts w:cstheme="minorHAnsi"/>
        </w:rPr>
        <w:t>endeavour</w:t>
      </w:r>
      <w:proofErr w:type="spellEnd"/>
      <w:r w:rsidRPr="00B64BE0">
        <w:rPr>
          <w:rFonts w:cstheme="minorHAnsi"/>
        </w:rPr>
        <w:t xml:space="preserve"> to promote the internalization of environmental costs and the use of economic instruments, taking into account the approach that the polluter should, in principle, bear the cost of pollution, with due regard to the public interest and without distorting international trade and investment” (UN, 1992). </w:t>
      </w:r>
      <w:r w:rsidRPr="000677F9">
        <w:rPr>
          <w:rFonts w:cstheme="minorHAnsi"/>
        </w:rPr>
        <w:t>Th</w:t>
      </w:r>
      <w:r>
        <w:rPr>
          <w:rFonts w:cstheme="minorHAnsi"/>
        </w:rPr>
        <w:t>e notion that</w:t>
      </w:r>
      <w:r w:rsidRPr="000677F9">
        <w:rPr>
          <w:rFonts w:cstheme="minorHAnsi"/>
        </w:rPr>
        <w:t xml:space="preserve"> polluters should pay the costs of dealing with their pollution reflects the most fundamental principles of economics, justice and responsibility</w:t>
      </w:r>
      <w:r>
        <w:rPr>
          <w:rFonts w:cstheme="minorHAnsi"/>
        </w:rPr>
        <w:t xml:space="preserve"> (Khan, 2015)</w:t>
      </w:r>
      <w:r w:rsidRPr="000677F9">
        <w:rPr>
          <w:rFonts w:cstheme="minorHAnsi"/>
        </w:rPr>
        <w:t>.</w:t>
      </w:r>
    </w:p>
    <w:p w14:paraId="62635A18" w14:textId="77777777" w:rsidR="00D255B4" w:rsidRPr="00B64BE0" w:rsidRDefault="00D255B4" w:rsidP="00D255B4">
      <w:pPr>
        <w:jc w:val="both"/>
        <w:rPr>
          <w:rFonts w:cstheme="minorHAnsi"/>
        </w:rPr>
      </w:pPr>
    </w:p>
    <w:p w14:paraId="18843292" w14:textId="77777777" w:rsidR="00D255B4" w:rsidRPr="00B64BE0" w:rsidRDefault="00D255B4" w:rsidP="00D255B4">
      <w:pPr>
        <w:jc w:val="both"/>
        <w:rPr>
          <w:rFonts w:cstheme="minorHAnsi"/>
        </w:rPr>
      </w:pPr>
      <w:r w:rsidRPr="00B64BE0">
        <w:rPr>
          <w:rFonts w:cstheme="minorHAnsi"/>
        </w:rPr>
        <w:t xml:space="preserve">The </w:t>
      </w:r>
      <w:r>
        <w:rPr>
          <w:rFonts w:cstheme="minorHAnsi"/>
        </w:rPr>
        <w:t>P</w:t>
      </w:r>
      <w:r w:rsidRPr="00B64BE0">
        <w:rPr>
          <w:rFonts w:cstheme="minorHAnsi"/>
        </w:rPr>
        <w:t xml:space="preserve">olluter </w:t>
      </w:r>
      <w:r>
        <w:rPr>
          <w:rFonts w:cstheme="minorHAnsi"/>
        </w:rPr>
        <w:t>P</w:t>
      </w:r>
      <w:r w:rsidRPr="00B64BE0">
        <w:rPr>
          <w:rFonts w:cstheme="minorHAnsi"/>
        </w:rPr>
        <w:t xml:space="preserve">ays </w:t>
      </w:r>
      <w:r>
        <w:rPr>
          <w:rFonts w:cstheme="minorHAnsi"/>
        </w:rPr>
        <w:t>P</w:t>
      </w:r>
      <w:r w:rsidRPr="00B64BE0">
        <w:rPr>
          <w:rFonts w:cstheme="minorHAnsi"/>
        </w:rPr>
        <w:t xml:space="preserve">rinciple aims to address negative externalities that derive from the production and consumption of goods when </w:t>
      </w:r>
      <w:r>
        <w:rPr>
          <w:rFonts w:cstheme="minorHAnsi"/>
        </w:rPr>
        <w:t>their costs</w:t>
      </w:r>
      <w:r w:rsidRPr="00B64BE0">
        <w:rPr>
          <w:rFonts w:cstheme="minorHAnsi"/>
        </w:rPr>
        <w:t xml:space="preserve"> do not reflect their true social cost that is much higher than the market cost (Metcalf, 2019).  Pollution is</w:t>
      </w:r>
      <w:r>
        <w:rPr>
          <w:rFonts w:cstheme="minorHAnsi"/>
        </w:rPr>
        <w:t xml:space="preserve"> an </w:t>
      </w:r>
      <w:r w:rsidRPr="00B64BE0">
        <w:rPr>
          <w:rStyle w:val="Strong"/>
          <w:rFonts w:cstheme="minorHAnsi"/>
          <w:color w:val="111111"/>
          <w:shd w:val="clear" w:color="auto" w:fill="FFFFFF"/>
        </w:rPr>
        <w:t xml:space="preserve">example of how government intervention can correct </w:t>
      </w:r>
      <w:r>
        <w:rPr>
          <w:rStyle w:val="Strong"/>
          <w:rFonts w:cstheme="minorHAnsi"/>
          <w:color w:val="111111"/>
          <w:shd w:val="clear" w:color="auto" w:fill="FFFFFF"/>
        </w:rPr>
        <w:t>the</w:t>
      </w:r>
      <w:r w:rsidRPr="00B64BE0">
        <w:rPr>
          <w:rStyle w:val="Strong"/>
          <w:rFonts w:cstheme="minorHAnsi"/>
          <w:color w:val="111111"/>
          <w:shd w:val="clear" w:color="auto" w:fill="FFFFFF"/>
        </w:rPr>
        <w:t xml:space="preserve"> problem of a “missing market”</w:t>
      </w:r>
      <w:r>
        <w:rPr>
          <w:rFonts w:cstheme="minorHAnsi"/>
          <w:color w:val="111111"/>
          <w:shd w:val="clear" w:color="auto" w:fill="FFFFFF"/>
        </w:rPr>
        <w:t xml:space="preserve"> by,</w:t>
      </w:r>
      <w:r w:rsidRPr="00B64BE0">
        <w:rPr>
          <w:rFonts w:cstheme="minorHAnsi"/>
          <w:color w:val="111111"/>
          <w:shd w:val="clear" w:color="auto" w:fill="FFFFFF"/>
        </w:rPr>
        <w:t xml:space="preserve"> for example, </w:t>
      </w:r>
      <w:r>
        <w:rPr>
          <w:rFonts w:cstheme="minorHAnsi"/>
          <w:color w:val="111111"/>
          <w:shd w:val="clear" w:color="auto" w:fill="FFFFFF"/>
        </w:rPr>
        <w:t>using</w:t>
      </w:r>
      <w:r w:rsidRPr="00B64BE0">
        <w:rPr>
          <w:rFonts w:cstheme="minorHAnsi"/>
          <w:color w:val="111111"/>
          <w:shd w:val="clear" w:color="auto" w:fill="FFFFFF"/>
        </w:rPr>
        <w:t xml:space="preserve"> taxes to raise the price of polluting goods and activities </w:t>
      </w:r>
      <w:r>
        <w:rPr>
          <w:rFonts w:cstheme="minorHAnsi"/>
          <w:color w:val="111111"/>
          <w:shd w:val="clear" w:color="auto" w:fill="FFFFFF"/>
        </w:rPr>
        <w:t xml:space="preserve">and </w:t>
      </w:r>
      <w:r w:rsidRPr="00B64BE0">
        <w:rPr>
          <w:rFonts w:cstheme="minorHAnsi"/>
          <w:color w:val="111111"/>
          <w:shd w:val="clear" w:color="auto" w:fill="FFFFFF"/>
        </w:rPr>
        <w:t xml:space="preserve">to create revenues </w:t>
      </w:r>
      <w:r>
        <w:rPr>
          <w:rFonts w:cstheme="minorHAnsi"/>
          <w:color w:val="111111"/>
          <w:shd w:val="clear" w:color="auto" w:fill="FFFFFF"/>
        </w:rPr>
        <w:t>that can be used to mitigate</w:t>
      </w:r>
      <w:r w:rsidRPr="00B64BE0">
        <w:rPr>
          <w:rFonts w:cstheme="minorHAnsi"/>
          <w:color w:val="111111"/>
          <w:shd w:val="clear" w:color="auto" w:fill="FFFFFF"/>
        </w:rPr>
        <w:t xml:space="preserve"> negative externalities </w:t>
      </w:r>
      <w:r w:rsidRPr="00B64BE0">
        <w:rPr>
          <w:rFonts w:cstheme="minorHAnsi"/>
        </w:rPr>
        <w:t xml:space="preserve">(Metcalf, 2019). </w:t>
      </w:r>
    </w:p>
    <w:p w14:paraId="2294DB70" w14:textId="77777777" w:rsidR="00D255B4" w:rsidRPr="00B64BE0" w:rsidRDefault="00D255B4" w:rsidP="00D255B4">
      <w:pPr>
        <w:jc w:val="both"/>
        <w:rPr>
          <w:rFonts w:cstheme="minorHAnsi"/>
        </w:rPr>
      </w:pPr>
      <w:r w:rsidRPr="00B64BE0">
        <w:rPr>
          <w:rFonts w:cstheme="minorHAnsi"/>
        </w:rPr>
        <w:t xml:space="preserve"> </w:t>
      </w:r>
    </w:p>
    <w:p w14:paraId="43B32DB5" w14:textId="77777777" w:rsidR="00D255B4" w:rsidRPr="00FE77A7" w:rsidRDefault="00D255B4" w:rsidP="00D255B4">
      <w:pPr>
        <w:jc w:val="both"/>
        <w:rPr>
          <w:rFonts w:cstheme="minorHAnsi"/>
        </w:rPr>
      </w:pPr>
      <w:r>
        <w:rPr>
          <w:rFonts w:cstheme="minorHAnsi"/>
        </w:rPr>
        <w:t xml:space="preserve">The Polluter Pays Principle </w:t>
      </w:r>
      <w:r w:rsidRPr="00FE77A7">
        <w:rPr>
          <w:rFonts w:cstheme="minorHAnsi"/>
        </w:rPr>
        <w:t xml:space="preserve">can be considered as an overarching concept </w:t>
      </w:r>
      <w:r>
        <w:rPr>
          <w:rFonts w:cstheme="minorHAnsi"/>
        </w:rPr>
        <w:t xml:space="preserve">to be applied </w:t>
      </w:r>
      <w:r w:rsidRPr="00FE77A7">
        <w:rPr>
          <w:rFonts w:cstheme="minorHAnsi"/>
        </w:rPr>
        <w:t xml:space="preserve">in various ways to achieve the desired </w:t>
      </w:r>
      <w:r>
        <w:rPr>
          <w:rFonts w:cstheme="minorHAnsi"/>
        </w:rPr>
        <w:t xml:space="preserve">outcome of </w:t>
      </w:r>
      <w:r w:rsidRPr="00FE77A7">
        <w:rPr>
          <w:rFonts w:cstheme="minorHAnsi"/>
        </w:rPr>
        <w:t>internalizing environmental externalities</w:t>
      </w:r>
      <w:r>
        <w:rPr>
          <w:rFonts w:cstheme="minorHAnsi"/>
        </w:rPr>
        <w:t>.</w:t>
      </w:r>
      <w:r w:rsidRPr="00FE77A7">
        <w:t xml:space="preserve"> Ambitious applications </w:t>
      </w:r>
      <w:r>
        <w:t>of the Polluter Pays Principle towards</w:t>
      </w:r>
      <w:r w:rsidRPr="00FE77A7">
        <w:t xml:space="preserve"> whole industrial sectors are </w:t>
      </w:r>
      <w:r>
        <w:t xml:space="preserve">only just emerging, yet are still notable exceptions </w:t>
      </w:r>
      <w:r w:rsidRPr="00FE77A7">
        <w:t>(Khan, 2015).</w:t>
      </w:r>
      <w:r w:rsidRPr="00FE77A7">
        <w:rPr>
          <w:rFonts w:cstheme="minorHAnsi"/>
        </w:rPr>
        <w:t xml:space="preserve"> </w:t>
      </w:r>
      <w:r>
        <w:rPr>
          <w:rFonts w:cstheme="minorHAnsi"/>
        </w:rPr>
        <w:t>The principle is commonly applied narrowly to individual products or substances</w:t>
      </w:r>
      <w:r w:rsidRPr="00FE77A7">
        <w:rPr>
          <w:rFonts w:cstheme="minorHAnsi"/>
        </w:rPr>
        <w:t xml:space="preserve"> </w:t>
      </w:r>
      <w:r>
        <w:rPr>
          <w:rFonts w:cstheme="minorHAnsi"/>
        </w:rPr>
        <w:t xml:space="preserve">on a case-by-case basis, given that successful application of economic instruments requires careful design.  </w:t>
      </w:r>
    </w:p>
    <w:p w14:paraId="4BED404F" w14:textId="77777777" w:rsidR="00D255B4" w:rsidRDefault="00D255B4" w:rsidP="00D255B4">
      <w:pPr>
        <w:jc w:val="both"/>
        <w:rPr>
          <w:rFonts w:cstheme="minorHAnsi"/>
        </w:rPr>
      </w:pPr>
    </w:p>
    <w:p w14:paraId="67C90272" w14:textId="77777777" w:rsidR="00D255B4" w:rsidRDefault="00D255B4" w:rsidP="00D255B4">
      <w:pPr>
        <w:jc w:val="both"/>
        <w:rPr>
          <w:rFonts w:cstheme="minorHAnsi"/>
          <w:color w:val="FF0000"/>
        </w:rPr>
      </w:pPr>
      <w:r>
        <w:t>Environmental taxation systems constitute a more systematic approach to implementation of the Polluter Pays Principle. However, chemicals appear to be not included in such systems, in particular in low and middle-income countries.</w:t>
      </w:r>
      <w:r w:rsidRPr="00385267">
        <w:t xml:space="preserve"> </w:t>
      </w:r>
      <w:r w:rsidRPr="00385267">
        <w:rPr>
          <w:rFonts w:cstheme="minorHAnsi"/>
        </w:rPr>
        <w:t>The example from Viet</w:t>
      </w:r>
      <w:r>
        <w:rPr>
          <w:rFonts w:cstheme="minorHAnsi"/>
        </w:rPr>
        <w:t>n</w:t>
      </w:r>
      <w:r w:rsidRPr="00385267">
        <w:rPr>
          <w:rFonts w:cstheme="minorHAnsi"/>
        </w:rPr>
        <w:t>am</w:t>
      </w:r>
      <w:r>
        <w:rPr>
          <w:rFonts w:cstheme="minorHAnsi"/>
        </w:rPr>
        <w:t xml:space="preserve"> below constitutes a promising attempt to</w:t>
      </w:r>
      <w:r w:rsidRPr="00777ED5">
        <w:rPr>
          <w:rFonts w:cstheme="minorHAnsi"/>
        </w:rPr>
        <w:t xml:space="preserve"> </w:t>
      </w:r>
      <w:r>
        <w:rPr>
          <w:rFonts w:cstheme="minorHAnsi"/>
        </w:rPr>
        <w:t>internalize external costs arising from the use of chemicals.  In this case, some chemicals have been incorporated into an environmental protection tax and chemicals management programs have been staffed accordingly. It is also noteworthy to mention that, i</w:t>
      </w:r>
      <w:r w:rsidRPr="00385267">
        <w:rPr>
          <w:rFonts w:cstheme="minorHAnsi"/>
        </w:rPr>
        <w:t>n 2014</w:t>
      </w:r>
      <w:r>
        <w:rPr>
          <w:rFonts w:cstheme="minorHAnsi"/>
        </w:rPr>
        <w:t xml:space="preserve">, </w:t>
      </w:r>
      <w:r w:rsidRPr="00385267">
        <w:rPr>
          <w:rFonts w:cstheme="minorHAnsi"/>
        </w:rPr>
        <w:t xml:space="preserve">China introduced the </w:t>
      </w:r>
      <w:r>
        <w:rPr>
          <w:rFonts w:cstheme="minorHAnsi"/>
        </w:rPr>
        <w:t>P</w:t>
      </w:r>
      <w:r w:rsidRPr="00385267">
        <w:rPr>
          <w:rFonts w:cstheme="minorHAnsi"/>
        </w:rPr>
        <w:t xml:space="preserve">olluter </w:t>
      </w:r>
      <w:r>
        <w:rPr>
          <w:rFonts w:cstheme="minorHAnsi"/>
        </w:rPr>
        <w:t>P</w:t>
      </w:r>
      <w:r w:rsidRPr="00385267">
        <w:rPr>
          <w:rFonts w:cstheme="minorHAnsi"/>
        </w:rPr>
        <w:t xml:space="preserve">ays </w:t>
      </w:r>
      <w:r>
        <w:rPr>
          <w:rFonts w:cstheme="minorHAnsi"/>
        </w:rPr>
        <w:t>P</w:t>
      </w:r>
      <w:r w:rsidRPr="00385267">
        <w:rPr>
          <w:rFonts w:cstheme="minorHAnsi"/>
        </w:rPr>
        <w:t xml:space="preserve">rinciple in the </w:t>
      </w:r>
      <w:r>
        <w:rPr>
          <w:rFonts w:cstheme="minorHAnsi"/>
        </w:rPr>
        <w:t>E</w:t>
      </w:r>
      <w:r w:rsidRPr="00385267">
        <w:rPr>
          <w:rFonts w:cstheme="minorHAnsi"/>
        </w:rPr>
        <w:t xml:space="preserve">nvironmental </w:t>
      </w:r>
      <w:r>
        <w:rPr>
          <w:rFonts w:cstheme="minorHAnsi"/>
        </w:rPr>
        <w:t>P</w:t>
      </w:r>
      <w:r w:rsidRPr="00385267">
        <w:rPr>
          <w:rFonts w:cstheme="minorHAnsi"/>
        </w:rPr>
        <w:t xml:space="preserve">rotection </w:t>
      </w:r>
      <w:r>
        <w:rPr>
          <w:rFonts w:cstheme="minorHAnsi"/>
        </w:rPr>
        <w:t>L</w:t>
      </w:r>
      <w:r w:rsidRPr="00385267">
        <w:rPr>
          <w:rFonts w:cstheme="minorHAnsi"/>
        </w:rPr>
        <w:t xml:space="preserve">aw </w:t>
      </w:r>
      <w:r>
        <w:rPr>
          <w:rFonts w:cstheme="minorHAnsi"/>
        </w:rPr>
        <w:t xml:space="preserve">that was later </w:t>
      </w:r>
      <w:r w:rsidRPr="00385267">
        <w:rPr>
          <w:rFonts w:cstheme="minorHAnsi"/>
        </w:rPr>
        <w:t>modified by the Environmental Protection Tax Law that took effect in January 2018</w:t>
      </w:r>
      <w:r>
        <w:rPr>
          <w:rFonts w:cstheme="minorHAnsi"/>
        </w:rPr>
        <w:t>, which imposes a tax on 4</w:t>
      </w:r>
      <w:r w:rsidRPr="00385267">
        <w:t>4 gas pollutants, 61 water pollutants and 4 solid pollutants</w:t>
      </w:r>
      <w:r>
        <w:t>, but does not address chemicals</w:t>
      </w:r>
      <w:r w:rsidRPr="00385267">
        <w:t xml:space="preserve"> (</w:t>
      </w:r>
      <w:proofErr w:type="spellStart"/>
      <w:r w:rsidRPr="00385267">
        <w:rPr>
          <w:rFonts w:cstheme="minorHAnsi"/>
        </w:rPr>
        <w:t>Zahar</w:t>
      </w:r>
      <w:proofErr w:type="spellEnd"/>
      <w:r w:rsidRPr="00385267">
        <w:rPr>
          <w:rFonts w:cstheme="minorHAnsi"/>
        </w:rPr>
        <w:t>, 2018</w:t>
      </w:r>
      <w:r>
        <w:rPr>
          <w:rFonts w:cstheme="minorHAnsi"/>
        </w:rPr>
        <w:t xml:space="preserve">; </w:t>
      </w:r>
      <w:r w:rsidRPr="00385267">
        <w:t xml:space="preserve">Li &amp; Masui, 2019). </w:t>
      </w:r>
    </w:p>
    <w:p w14:paraId="256FB0E6" w14:textId="77777777" w:rsidR="00D255B4" w:rsidRDefault="00D255B4" w:rsidP="00D255B4">
      <w:pPr>
        <w:jc w:val="both"/>
        <w:rPr>
          <w:rFonts w:cstheme="minorHAnsi"/>
        </w:rPr>
      </w:pPr>
    </w:p>
    <w:p w14:paraId="48E22718" w14:textId="77777777" w:rsidR="00D255B4" w:rsidRDefault="00D255B4" w:rsidP="00D255B4">
      <w:pPr>
        <w:jc w:val="both"/>
        <w:rPr>
          <w:rFonts w:cstheme="minorHAnsi"/>
        </w:rPr>
      </w:pPr>
    </w:p>
    <w:p w14:paraId="27029EC2" w14:textId="77777777" w:rsidR="00D255B4" w:rsidRDefault="00D255B4" w:rsidP="00D255B4">
      <w:pPr>
        <w:jc w:val="both"/>
        <w:rPr>
          <w:rFonts w:cstheme="minorHAnsi"/>
        </w:rPr>
      </w:pPr>
    </w:p>
    <w:p w14:paraId="2A91468E" w14:textId="77777777" w:rsidR="00D255B4" w:rsidRPr="00385267" w:rsidRDefault="00D255B4" w:rsidP="00D255B4">
      <w:pPr>
        <w:jc w:val="both"/>
        <w:rPr>
          <w:rFonts w:cstheme="minorHAnsi"/>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531304E5" w14:textId="77777777" w:rsidTr="00933F86">
        <w:trPr>
          <w:trHeight w:val="2915"/>
        </w:trPr>
        <w:tc>
          <w:tcPr>
            <w:tcW w:w="9350" w:type="dxa"/>
          </w:tcPr>
          <w:p w14:paraId="224C7367" w14:textId="77777777" w:rsidR="00D255B4" w:rsidRPr="00E03755" w:rsidRDefault="00D255B4" w:rsidP="00933F86">
            <w:pPr>
              <w:jc w:val="both"/>
              <w:rPr>
                <w:rFonts w:cstheme="minorHAnsi"/>
                <w:b/>
                <w:bCs/>
                <w:sz w:val="20"/>
                <w:szCs w:val="20"/>
              </w:rPr>
            </w:pPr>
            <w:r w:rsidRPr="00E03755">
              <w:rPr>
                <w:rFonts w:cstheme="minorHAnsi"/>
                <w:b/>
                <w:bCs/>
                <w:sz w:val="20"/>
                <w:szCs w:val="20"/>
              </w:rPr>
              <w:lastRenderedPageBreak/>
              <w:t xml:space="preserve">EXAMPLE </w:t>
            </w:r>
            <w:r>
              <w:rPr>
                <w:rFonts w:cstheme="minorHAnsi"/>
                <w:b/>
                <w:bCs/>
                <w:sz w:val="20"/>
                <w:szCs w:val="20"/>
              </w:rPr>
              <w:t>1</w:t>
            </w:r>
            <w:r w:rsidRPr="00E03755">
              <w:rPr>
                <w:rFonts w:cstheme="minorHAnsi"/>
                <w:b/>
                <w:bCs/>
                <w:sz w:val="20"/>
                <w:szCs w:val="20"/>
              </w:rPr>
              <w:t xml:space="preserve">: Environmental Protection </w:t>
            </w:r>
            <w:r>
              <w:rPr>
                <w:rFonts w:cstheme="minorHAnsi"/>
                <w:b/>
                <w:bCs/>
                <w:sz w:val="20"/>
                <w:szCs w:val="20"/>
              </w:rPr>
              <w:t>T</w:t>
            </w:r>
            <w:r w:rsidRPr="00E03755">
              <w:rPr>
                <w:rFonts w:cstheme="minorHAnsi"/>
                <w:b/>
                <w:bCs/>
                <w:sz w:val="20"/>
                <w:szCs w:val="20"/>
              </w:rPr>
              <w:t xml:space="preserve">ax in Vietnam </w:t>
            </w:r>
          </w:p>
          <w:p w14:paraId="69F40AA3" w14:textId="77777777" w:rsidR="00D255B4" w:rsidRPr="002151E2" w:rsidRDefault="00D255B4" w:rsidP="00933F86">
            <w:pPr>
              <w:jc w:val="both"/>
              <w:rPr>
                <w:rFonts w:cstheme="minorHAnsi"/>
                <w:color w:val="FF0000"/>
                <w:sz w:val="20"/>
                <w:szCs w:val="20"/>
              </w:rPr>
            </w:pPr>
          </w:p>
          <w:p w14:paraId="5248EF59" w14:textId="77777777" w:rsidR="00D255B4" w:rsidRPr="0027156C" w:rsidRDefault="00D255B4" w:rsidP="00933F86">
            <w:pPr>
              <w:jc w:val="both"/>
              <w:rPr>
                <w:rFonts w:cstheme="minorHAnsi"/>
                <w:sz w:val="20"/>
                <w:szCs w:val="20"/>
              </w:rPr>
            </w:pPr>
            <w:r w:rsidRPr="00793842">
              <w:rPr>
                <w:rFonts w:cstheme="minorHAnsi"/>
                <w:sz w:val="20"/>
                <w:szCs w:val="20"/>
              </w:rPr>
              <w:t>In 2012, Vietnam implemented an Environmental Protection Tax</w:t>
            </w:r>
            <w:r>
              <w:rPr>
                <w:rFonts w:cstheme="minorHAnsi"/>
                <w:sz w:val="20"/>
                <w:szCs w:val="20"/>
              </w:rPr>
              <w:t xml:space="preserve"> (EPT)</w:t>
            </w:r>
            <w:r w:rsidRPr="00793842">
              <w:rPr>
                <w:rFonts w:cstheme="minorHAnsi"/>
                <w:sz w:val="20"/>
                <w:szCs w:val="20"/>
              </w:rPr>
              <w:t xml:space="preserve"> which set a range of tax rates for </w:t>
            </w:r>
            <w:r>
              <w:rPr>
                <w:rFonts w:cstheme="minorHAnsi"/>
                <w:sz w:val="20"/>
                <w:szCs w:val="20"/>
              </w:rPr>
              <w:t xml:space="preserve">different </w:t>
            </w:r>
            <w:r w:rsidRPr="00793842">
              <w:rPr>
                <w:rFonts w:cstheme="minorHAnsi"/>
                <w:sz w:val="20"/>
                <w:szCs w:val="20"/>
              </w:rPr>
              <w:t>pollutants</w:t>
            </w:r>
            <w:r>
              <w:rPr>
                <w:rFonts w:cstheme="minorHAnsi"/>
                <w:sz w:val="20"/>
                <w:szCs w:val="20"/>
              </w:rPr>
              <w:t>,</w:t>
            </w:r>
            <w:r w:rsidRPr="00793842">
              <w:rPr>
                <w:rFonts w:cstheme="minorHAnsi"/>
                <w:sz w:val="20"/>
                <w:szCs w:val="20"/>
              </w:rPr>
              <w:t xml:space="preserve"> including </w:t>
            </w:r>
            <w:r>
              <w:rPr>
                <w:rFonts w:cstheme="minorHAnsi"/>
                <w:sz w:val="20"/>
                <w:szCs w:val="20"/>
              </w:rPr>
              <w:t xml:space="preserve">those arising from the use of </w:t>
            </w:r>
            <w:r w:rsidRPr="00793842">
              <w:rPr>
                <w:rFonts w:cstheme="minorHAnsi"/>
                <w:sz w:val="20"/>
                <w:szCs w:val="20"/>
              </w:rPr>
              <w:t>fossil fuels, pesticides, fertilizers and plastics. The EPT in Vietnam is often h</w:t>
            </w:r>
            <w:r>
              <w:rPr>
                <w:rFonts w:cstheme="minorHAnsi"/>
                <w:sz w:val="20"/>
                <w:szCs w:val="20"/>
              </w:rPr>
              <w:t>ailed</w:t>
            </w:r>
            <w:r w:rsidRPr="00793842">
              <w:rPr>
                <w:rFonts w:cstheme="minorHAnsi"/>
                <w:sz w:val="20"/>
                <w:szCs w:val="20"/>
              </w:rPr>
              <w:t xml:space="preserve"> as a best practice example of environmental taxation in the context of non-OECD countries because </w:t>
            </w:r>
            <w:r>
              <w:rPr>
                <w:rFonts w:cstheme="minorHAnsi"/>
                <w:sz w:val="20"/>
                <w:szCs w:val="20"/>
              </w:rPr>
              <w:t>it</w:t>
            </w:r>
            <w:r w:rsidRPr="00793842">
              <w:rPr>
                <w:rFonts w:cstheme="minorHAnsi"/>
                <w:sz w:val="20"/>
                <w:szCs w:val="20"/>
              </w:rPr>
              <w:t xml:space="preserve"> is quite comprehensive and covers a wide range of pollutants and the design of the tax facilitates easy adjustment</w:t>
            </w:r>
            <w:r>
              <w:rPr>
                <w:rFonts w:cstheme="minorHAnsi"/>
                <w:sz w:val="20"/>
                <w:szCs w:val="20"/>
              </w:rPr>
              <w:t xml:space="preserve"> </w:t>
            </w:r>
            <w:r w:rsidRPr="00643A0E">
              <w:rPr>
                <w:sz w:val="20"/>
                <w:szCs w:val="20"/>
              </w:rPr>
              <w:t>(VIDC, 2018)</w:t>
            </w:r>
            <w:r w:rsidRPr="00643A0E">
              <w:rPr>
                <w:rFonts w:cstheme="minorHAnsi"/>
                <w:sz w:val="20"/>
                <w:szCs w:val="20"/>
              </w:rPr>
              <w:t>. In addition</w:t>
            </w:r>
            <w:r>
              <w:rPr>
                <w:rFonts w:cstheme="minorHAnsi"/>
                <w:sz w:val="20"/>
                <w:szCs w:val="20"/>
              </w:rPr>
              <w:t xml:space="preserve"> to this tax</w:t>
            </w:r>
            <w:r w:rsidRPr="00643A0E">
              <w:rPr>
                <w:rFonts w:cstheme="minorHAnsi"/>
                <w:sz w:val="20"/>
                <w:szCs w:val="20"/>
              </w:rPr>
              <w:t xml:space="preserve">, </w:t>
            </w:r>
            <w:r>
              <w:rPr>
                <w:rFonts w:cstheme="minorHAnsi"/>
                <w:sz w:val="20"/>
                <w:szCs w:val="20"/>
              </w:rPr>
              <w:t xml:space="preserve">since 2016, </w:t>
            </w:r>
            <w:r w:rsidRPr="00643A0E">
              <w:rPr>
                <w:rFonts w:cstheme="minorHAnsi"/>
                <w:sz w:val="20"/>
                <w:szCs w:val="20"/>
              </w:rPr>
              <w:t>the government has</w:t>
            </w:r>
            <w:r>
              <w:rPr>
                <w:rFonts w:cstheme="minorHAnsi"/>
                <w:sz w:val="20"/>
                <w:szCs w:val="20"/>
              </w:rPr>
              <w:t xml:space="preserve"> been</w:t>
            </w:r>
            <w:r w:rsidRPr="00643A0E">
              <w:rPr>
                <w:rFonts w:cstheme="minorHAnsi"/>
                <w:sz w:val="20"/>
                <w:szCs w:val="20"/>
              </w:rPr>
              <w:t xml:space="preserve"> collect</w:t>
            </w:r>
            <w:r>
              <w:rPr>
                <w:rFonts w:cstheme="minorHAnsi"/>
                <w:sz w:val="20"/>
                <w:szCs w:val="20"/>
              </w:rPr>
              <w:t>ing</w:t>
            </w:r>
            <w:r w:rsidRPr="00643A0E">
              <w:rPr>
                <w:rFonts w:cstheme="minorHAnsi"/>
                <w:sz w:val="20"/>
                <w:szCs w:val="20"/>
              </w:rPr>
              <w:t xml:space="preserve"> a mining environmental fee to mobilize revenues for environmental</w:t>
            </w:r>
            <w:r w:rsidRPr="00793842">
              <w:rPr>
                <w:rFonts w:cstheme="minorHAnsi"/>
                <w:sz w:val="20"/>
                <w:szCs w:val="20"/>
              </w:rPr>
              <w:t xml:space="preserve"> rehabilitation activities </w:t>
            </w:r>
            <w:r w:rsidRPr="0027156C">
              <w:rPr>
                <w:sz w:val="20"/>
                <w:szCs w:val="20"/>
              </w:rPr>
              <w:t>(VIDC, 2018).</w:t>
            </w:r>
            <w:r>
              <w:rPr>
                <w:i/>
                <w:iCs/>
                <w:sz w:val="20"/>
                <w:szCs w:val="20"/>
              </w:rPr>
              <w:t xml:space="preserve"> </w:t>
            </w:r>
            <w:r w:rsidRPr="009B1367">
              <w:rPr>
                <w:sz w:val="20"/>
                <w:szCs w:val="20"/>
              </w:rPr>
              <w:t>To ensure that chemical management meets intended objectives</w:t>
            </w:r>
            <w:r>
              <w:rPr>
                <w:sz w:val="20"/>
                <w:szCs w:val="20"/>
              </w:rPr>
              <w:t>,</w:t>
            </w:r>
            <w:r w:rsidRPr="009B1367">
              <w:rPr>
                <w:sz w:val="20"/>
                <w:szCs w:val="20"/>
              </w:rPr>
              <w:t xml:space="preserve"> </w:t>
            </w:r>
            <w:r>
              <w:rPr>
                <w:sz w:val="20"/>
                <w:szCs w:val="20"/>
              </w:rPr>
              <w:t xml:space="preserve">Vietnam has invested in </w:t>
            </w:r>
            <w:r w:rsidRPr="009B1367">
              <w:rPr>
                <w:sz w:val="20"/>
                <w:szCs w:val="20"/>
              </w:rPr>
              <w:t xml:space="preserve">adequate staffing: </w:t>
            </w:r>
            <w:r>
              <w:rPr>
                <w:rFonts w:cstheme="minorHAnsi"/>
                <w:sz w:val="20"/>
                <w:szCs w:val="20"/>
              </w:rPr>
              <w:t xml:space="preserve">15 staff work with pesticides management in the Plant Protection Department, 15 chemicals staff work in the Pollution Control Department and 38 staff work in the Vietnam Chemical Agency (VINACHEMIA) (UNEP, 2019c). </w:t>
            </w:r>
            <w:r w:rsidRPr="00793842">
              <w:rPr>
                <w:rFonts w:cstheme="minorHAnsi"/>
                <w:sz w:val="20"/>
                <w:szCs w:val="20"/>
              </w:rPr>
              <w:t>There is some evidence for positive behavioral responses and reduced pollution and emissions as a result of the EPT</w:t>
            </w:r>
            <w:r>
              <w:rPr>
                <w:rFonts w:cstheme="minorHAnsi"/>
                <w:sz w:val="20"/>
                <w:szCs w:val="20"/>
              </w:rPr>
              <w:t xml:space="preserve"> </w:t>
            </w:r>
            <w:r w:rsidRPr="009B1367">
              <w:rPr>
                <w:sz w:val="20"/>
                <w:szCs w:val="20"/>
              </w:rPr>
              <w:t>(VIDC, 2018)</w:t>
            </w:r>
            <w:r w:rsidRPr="009B1367">
              <w:rPr>
                <w:rFonts w:cstheme="minorHAnsi"/>
                <w:sz w:val="20"/>
                <w:szCs w:val="20"/>
              </w:rPr>
              <w:t xml:space="preserve">. </w:t>
            </w:r>
            <w:r>
              <w:rPr>
                <w:rFonts w:cstheme="minorHAnsi"/>
                <w:sz w:val="20"/>
                <w:szCs w:val="20"/>
              </w:rPr>
              <w:t xml:space="preserve"> </w:t>
            </w:r>
          </w:p>
        </w:tc>
      </w:tr>
    </w:tbl>
    <w:p w14:paraId="1BAF9DAF" w14:textId="77777777" w:rsidR="00D255B4" w:rsidRDefault="00D255B4" w:rsidP="00D255B4">
      <w:pPr>
        <w:jc w:val="both"/>
      </w:pPr>
    </w:p>
    <w:p w14:paraId="3B4109E8" w14:textId="77777777" w:rsidR="00D255B4" w:rsidRPr="00B64BE0" w:rsidRDefault="00D255B4" w:rsidP="00D255B4">
      <w:pPr>
        <w:jc w:val="both"/>
        <w:rPr>
          <w:rFonts w:cstheme="minorHAnsi"/>
        </w:rPr>
      </w:pPr>
      <w:r w:rsidRPr="00B64BE0">
        <w:rPr>
          <w:rFonts w:cstheme="minorHAnsi"/>
        </w:rPr>
        <w:t xml:space="preserve">The Polluter Pays Principle is enshrined in Article 191 of the Treaty on the </w:t>
      </w:r>
      <w:r>
        <w:rPr>
          <w:rFonts w:cstheme="minorHAnsi"/>
        </w:rPr>
        <w:t>European Union (</w:t>
      </w:r>
      <w:r w:rsidRPr="00B64BE0">
        <w:rPr>
          <w:rFonts w:cstheme="minorHAnsi"/>
        </w:rPr>
        <w:t>EU</w:t>
      </w:r>
      <w:r>
        <w:rPr>
          <w:rFonts w:cstheme="minorHAnsi"/>
        </w:rPr>
        <w:t>)</w:t>
      </w:r>
      <w:r w:rsidRPr="00B64BE0">
        <w:rPr>
          <w:rFonts w:cstheme="minorHAnsi"/>
        </w:rPr>
        <w:t xml:space="preserve"> and </w:t>
      </w:r>
      <w:r>
        <w:rPr>
          <w:rFonts w:cstheme="minorHAnsi"/>
        </w:rPr>
        <w:t xml:space="preserve">is </w:t>
      </w:r>
      <w:r w:rsidRPr="00B64BE0">
        <w:rPr>
          <w:rFonts w:cstheme="minorHAnsi"/>
        </w:rPr>
        <w:t>reflected in the EU Water Framework Directive (200/60/EC) and Directive on Industrial Emissions</w:t>
      </w:r>
      <w:r>
        <w:rPr>
          <w:rFonts w:cstheme="minorHAnsi"/>
        </w:rPr>
        <w:t xml:space="preserve"> </w:t>
      </w:r>
      <w:r w:rsidRPr="00B64BE0">
        <w:rPr>
          <w:rFonts w:cstheme="minorHAnsi"/>
        </w:rPr>
        <w:t xml:space="preserve">(2010/75/EU). The EU regulation on Registration, Evaluation, Authorization and Restriction of Chemicals (REACH), </w:t>
      </w:r>
      <w:r>
        <w:rPr>
          <w:rFonts w:cstheme="minorHAnsi"/>
        </w:rPr>
        <w:t>which</w:t>
      </w:r>
      <w:r w:rsidRPr="00B64BE0">
        <w:rPr>
          <w:rFonts w:cstheme="minorHAnsi"/>
        </w:rPr>
        <w:t xml:space="preserve"> came into force in 2007, can be considered a genuine effort to apply </w:t>
      </w:r>
      <w:r>
        <w:rPr>
          <w:rFonts w:cstheme="minorHAnsi"/>
        </w:rPr>
        <w:t xml:space="preserve">aspects of </w:t>
      </w:r>
      <w:r w:rsidRPr="00B64BE0">
        <w:rPr>
          <w:rFonts w:cstheme="minorHAnsi"/>
        </w:rPr>
        <w:t xml:space="preserve">the </w:t>
      </w:r>
      <w:r>
        <w:rPr>
          <w:rFonts w:cstheme="minorHAnsi"/>
        </w:rPr>
        <w:t>P</w:t>
      </w:r>
      <w:r w:rsidRPr="00B64BE0">
        <w:rPr>
          <w:rFonts w:cstheme="minorHAnsi"/>
        </w:rPr>
        <w:t xml:space="preserve">olluter </w:t>
      </w:r>
      <w:r>
        <w:rPr>
          <w:rFonts w:cstheme="minorHAnsi"/>
        </w:rPr>
        <w:t>P</w:t>
      </w:r>
      <w:r w:rsidRPr="00B64BE0">
        <w:rPr>
          <w:rFonts w:cstheme="minorHAnsi"/>
        </w:rPr>
        <w:t xml:space="preserve">ays </w:t>
      </w:r>
      <w:r>
        <w:rPr>
          <w:rFonts w:cstheme="minorHAnsi"/>
        </w:rPr>
        <w:t>P</w:t>
      </w:r>
      <w:r w:rsidRPr="00B64BE0">
        <w:rPr>
          <w:rFonts w:cstheme="minorHAnsi"/>
        </w:rPr>
        <w:t>rinciple to enhance risk management of</w:t>
      </w:r>
      <w:r>
        <w:rPr>
          <w:rFonts w:cstheme="minorHAnsi"/>
        </w:rPr>
        <w:t xml:space="preserve"> chemicals as set out in Example 2 below</w:t>
      </w:r>
      <w:r w:rsidRPr="00B64BE0">
        <w:rPr>
          <w:rFonts w:cstheme="minorHAnsi"/>
        </w:rPr>
        <w:t xml:space="preserve">. </w:t>
      </w:r>
    </w:p>
    <w:p w14:paraId="4925E01F" w14:textId="77777777" w:rsidR="00D255B4" w:rsidRDefault="00D255B4" w:rsidP="00D255B4">
      <w:pPr>
        <w:jc w:val="both"/>
        <w:rPr>
          <w:rFonts w:ascii="Arial" w:hAnsi="Arial" w:cs="Arial"/>
        </w:rPr>
      </w:pPr>
    </w:p>
    <w:p w14:paraId="4D13F31B" w14:textId="77777777" w:rsidR="00D255B4" w:rsidRDefault="00D255B4" w:rsidP="00D255B4">
      <w:pPr>
        <w:jc w:val="both"/>
        <w:rPr>
          <w:rFonts w:ascii="Arial" w:hAnsi="Arial" w:cs="Arial"/>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56518885" w14:textId="77777777" w:rsidTr="00933F86">
        <w:trPr>
          <w:trHeight w:val="3122"/>
        </w:trPr>
        <w:tc>
          <w:tcPr>
            <w:tcW w:w="9350" w:type="dxa"/>
          </w:tcPr>
          <w:p w14:paraId="11623797" w14:textId="77777777" w:rsidR="00D255B4" w:rsidRPr="00E03755" w:rsidRDefault="00D255B4" w:rsidP="00933F86">
            <w:pPr>
              <w:jc w:val="both"/>
              <w:rPr>
                <w:rFonts w:cstheme="minorHAnsi"/>
                <w:b/>
                <w:bCs/>
                <w:sz w:val="20"/>
                <w:szCs w:val="20"/>
              </w:rPr>
            </w:pPr>
            <w:r w:rsidRPr="00E03755">
              <w:rPr>
                <w:rFonts w:cstheme="minorHAnsi"/>
                <w:b/>
                <w:bCs/>
                <w:sz w:val="20"/>
                <w:szCs w:val="20"/>
              </w:rPr>
              <w:t xml:space="preserve">EXAMPLE </w:t>
            </w:r>
            <w:r>
              <w:rPr>
                <w:rFonts w:cstheme="minorHAnsi"/>
                <w:b/>
                <w:bCs/>
                <w:sz w:val="20"/>
                <w:szCs w:val="20"/>
              </w:rPr>
              <w:t>2</w:t>
            </w:r>
            <w:r w:rsidRPr="00E03755">
              <w:rPr>
                <w:rFonts w:cstheme="minorHAnsi"/>
                <w:b/>
                <w:bCs/>
                <w:sz w:val="20"/>
                <w:szCs w:val="20"/>
              </w:rPr>
              <w:t xml:space="preserve">: REACH regulation in the EU </w:t>
            </w:r>
          </w:p>
          <w:p w14:paraId="7FFB5B17" w14:textId="77777777" w:rsidR="00D255B4" w:rsidRPr="00D529E1" w:rsidRDefault="00D255B4" w:rsidP="00933F86">
            <w:pPr>
              <w:jc w:val="both"/>
              <w:rPr>
                <w:rFonts w:ascii="Arial" w:hAnsi="Arial" w:cs="Arial"/>
                <w:sz w:val="20"/>
                <w:szCs w:val="20"/>
              </w:rPr>
            </w:pPr>
          </w:p>
          <w:p w14:paraId="68E28D3F" w14:textId="77777777" w:rsidR="00D255B4" w:rsidRPr="00B64BE0" w:rsidRDefault="00D255B4" w:rsidP="00933F86">
            <w:pPr>
              <w:jc w:val="both"/>
              <w:rPr>
                <w:rFonts w:cstheme="minorHAnsi"/>
              </w:rPr>
            </w:pPr>
            <w:r w:rsidRPr="00B64BE0">
              <w:rPr>
                <w:rFonts w:cstheme="minorHAnsi"/>
                <w:sz w:val="20"/>
                <w:szCs w:val="20"/>
              </w:rPr>
              <w:t xml:space="preserve">REACH contributes to fulfilling the </w:t>
            </w:r>
            <w:r>
              <w:rPr>
                <w:rFonts w:cstheme="minorHAnsi"/>
                <w:sz w:val="20"/>
                <w:szCs w:val="20"/>
              </w:rPr>
              <w:t>P</w:t>
            </w:r>
            <w:r w:rsidRPr="00B64BE0">
              <w:rPr>
                <w:rFonts w:cstheme="minorHAnsi"/>
                <w:sz w:val="20"/>
                <w:szCs w:val="20"/>
              </w:rPr>
              <w:t xml:space="preserve">olluter </w:t>
            </w:r>
            <w:r>
              <w:rPr>
                <w:rFonts w:cstheme="minorHAnsi"/>
                <w:sz w:val="20"/>
                <w:szCs w:val="20"/>
              </w:rPr>
              <w:t>P</w:t>
            </w:r>
            <w:r w:rsidRPr="00B64BE0">
              <w:rPr>
                <w:rFonts w:cstheme="minorHAnsi"/>
                <w:sz w:val="20"/>
                <w:szCs w:val="20"/>
              </w:rPr>
              <w:t xml:space="preserve">ays </w:t>
            </w:r>
            <w:r>
              <w:rPr>
                <w:rFonts w:cstheme="minorHAnsi"/>
                <w:sz w:val="20"/>
                <w:szCs w:val="20"/>
              </w:rPr>
              <w:t>P</w:t>
            </w:r>
            <w:r w:rsidRPr="00B64BE0">
              <w:rPr>
                <w:rFonts w:cstheme="minorHAnsi"/>
                <w:sz w:val="20"/>
                <w:szCs w:val="20"/>
              </w:rPr>
              <w:t xml:space="preserve">rinciple </w:t>
            </w:r>
            <w:r>
              <w:rPr>
                <w:rFonts w:cstheme="minorHAnsi"/>
                <w:sz w:val="20"/>
                <w:szCs w:val="20"/>
              </w:rPr>
              <w:t xml:space="preserve">mainly by </w:t>
            </w:r>
            <w:r w:rsidRPr="00B64BE0">
              <w:rPr>
                <w:rFonts w:cstheme="minorHAnsi"/>
                <w:sz w:val="20"/>
                <w:szCs w:val="20"/>
              </w:rPr>
              <w:t>internaliz</w:t>
            </w:r>
            <w:r>
              <w:rPr>
                <w:rFonts w:cstheme="minorHAnsi"/>
                <w:sz w:val="20"/>
                <w:szCs w:val="20"/>
              </w:rPr>
              <w:t>ing</w:t>
            </w:r>
            <w:r w:rsidRPr="00B64BE0">
              <w:rPr>
                <w:rFonts w:cstheme="minorHAnsi"/>
                <w:sz w:val="20"/>
                <w:szCs w:val="20"/>
              </w:rPr>
              <w:t xml:space="preserve"> risk management </w:t>
            </w:r>
            <w:r>
              <w:rPr>
                <w:rFonts w:cstheme="minorHAnsi"/>
                <w:sz w:val="20"/>
                <w:szCs w:val="20"/>
              </w:rPr>
              <w:t>through</w:t>
            </w:r>
            <w:r w:rsidRPr="00B64BE0">
              <w:rPr>
                <w:rFonts w:cstheme="minorHAnsi"/>
                <w:sz w:val="20"/>
                <w:szCs w:val="20"/>
              </w:rPr>
              <w:t xml:space="preserve"> </w:t>
            </w:r>
            <w:r>
              <w:rPr>
                <w:rFonts w:cstheme="minorHAnsi"/>
                <w:sz w:val="20"/>
                <w:szCs w:val="20"/>
              </w:rPr>
              <w:t>requirements that</w:t>
            </w:r>
            <w:r w:rsidRPr="00B64BE0">
              <w:rPr>
                <w:rFonts w:cstheme="minorHAnsi"/>
                <w:sz w:val="20"/>
                <w:szCs w:val="20"/>
              </w:rPr>
              <w:t xml:space="preserve"> companies prove that their substances are safe by carry</w:t>
            </w:r>
            <w:r>
              <w:rPr>
                <w:rFonts w:cstheme="minorHAnsi"/>
                <w:sz w:val="20"/>
                <w:szCs w:val="20"/>
              </w:rPr>
              <w:t>ing</w:t>
            </w:r>
            <w:r w:rsidRPr="00B64BE0">
              <w:rPr>
                <w:rFonts w:cstheme="minorHAnsi"/>
                <w:sz w:val="20"/>
                <w:szCs w:val="20"/>
              </w:rPr>
              <w:t xml:space="preserve"> out pre-market safety and toxicity testing of substances introduced to the markets. This applies to both existing and new substances, which</w:t>
            </w:r>
            <w:r>
              <w:rPr>
                <w:rFonts w:cstheme="minorHAnsi"/>
                <w:sz w:val="20"/>
                <w:szCs w:val="20"/>
              </w:rPr>
              <w:t>, because</w:t>
            </w:r>
            <w:r w:rsidRPr="00B64BE0">
              <w:rPr>
                <w:rFonts w:cstheme="minorHAnsi"/>
                <w:sz w:val="20"/>
                <w:szCs w:val="20"/>
              </w:rPr>
              <w:t xml:space="preserve"> it does </w:t>
            </w:r>
            <w:r>
              <w:rPr>
                <w:rFonts w:cstheme="minorHAnsi"/>
                <w:sz w:val="20"/>
                <w:szCs w:val="20"/>
              </w:rPr>
              <w:t>not</w:t>
            </w:r>
            <w:r w:rsidRPr="00B64BE0">
              <w:rPr>
                <w:rFonts w:cstheme="minorHAnsi"/>
                <w:sz w:val="20"/>
                <w:szCs w:val="20"/>
              </w:rPr>
              <w:t xml:space="preserve"> favor the use of existing substances</w:t>
            </w:r>
            <w:r>
              <w:rPr>
                <w:rFonts w:cstheme="minorHAnsi"/>
                <w:sz w:val="20"/>
                <w:szCs w:val="20"/>
              </w:rPr>
              <w:t xml:space="preserve"> that lack safety and toxicity testing,</w:t>
            </w:r>
            <w:r w:rsidRPr="00B64BE0">
              <w:rPr>
                <w:rFonts w:cstheme="minorHAnsi"/>
                <w:sz w:val="20"/>
                <w:szCs w:val="20"/>
              </w:rPr>
              <w:t xml:space="preserve"> creates a level playing field and stimulates innovation. Since REACH came into force, 17 000 substances have been registered and</w:t>
            </w:r>
            <w:r>
              <w:rPr>
                <w:rFonts w:cstheme="minorHAnsi"/>
                <w:sz w:val="20"/>
                <w:szCs w:val="20"/>
              </w:rPr>
              <w:t>,</w:t>
            </w:r>
            <w:r w:rsidRPr="00B64BE0">
              <w:rPr>
                <w:rFonts w:cstheme="minorHAnsi"/>
                <w:sz w:val="20"/>
                <w:szCs w:val="20"/>
              </w:rPr>
              <w:t xml:space="preserve"> therefore</w:t>
            </w:r>
            <w:r>
              <w:rPr>
                <w:rFonts w:cstheme="minorHAnsi"/>
                <w:sz w:val="20"/>
                <w:szCs w:val="20"/>
              </w:rPr>
              <w:t>,</w:t>
            </w:r>
            <w:r w:rsidRPr="00B64BE0">
              <w:rPr>
                <w:rFonts w:cstheme="minorHAnsi"/>
                <w:sz w:val="20"/>
                <w:szCs w:val="20"/>
              </w:rPr>
              <w:t xml:space="preserve"> assessed by industry (EC, 2018a).  </w:t>
            </w:r>
            <w:r>
              <w:rPr>
                <w:rFonts w:cstheme="minorHAnsi"/>
                <w:sz w:val="20"/>
                <w:szCs w:val="20"/>
              </w:rPr>
              <w:t>Furthermore</w:t>
            </w:r>
            <w:r w:rsidRPr="00B64BE0">
              <w:rPr>
                <w:rFonts w:cstheme="minorHAnsi"/>
                <w:sz w:val="20"/>
                <w:szCs w:val="20"/>
              </w:rPr>
              <w:t xml:space="preserve">, the </w:t>
            </w:r>
            <w:r>
              <w:rPr>
                <w:rFonts w:cstheme="minorHAnsi"/>
                <w:sz w:val="20"/>
                <w:szCs w:val="20"/>
              </w:rPr>
              <w:t xml:space="preserve">Polluter Pays Principle comes into play by using fees to recover the </w:t>
            </w:r>
            <w:r w:rsidRPr="00B64BE0">
              <w:rPr>
                <w:rFonts w:cstheme="minorHAnsi"/>
                <w:sz w:val="20"/>
                <w:szCs w:val="20"/>
              </w:rPr>
              <w:t xml:space="preserve">operational costs of </w:t>
            </w:r>
            <w:r>
              <w:rPr>
                <w:rFonts w:cstheme="minorHAnsi"/>
                <w:sz w:val="20"/>
                <w:szCs w:val="20"/>
              </w:rPr>
              <w:t>running</w:t>
            </w:r>
            <w:r w:rsidRPr="00B64BE0">
              <w:rPr>
                <w:rFonts w:cstheme="minorHAnsi"/>
                <w:sz w:val="20"/>
                <w:szCs w:val="20"/>
              </w:rPr>
              <w:t xml:space="preserve"> the European Chemical</w:t>
            </w:r>
            <w:r>
              <w:rPr>
                <w:rFonts w:cstheme="minorHAnsi"/>
                <w:sz w:val="20"/>
                <w:szCs w:val="20"/>
              </w:rPr>
              <w:t>s</w:t>
            </w:r>
            <w:r w:rsidRPr="00B64BE0">
              <w:rPr>
                <w:rFonts w:cstheme="minorHAnsi"/>
                <w:sz w:val="20"/>
                <w:szCs w:val="20"/>
              </w:rPr>
              <w:t xml:space="preserve"> Agency (ECHA)</w:t>
            </w:r>
            <w:r>
              <w:rPr>
                <w:rFonts w:cstheme="minorHAnsi"/>
                <w:sz w:val="20"/>
                <w:szCs w:val="20"/>
              </w:rPr>
              <w:t>, which manages the implementation of REACH</w:t>
            </w:r>
            <w:r w:rsidRPr="00B64BE0">
              <w:rPr>
                <w:rFonts w:cstheme="minorHAnsi"/>
                <w:sz w:val="20"/>
                <w:szCs w:val="20"/>
              </w:rPr>
              <w:t xml:space="preserve"> (see section 4). The estimated scale of potential benefits for human health and the environment remains </w:t>
            </w:r>
            <w:r>
              <w:rPr>
                <w:rFonts w:cstheme="minorHAnsi"/>
                <w:sz w:val="20"/>
                <w:szCs w:val="20"/>
              </w:rPr>
              <w:t>on</w:t>
            </w:r>
            <w:r w:rsidRPr="00B64BE0">
              <w:rPr>
                <w:rFonts w:cstheme="minorHAnsi"/>
                <w:sz w:val="20"/>
                <w:szCs w:val="20"/>
              </w:rPr>
              <w:t xml:space="preserve"> the order of EUR 100 billion over 25-30 years (EC, 2018b). The second 5-year review of REACH shows</w:t>
            </w:r>
            <w:r>
              <w:rPr>
                <w:rFonts w:cstheme="minorHAnsi"/>
                <w:sz w:val="20"/>
                <w:szCs w:val="20"/>
              </w:rPr>
              <w:t xml:space="preserve"> that</w:t>
            </w:r>
            <w:r w:rsidRPr="00B64BE0">
              <w:rPr>
                <w:rFonts w:cstheme="minorHAnsi"/>
                <w:sz w:val="20"/>
                <w:szCs w:val="20"/>
              </w:rPr>
              <w:t xml:space="preserve"> it has significantly helped to direct EU’s work towards meeting the 2020 goal (EC, 2018b). REACH has also influenced legislation in other countries (e.g. Korea or China), although significant differences still exist (EC, 2018b). </w:t>
            </w:r>
          </w:p>
        </w:tc>
      </w:tr>
    </w:tbl>
    <w:p w14:paraId="10EF3FF8" w14:textId="77777777" w:rsidR="00D255B4" w:rsidRDefault="00D255B4" w:rsidP="00D255B4">
      <w:pPr>
        <w:jc w:val="both"/>
        <w:rPr>
          <w:rFonts w:ascii="Arial" w:hAnsi="Arial" w:cs="Arial"/>
        </w:rPr>
      </w:pPr>
    </w:p>
    <w:p w14:paraId="4575C4EA" w14:textId="77777777" w:rsidR="00D255B4" w:rsidRDefault="00D255B4" w:rsidP="00D255B4">
      <w:pPr>
        <w:jc w:val="both"/>
        <w:rPr>
          <w:rFonts w:ascii="Arial" w:hAnsi="Arial" w:cs="Arial"/>
        </w:rPr>
      </w:pPr>
    </w:p>
    <w:p w14:paraId="52102B36" w14:textId="77777777" w:rsidR="00D255B4" w:rsidRDefault="00D255B4" w:rsidP="00D255B4">
      <w:pPr>
        <w:jc w:val="both"/>
        <w:rPr>
          <w:rFonts w:cstheme="minorHAnsi"/>
          <w:b/>
          <w:bCs/>
        </w:rPr>
      </w:pPr>
      <w:r>
        <w:rPr>
          <w:rFonts w:cstheme="minorHAnsi"/>
        </w:rPr>
        <w:t>I</w:t>
      </w:r>
      <w:r w:rsidRPr="00385267">
        <w:rPr>
          <w:rFonts w:cstheme="minorHAnsi"/>
        </w:rPr>
        <w:t>n Madagascar</w:t>
      </w:r>
      <w:r>
        <w:rPr>
          <w:rFonts w:cstheme="minorHAnsi"/>
        </w:rPr>
        <w:t>,</w:t>
      </w:r>
      <w:r w:rsidRPr="00385267">
        <w:rPr>
          <w:rFonts w:cstheme="minorHAnsi"/>
        </w:rPr>
        <w:t xml:space="preserve"> </w:t>
      </w:r>
      <w:r>
        <w:rPr>
          <w:rFonts w:cstheme="minorHAnsi"/>
        </w:rPr>
        <w:t>t</w:t>
      </w:r>
      <w:r w:rsidRPr="00385267">
        <w:rPr>
          <w:rFonts w:cstheme="minorHAnsi"/>
        </w:rPr>
        <w:t>he Polluter Pays Principle is mentioned in</w:t>
      </w:r>
      <w:r w:rsidRPr="00FB5D05">
        <w:rPr>
          <w:rFonts w:cstheme="minorHAnsi"/>
        </w:rPr>
        <w:t xml:space="preserve"> the</w:t>
      </w:r>
      <w:r w:rsidRPr="0025610D">
        <w:rPr>
          <w:rFonts w:cstheme="minorHAnsi"/>
        </w:rPr>
        <w:t xml:space="preserve"> MECIE on the Compatibility of investments in the Environment Decree. </w:t>
      </w:r>
      <w:r w:rsidRPr="003F010A">
        <w:rPr>
          <w:rFonts w:cstheme="minorHAnsi"/>
        </w:rPr>
        <w:t xml:space="preserve">The pollution tax in Iran obliges large polluting industries to pay 1% </w:t>
      </w:r>
      <w:r>
        <w:rPr>
          <w:rFonts w:cstheme="minorHAnsi"/>
        </w:rPr>
        <w:t xml:space="preserve">of </w:t>
      </w:r>
      <w:r w:rsidRPr="003F010A">
        <w:rPr>
          <w:rFonts w:cstheme="minorHAnsi"/>
        </w:rPr>
        <w:t xml:space="preserve">their </w:t>
      </w:r>
      <w:r>
        <w:rPr>
          <w:rFonts w:cstheme="minorHAnsi"/>
        </w:rPr>
        <w:t>revenue</w:t>
      </w:r>
      <w:r w:rsidRPr="003F010A">
        <w:rPr>
          <w:rFonts w:cstheme="minorHAnsi"/>
        </w:rPr>
        <w:t xml:space="preserve"> as green taxes</w:t>
      </w:r>
      <w:r>
        <w:rPr>
          <w:rFonts w:cstheme="minorHAnsi"/>
        </w:rPr>
        <w:t>. This</w:t>
      </w:r>
      <w:r w:rsidRPr="003F010A">
        <w:rPr>
          <w:rFonts w:cstheme="minorHAnsi"/>
        </w:rPr>
        <w:t xml:space="preserve"> show</w:t>
      </w:r>
      <w:r>
        <w:rPr>
          <w:rFonts w:cstheme="minorHAnsi"/>
        </w:rPr>
        <w:t>s</w:t>
      </w:r>
      <w:r w:rsidRPr="003F010A">
        <w:rPr>
          <w:rFonts w:cstheme="minorHAnsi"/>
        </w:rPr>
        <w:t xml:space="preserve"> that internalization of costs can generate significant </w:t>
      </w:r>
      <w:r>
        <w:rPr>
          <w:rFonts w:cstheme="minorHAnsi"/>
        </w:rPr>
        <w:t>revenues</w:t>
      </w:r>
      <w:r w:rsidRPr="003F010A">
        <w:rPr>
          <w:rFonts w:cstheme="minorHAnsi"/>
        </w:rPr>
        <w:t>: 2017 revenues collected totaled USD 2.5 billion (</w:t>
      </w:r>
      <w:proofErr w:type="spellStart"/>
      <w:r w:rsidRPr="003F010A">
        <w:rPr>
          <w:rFonts w:cstheme="minorHAnsi"/>
        </w:rPr>
        <w:t>Harchegani</w:t>
      </w:r>
      <w:proofErr w:type="spellEnd"/>
      <w:r w:rsidRPr="003F010A">
        <w:rPr>
          <w:rFonts w:cstheme="minorHAnsi"/>
        </w:rPr>
        <w:t xml:space="preserve"> &amp; </w:t>
      </w:r>
      <w:proofErr w:type="spellStart"/>
      <w:r w:rsidRPr="003F010A">
        <w:rPr>
          <w:rFonts w:cstheme="minorHAnsi"/>
        </w:rPr>
        <w:t>Dahmardeh</w:t>
      </w:r>
      <w:proofErr w:type="spellEnd"/>
      <w:r w:rsidRPr="003F010A">
        <w:rPr>
          <w:rFonts w:cstheme="minorHAnsi"/>
        </w:rPr>
        <w:t>, 2017; Financial Tribune, 2017).</w:t>
      </w:r>
    </w:p>
    <w:p w14:paraId="5156872A" w14:textId="77777777" w:rsidR="00D255B4" w:rsidRDefault="00D255B4" w:rsidP="00D255B4">
      <w:pPr>
        <w:jc w:val="both"/>
        <w:rPr>
          <w:rFonts w:cstheme="minorHAnsi"/>
          <w:b/>
          <w:bCs/>
        </w:rPr>
      </w:pPr>
    </w:p>
    <w:p w14:paraId="7F8C3A35" w14:textId="77777777" w:rsidR="00D255B4" w:rsidRDefault="00D255B4" w:rsidP="00D255B4">
      <w:pPr>
        <w:jc w:val="both"/>
        <w:rPr>
          <w:rFonts w:cstheme="minorHAnsi"/>
          <w:b/>
          <w:bCs/>
        </w:rPr>
      </w:pPr>
    </w:p>
    <w:p w14:paraId="41A20F4C" w14:textId="77777777" w:rsidR="00D255B4" w:rsidRDefault="00D255B4" w:rsidP="00D255B4">
      <w:pPr>
        <w:jc w:val="both"/>
        <w:rPr>
          <w:rFonts w:cstheme="minorHAnsi"/>
          <w:b/>
          <w:bCs/>
        </w:rPr>
      </w:pPr>
    </w:p>
    <w:p w14:paraId="0E780299" w14:textId="77777777" w:rsidR="00D935A3" w:rsidRDefault="00D935A3">
      <w:pPr>
        <w:rPr>
          <w:rFonts w:asciiTheme="majorHAnsi" w:eastAsiaTheme="majorEastAsia" w:hAnsiTheme="majorHAnsi" w:cstheme="majorBidi"/>
          <w:color w:val="2F5496" w:themeColor="accent1" w:themeShade="BF"/>
          <w:sz w:val="32"/>
          <w:szCs w:val="32"/>
        </w:rPr>
      </w:pPr>
      <w:bookmarkStart w:id="12" w:name="_Toc19213817"/>
      <w:r>
        <w:br w:type="page"/>
      </w:r>
    </w:p>
    <w:p w14:paraId="01319CD2" w14:textId="430E163D" w:rsidR="00D255B4" w:rsidRDefault="00D255B4" w:rsidP="00D54D68">
      <w:pPr>
        <w:pStyle w:val="Heading1"/>
        <w:numPr>
          <w:ilvl w:val="0"/>
          <w:numId w:val="4"/>
        </w:numPr>
      </w:pPr>
      <w:r>
        <w:lastRenderedPageBreak/>
        <w:t>Cost recovery</w:t>
      </w:r>
      <w:bookmarkEnd w:id="12"/>
      <w:r>
        <w:t xml:space="preserve"> </w:t>
      </w:r>
    </w:p>
    <w:p w14:paraId="6759DF55" w14:textId="77777777" w:rsidR="00D255B4" w:rsidRDefault="00D255B4" w:rsidP="00D255B4">
      <w:pPr>
        <w:jc w:val="both"/>
        <w:rPr>
          <w:rFonts w:cstheme="minorHAnsi"/>
          <w:b/>
          <w:bCs/>
        </w:rPr>
      </w:pPr>
    </w:p>
    <w:p w14:paraId="7DD99ED0" w14:textId="77777777" w:rsidR="00D255B4" w:rsidRDefault="00D255B4" w:rsidP="00D255B4">
      <w:pPr>
        <w:jc w:val="both"/>
        <w:rPr>
          <w:rFonts w:cstheme="minorHAnsi"/>
        </w:rPr>
      </w:pPr>
      <w:r w:rsidRPr="0025610D">
        <w:rPr>
          <w:rFonts w:cstheme="minorHAnsi"/>
        </w:rPr>
        <w:t xml:space="preserve">The </w:t>
      </w:r>
      <w:r w:rsidRPr="0025610D">
        <w:rPr>
          <w:rFonts w:cstheme="minorHAnsi"/>
          <w:color w:val="1E1E1E"/>
          <w:shd w:val="clear" w:color="auto" w:fill="FFFFFF"/>
        </w:rPr>
        <w:t>Guidance on the Development of Legal and Institutional Infrastructures and Measures for Recovering Costs of National Administration for Sound Management of Chemicals (</w:t>
      </w:r>
      <w:r w:rsidRPr="0025610D">
        <w:rPr>
          <w:rFonts w:cstheme="minorHAnsi"/>
        </w:rPr>
        <w:t>LIRA guidance), which sets out more concrete options in particular for cost recovery systems at the domestic level, is the most notable tool</w:t>
      </w:r>
      <w:r>
        <w:rPr>
          <w:rFonts w:cstheme="minorHAnsi"/>
        </w:rPr>
        <w:t>.  It was</w:t>
      </w:r>
      <w:r w:rsidRPr="0025610D">
        <w:rPr>
          <w:rFonts w:cstheme="minorHAnsi"/>
        </w:rPr>
        <w:t xml:space="preserve"> developed by UNEP for operationalizing the industry involvement</w:t>
      </w:r>
      <w:r>
        <w:t xml:space="preserve"> component of UNEP’s integrated approach to financing the sound management of chemicals and waste </w:t>
      </w:r>
      <w:r>
        <w:rPr>
          <w:rFonts w:cstheme="minorHAnsi"/>
        </w:rPr>
        <w:t>(UNEP, 2015)</w:t>
      </w:r>
      <w:r w:rsidRPr="00DD4979">
        <w:rPr>
          <w:rFonts w:cstheme="minorHAnsi"/>
        </w:rPr>
        <w:t xml:space="preserve">. </w:t>
      </w:r>
      <w:r>
        <w:t xml:space="preserve">The LIRA guidance provides practical guidance for setting up adequate legal frameworks and institutional capacity at the national level, which is considered a prerequisite for carrying out core risk reduction activities. </w:t>
      </w:r>
      <w:r w:rsidRPr="00DD4979">
        <w:rPr>
          <w:rFonts w:cstheme="minorHAnsi"/>
        </w:rPr>
        <w:t xml:space="preserve">It describes measures that governments can take at a domestic level to recover implementation costs such as registration, manufacture, import and user fees to cover overall national governance of chemicals expenditures. </w:t>
      </w:r>
      <w:r>
        <w:rPr>
          <w:rFonts w:cstheme="minorHAnsi"/>
        </w:rPr>
        <w:t>It also highlights that the i</w:t>
      </w:r>
      <w:r w:rsidRPr="00DD4979">
        <w:rPr>
          <w:rFonts w:cstheme="minorHAnsi"/>
        </w:rPr>
        <w:t xml:space="preserve">mplementation of </w:t>
      </w:r>
      <w:r>
        <w:rPr>
          <w:rFonts w:cstheme="minorHAnsi"/>
        </w:rPr>
        <w:t>cost recovery</w:t>
      </w:r>
      <w:r w:rsidRPr="00DD4979">
        <w:rPr>
          <w:rFonts w:cstheme="minorHAnsi"/>
        </w:rPr>
        <w:t xml:space="preserve"> measures offer</w:t>
      </w:r>
      <w:r>
        <w:rPr>
          <w:rFonts w:cstheme="minorHAnsi"/>
        </w:rPr>
        <w:t>s</w:t>
      </w:r>
      <w:r w:rsidRPr="00DD4979">
        <w:rPr>
          <w:rFonts w:cstheme="minorHAnsi"/>
        </w:rPr>
        <w:t xml:space="preserve"> governments of even low-income countries the opportunity to mobilize new sources of income. </w:t>
      </w:r>
      <w:r>
        <w:rPr>
          <w:rFonts w:cstheme="minorHAnsi"/>
        </w:rPr>
        <w:t xml:space="preserve"> </w:t>
      </w:r>
      <w:r w:rsidRPr="00A70897">
        <w:rPr>
          <w:rFonts w:cstheme="minorHAnsi"/>
        </w:rPr>
        <w:t xml:space="preserve">Recently, UNEP supplemented the </w:t>
      </w:r>
      <w:r>
        <w:rPr>
          <w:rFonts w:cstheme="minorHAnsi"/>
        </w:rPr>
        <w:t>LIRA</w:t>
      </w:r>
      <w:r w:rsidRPr="00A70897">
        <w:rPr>
          <w:rFonts w:cstheme="minorHAnsi"/>
        </w:rPr>
        <w:t xml:space="preserve"> guidance with a series of more specific guidance documents on</w:t>
      </w:r>
      <w:r>
        <w:rPr>
          <w:rFonts w:cstheme="minorHAnsi"/>
        </w:rPr>
        <w:t xml:space="preserve">: </w:t>
      </w:r>
    </w:p>
    <w:p w14:paraId="20AE7C30" w14:textId="77777777" w:rsidR="00D255B4" w:rsidRDefault="00D255B4" w:rsidP="00D255B4">
      <w:pPr>
        <w:jc w:val="both"/>
        <w:rPr>
          <w:rFonts w:cstheme="minorHAnsi"/>
        </w:rPr>
      </w:pPr>
    </w:p>
    <w:p w14:paraId="60DF0332" w14:textId="77777777" w:rsidR="00D255B4" w:rsidRPr="00472F73" w:rsidRDefault="00D255B4" w:rsidP="00D54D68">
      <w:pPr>
        <w:pStyle w:val="ListParagraph"/>
        <w:numPr>
          <w:ilvl w:val="0"/>
          <w:numId w:val="6"/>
        </w:numPr>
        <w:spacing w:line="259" w:lineRule="auto"/>
        <w:jc w:val="both"/>
        <w:rPr>
          <w:rFonts w:cstheme="minorHAnsi"/>
        </w:rPr>
      </w:pPr>
      <w:r>
        <w:rPr>
          <w:rFonts w:cstheme="minorHAnsi"/>
        </w:rPr>
        <w:t>E</w:t>
      </w:r>
      <w:r w:rsidRPr="00472F73">
        <w:rPr>
          <w:rFonts w:cstheme="minorHAnsi"/>
        </w:rPr>
        <w:t>stablishing and maintaining a national authority for chemicals control (UNEP, 2019c</w:t>
      </w:r>
      <w:r>
        <w:rPr>
          <w:rFonts w:cstheme="minorHAnsi"/>
        </w:rPr>
        <w:t>),</w:t>
      </w:r>
    </w:p>
    <w:p w14:paraId="668A731F" w14:textId="77777777" w:rsidR="00D255B4" w:rsidRPr="00472F73" w:rsidRDefault="00D255B4" w:rsidP="00D54D68">
      <w:pPr>
        <w:pStyle w:val="ListParagraph"/>
        <w:numPr>
          <w:ilvl w:val="0"/>
          <w:numId w:val="6"/>
        </w:numPr>
        <w:spacing w:line="259" w:lineRule="auto"/>
        <w:jc w:val="both"/>
        <w:rPr>
          <w:rFonts w:cstheme="minorHAnsi"/>
        </w:rPr>
      </w:pPr>
      <w:r>
        <w:rPr>
          <w:rFonts w:cstheme="minorHAnsi"/>
        </w:rPr>
        <w:t>U</w:t>
      </w:r>
      <w:r w:rsidRPr="00472F73">
        <w:rPr>
          <w:rFonts w:cstheme="minorHAnsi"/>
        </w:rPr>
        <w:t>sing risk reduction tools for chemicals control, including economic instruments</w:t>
      </w:r>
      <w:r>
        <w:rPr>
          <w:rFonts w:cstheme="minorHAnsi"/>
        </w:rPr>
        <w:t xml:space="preserve"> </w:t>
      </w:r>
      <w:r w:rsidRPr="00472F73">
        <w:rPr>
          <w:rFonts w:cstheme="minorHAnsi"/>
        </w:rPr>
        <w:t>(UNEP, 2019d</w:t>
      </w:r>
      <w:r>
        <w:rPr>
          <w:rFonts w:cstheme="minorHAnsi"/>
        </w:rPr>
        <w:t>)</w:t>
      </w:r>
    </w:p>
    <w:p w14:paraId="686F63EC" w14:textId="77777777" w:rsidR="00D255B4" w:rsidRPr="00472F73" w:rsidRDefault="00D255B4" w:rsidP="00D54D68">
      <w:pPr>
        <w:pStyle w:val="ListParagraph"/>
        <w:numPr>
          <w:ilvl w:val="0"/>
          <w:numId w:val="6"/>
        </w:numPr>
        <w:spacing w:line="259" w:lineRule="auto"/>
        <w:jc w:val="both"/>
        <w:rPr>
          <w:rFonts w:cstheme="minorHAnsi"/>
        </w:rPr>
      </w:pPr>
      <w:r>
        <w:rPr>
          <w:rFonts w:cstheme="minorHAnsi"/>
        </w:rPr>
        <w:t>E</w:t>
      </w:r>
      <w:r w:rsidRPr="00472F73">
        <w:rPr>
          <w:rFonts w:cstheme="minorHAnsi"/>
        </w:rPr>
        <w:t>n</w:t>
      </w:r>
      <w:r>
        <w:rPr>
          <w:rFonts w:cstheme="minorHAnsi"/>
        </w:rPr>
        <w:t>hancement of</w:t>
      </w:r>
      <w:r w:rsidRPr="00472F73">
        <w:rPr>
          <w:rFonts w:cstheme="minorHAnsi"/>
        </w:rPr>
        <w:t xml:space="preserve"> chemicals legislation </w:t>
      </w:r>
      <w:r>
        <w:rPr>
          <w:rFonts w:cstheme="minorHAnsi"/>
        </w:rPr>
        <w:t>(</w:t>
      </w:r>
      <w:r w:rsidRPr="00472F73">
        <w:rPr>
          <w:rFonts w:cstheme="minorHAnsi"/>
        </w:rPr>
        <w:t>UNEP, 2019e)</w:t>
      </w:r>
      <w:r>
        <w:rPr>
          <w:rFonts w:cstheme="minorHAnsi"/>
        </w:rPr>
        <w:t>.</w:t>
      </w:r>
    </w:p>
    <w:p w14:paraId="145931A6" w14:textId="77777777" w:rsidR="00D255B4" w:rsidRDefault="00D255B4" w:rsidP="00D255B4">
      <w:pPr>
        <w:jc w:val="both"/>
      </w:pPr>
    </w:p>
    <w:p w14:paraId="3CD269C6" w14:textId="77777777" w:rsidR="00D255B4" w:rsidRPr="00B61195" w:rsidRDefault="00D255B4" w:rsidP="00D255B4">
      <w:pPr>
        <w:jc w:val="both"/>
        <w:rPr>
          <w:b/>
          <w:bCs/>
        </w:rPr>
      </w:pPr>
      <w:r>
        <w:t xml:space="preserve">In essence, cost recovery fees are aimed at regulated industries and designed to cover the expenses arising from carrying out administrative procedures at the national level for ensuring chemical safety. For instance, they can cover the cost for inspections and for providing and maintaining registration, licensing and authorization systems. Their use is recommended together with other financing options, including allocations from the state budget (UNEP, 2019c). The primary types of cost recovery fees are summarized in Table 1 and explained in more detail below. </w:t>
      </w:r>
    </w:p>
    <w:p w14:paraId="6F309ACE" w14:textId="77777777" w:rsidR="00D255B4" w:rsidRDefault="00D255B4" w:rsidP="00D255B4">
      <w:pPr>
        <w:jc w:val="both"/>
        <w:rPr>
          <w:rFonts w:cstheme="minorHAnsi"/>
        </w:rPr>
      </w:pPr>
    </w:p>
    <w:p w14:paraId="2A7B4AEB" w14:textId="77777777" w:rsidR="00D935A3" w:rsidRDefault="00D935A3">
      <w:pPr>
        <w:rPr>
          <w:b/>
          <w:bCs/>
        </w:rPr>
      </w:pPr>
      <w:r>
        <w:rPr>
          <w:b/>
          <w:bCs/>
        </w:rPr>
        <w:br w:type="page"/>
      </w:r>
    </w:p>
    <w:p w14:paraId="36AFD4C9" w14:textId="1C9C126B" w:rsidR="00D255B4" w:rsidRDefault="00D255B4" w:rsidP="00D255B4">
      <w:pPr>
        <w:spacing w:after="60"/>
        <w:jc w:val="both"/>
      </w:pPr>
      <w:r w:rsidRPr="007A4392">
        <w:rPr>
          <w:b/>
          <w:bCs/>
        </w:rPr>
        <w:lastRenderedPageBreak/>
        <w:t xml:space="preserve">Table </w:t>
      </w:r>
      <w:r>
        <w:rPr>
          <w:b/>
          <w:bCs/>
        </w:rPr>
        <w:t>1</w:t>
      </w:r>
      <w:r w:rsidRPr="007A4392">
        <w:rPr>
          <w:b/>
          <w:bCs/>
        </w:rPr>
        <w:t>.</w:t>
      </w:r>
      <w:r>
        <w:t xml:space="preserve"> Types of cost recovery fees for carrying out administrative functions for chemicals safety (UNEP, 2019c; </w:t>
      </w:r>
      <w:proofErr w:type="spellStart"/>
      <w:r>
        <w:t>KemI</w:t>
      </w:r>
      <w:proofErr w:type="spellEnd"/>
      <w:r>
        <w:t xml:space="preserve">, 2018).   </w:t>
      </w:r>
    </w:p>
    <w:tbl>
      <w:tblPr>
        <w:tblStyle w:val="TableGrid"/>
        <w:tblW w:w="9535" w:type="dxa"/>
        <w:tblBorders>
          <w:left w:val="none" w:sz="0" w:space="0" w:color="auto"/>
          <w:right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1255"/>
        <w:gridCol w:w="3870"/>
        <w:gridCol w:w="4410"/>
      </w:tblGrid>
      <w:tr w:rsidR="00D255B4" w:rsidRPr="00A31368" w14:paraId="67EF5E83" w14:textId="77777777" w:rsidTr="00933F86">
        <w:tc>
          <w:tcPr>
            <w:tcW w:w="1255" w:type="dxa"/>
            <w:shd w:val="clear" w:color="auto" w:fill="B4C6E7" w:themeFill="accent1" w:themeFillTint="66"/>
          </w:tcPr>
          <w:p w14:paraId="1282F7EB" w14:textId="77777777" w:rsidR="00D255B4" w:rsidRPr="00A31368" w:rsidRDefault="00D255B4" w:rsidP="00933F86">
            <w:pPr>
              <w:jc w:val="center"/>
              <w:rPr>
                <w:b/>
                <w:bCs/>
                <w:sz w:val="18"/>
                <w:szCs w:val="18"/>
              </w:rPr>
            </w:pPr>
            <w:r w:rsidRPr="00A31368">
              <w:rPr>
                <w:b/>
                <w:bCs/>
                <w:sz w:val="18"/>
                <w:szCs w:val="18"/>
              </w:rPr>
              <w:t>Type of fee</w:t>
            </w:r>
          </w:p>
        </w:tc>
        <w:tc>
          <w:tcPr>
            <w:tcW w:w="3870" w:type="dxa"/>
            <w:shd w:val="clear" w:color="auto" w:fill="B4C6E7" w:themeFill="accent1" w:themeFillTint="66"/>
          </w:tcPr>
          <w:p w14:paraId="456D9E21" w14:textId="77777777" w:rsidR="00D255B4" w:rsidRPr="00A31368" w:rsidRDefault="00D255B4" w:rsidP="00933F86">
            <w:pPr>
              <w:jc w:val="center"/>
              <w:rPr>
                <w:b/>
                <w:bCs/>
                <w:sz w:val="18"/>
                <w:szCs w:val="18"/>
              </w:rPr>
            </w:pPr>
            <w:r w:rsidRPr="00A31368">
              <w:rPr>
                <w:b/>
                <w:bCs/>
                <w:sz w:val="18"/>
                <w:szCs w:val="18"/>
              </w:rPr>
              <w:t>Who pays?</w:t>
            </w:r>
          </w:p>
        </w:tc>
        <w:tc>
          <w:tcPr>
            <w:tcW w:w="4410" w:type="dxa"/>
            <w:shd w:val="clear" w:color="auto" w:fill="B4C6E7" w:themeFill="accent1" w:themeFillTint="66"/>
          </w:tcPr>
          <w:p w14:paraId="195834D4" w14:textId="77777777" w:rsidR="00D255B4" w:rsidRPr="00A31368" w:rsidRDefault="00D255B4" w:rsidP="00933F86">
            <w:pPr>
              <w:jc w:val="center"/>
              <w:rPr>
                <w:b/>
                <w:bCs/>
                <w:sz w:val="18"/>
                <w:szCs w:val="18"/>
              </w:rPr>
            </w:pPr>
            <w:r w:rsidRPr="00A31368">
              <w:rPr>
                <w:b/>
                <w:bCs/>
                <w:sz w:val="18"/>
                <w:szCs w:val="18"/>
              </w:rPr>
              <w:t>What is covered?</w:t>
            </w:r>
          </w:p>
        </w:tc>
      </w:tr>
      <w:tr w:rsidR="00D255B4" w:rsidRPr="00A31368" w14:paraId="1AAC3A88" w14:textId="77777777" w:rsidTr="00933F86">
        <w:trPr>
          <w:trHeight w:val="373"/>
        </w:trPr>
        <w:tc>
          <w:tcPr>
            <w:tcW w:w="1255" w:type="dxa"/>
          </w:tcPr>
          <w:p w14:paraId="6509BBF4" w14:textId="77777777" w:rsidR="00D255B4" w:rsidRPr="00A31368" w:rsidRDefault="00D255B4" w:rsidP="00933F86">
            <w:pPr>
              <w:rPr>
                <w:b/>
                <w:bCs/>
                <w:sz w:val="18"/>
                <w:szCs w:val="18"/>
              </w:rPr>
            </w:pPr>
            <w:r w:rsidRPr="00A31368">
              <w:rPr>
                <w:b/>
                <w:bCs/>
                <w:sz w:val="18"/>
                <w:szCs w:val="18"/>
              </w:rPr>
              <w:t>Annual fees</w:t>
            </w:r>
          </w:p>
        </w:tc>
        <w:tc>
          <w:tcPr>
            <w:tcW w:w="3870" w:type="dxa"/>
          </w:tcPr>
          <w:p w14:paraId="417C5CDA" w14:textId="77777777" w:rsidR="00D255B4" w:rsidRPr="00A31368" w:rsidRDefault="00D255B4" w:rsidP="00933F86">
            <w:pPr>
              <w:rPr>
                <w:sz w:val="18"/>
                <w:szCs w:val="18"/>
              </w:rPr>
            </w:pPr>
            <w:r>
              <w:rPr>
                <w:sz w:val="18"/>
                <w:szCs w:val="18"/>
              </w:rPr>
              <w:t>C</w:t>
            </w:r>
            <w:r w:rsidRPr="00A31368">
              <w:rPr>
                <w:sz w:val="18"/>
                <w:szCs w:val="18"/>
              </w:rPr>
              <w:t>ompanies placing chemicals on the market in a country, both chemical</w:t>
            </w:r>
            <w:r>
              <w:rPr>
                <w:sz w:val="18"/>
                <w:szCs w:val="18"/>
              </w:rPr>
              <w:t xml:space="preserve"> producers and </w:t>
            </w:r>
            <w:r w:rsidRPr="00A31368">
              <w:rPr>
                <w:sz w:val="18"/>
                <w:szCs w:val="18"/>
              </w:rPr>
              <w:t>import</w:t>
            </w:r>
            <w:r>
              <w:rPr>
                <w:sz w:val="18"/>
                <w:szCs w:val="18"/>
              </w:rPr>
              <w:t>ers</w:t>
            </w:r>
          </w:p>
        </w:tc>
        <w:tc>
          <w:tcPr>
            <w:tcW w:w="4410" w:type="dxa"/>
          </w:tcPr>
          <w:p w14:paraId="5B02EF89" w14:textId="77777777" w:rsidR="00D255B4" w:rsidRPr="00A31368" w:rsidRDefault="00D255B4" w:rsidP="00933F86">
            <w:pPr>
              <w:rPr>
                <w:sz w:val="18"/>
                <w:szCs w:val="18"/>
              </w:rPr>
            </w:pPr>
            <w:r w:rsidRPr="00A31368">
              <w:rPr>
                <w:sz w:val="18"/>
                <w:szCs w:val="18"/>
              </w:rPr>
              <w:t>Maintaining registers</w:t>
            </w:r>
            <w:r>
              <w:rPr>
                <w:sz w:val="18"/>
                <w:szCs w:val="18"/>
              </w:rPr>
              <w:t xml:space="preserve">, performing inspections, granting exemptions, providing a helpdesk and issuing licenses </w:t>
            </w:r>
          </w:p>
        </w:tc>
      </w:tr>
      <w:tr w:rsidR="00D255B4" w:rsidRPr="00A31368" w14:paraId="3D387C35" w14:textId="77777777" w:rsidTr="00933F86">
        <w:tc>
          <w:tcPr>
            <w:tcW w:w="1255" w:type="dxa"/>
          </w:tcPr>
          <w:p w14:paraId="5C4E2C20" w14:textId="77777777" w:rsidR="00D255B4" w:rsidRPr="00A31368" w:rsidRDefault="00D255B4" w:rsidP="00933F86">
            <w:pPr>
              <w:rPr>
                <w:b/>
                <w:bCs/>
                <w:sz w:val="18"/>
                <w:szCs w:val="18"/>
              </w:rPr>
            </w:pPr>
            <w:r w:rsidRPr="00A31368">
              <w:rPr>
                <w:b/>
                <w:bCs/>
                <w:sz w:val="18"/>
                <w:szCs w:val="18"/>
              </w:rPr>
              <w:t>Fe</w:t>
            </w:r>
            <w:r>
              <w:rPr>
                <w:b/>
                <w:bCs/>
                <w:sz w:val="18"/>
                <w:szCs w:val="18"/>
              </w:rPr>
              <w:t>e</w:t>
            </w:r>
            <w:r w:rsidRPr="00A31368">
              <w:rPr>
                <w:b/>
                <w:bCs/>
                <w:sz w:val="18"/>
                <w:szCs w:val="18"/>
              </w:rPr>
              <w:t xml:space="preserve">s </w:t>
            </w:r>
            <w:r>
              <w:rPr>
                <w:b/>
                <w:bCs/>
                <w:sz w:val="18"/>
                <w:szCs w:val="18"/>
              </w:rPr>
              <w:t>/</w:t>
            </w:r>
            <w:r w:rsidRPr="00A31368">
              <w:rPr>
                <w:b/>
                <w:bCs/>
                <w:sz w:val="18"/>
                <w:szCs w:val="18"/>
              </w:rPr>
              <w:t xml:space="preserve"> service </w:t>
            </w:r>
          </w:p>
        </w:tc>
        <w:tc>
          <w:tcPr>
            <w:tcW w:w="3870" w:type="dxa"/>
          </w:tcPr>
          <w:p w14:paraId="3DFFB4B9" w14:textId="77777777" w:rsidR="00D255B4" w:rsidRPr="00A31368" w:rsidRDefault="00D255B4" w:rsidP="00933F86">
            <w:pPr>
              <w:rPr>
                <w:sz w:val="18"/>
                <w:szCs w:val="18"/>
              </w:rPr>
            </w:pPr>
            <w:r>
              <w:rPr>
                <w:sz w:val="18"/>
                <w:szCs w:val="18"/>
              </w:rPr>
              <w:t>Companies charged for each service provided (as alternative to annual fees)</w:t>
            </w:r>
          </w:p>
        </w:tc>
        <w:tc>
          <w:tcPr>
            <w:tcW w:w="4410" w:type="dxa"/>
          </w:tcPr>
          <w:p w14:paraId="15C4E2AB" w14:textId="77777777" w:rsidR="00D255B4" w:rsidRPr="00A31368" w:rsidRDefault="00D255B4" w:rsidP="00933F86">
            <w:pPr>
              <w:rPr>
                <w:sz w:val="18"/>
                <w:szCs w:val="18"/>
              </w:rPr>
            </w:pPr>
            <w:r>
              <w:rPr>
                <w:sz w:val="18"/>
                <w:szCs w:val="18"/>
              </w:rPr>
              <w:t xml:space="preserve">Could include e.g. inspections of companies and assessments of applications from companies </w:t>
            </w:r>
          </w:p>
        </w:tc>
      </w:tr>
      <w:tr w:rsidR="00D255B4" w:rsidRPr="00A31368" w14:paraId="33A26490" w14:textId="77777777" w:rsidTr="00933F86">
        <w:tc>
          <w:tcPr>
            <w:tcW w:w="1255" w:type="dxa"/>
          </w:tcPr>
          <w:p w14:paraId="3B01DF09" w14:textId="77777777" w:rsidR="00D255B4" w:rsidRPr="00A31368" w:rsidRDefault="00D255B4" w:rsidP="00933F86">
            <w:pPr>
              <w:rPr>
                <w:b/>
                <w:bCs/>
                <w:sz w:val="18"/>
                <w:szCs w:val="18"/>
              </w:rPr>
            </w:pPr>
            <w:r>
              <w:rPr>
                <w:b/>
                <w:bCs/>
                <w:sz w:val="18"/>
                <w:szCs w:val="18"/>
              </w:rPr>
              <w:t>A</w:t>
            </w:r>
            <w:r w:rsidRPr="00A31368">
              <w:rPr>
                <w:b/>
                <w:bCs/>
                <w:sz w:val="18"/>
                <w:szCs w:val="18"/>
              </w:rPr>
              <w:t>uthorization</w:t>
            </w:r>
            <w:r>
              <w:rPr>
                <w:b/>
                <w:bCs/>
                <w:sz w:val="18"/>
                <w:szCs w:val="18"/>
              </w:rPr>
              <w:t xml:space="preserve"> fees</w:t>
            </w:r>
            <w:r w:rsidRPr="00A31368">
              <w:rPr>
                <w:b/>
                <w:bCs/>
                <w:sz w:val="18"/>
                <w:szCs w:val="18"/>
              </w:rPr>
              <w:t xml:space="preserve"> </w:t>
            </w:r>
          </w:p>
        </w:tc>
        <w:tc>
          <w:tcPr>
            <w:tcW w:w="3870" w:type="dxa"/>
          </w:tcPr>
          <w:p w14:paraId="51D637AE" w14:textId="77777777" w:rsidR="00D255B4" w:rsidRPr="00A31368" w:rsidRDefault="00D255B4" w:rsidP="00933F86">
            <w:pPr>
              <w:rPr>
                <w:sz w:val="18"/>
                <w:szCs w:val="18"/>
              </w:rPr>
            </w:pPr>
            <w:r>
              <w:rPr>
                <w:sz w:val="18"/>
                <w:szCs w:val="18"/>
              </w:rPr>
              <w:t xml:space="preserve">Companies requesting authorization for use of chemicals with hazardous properties </w:t>
            </w:r>
          </w:p>
        </w:tc>
        <w:tc>
          <w:tcPr>
            <w:tcW w:w="4410" w:type="dxa"/>
          </w:tcPr>
          <w:p w14:paraId="2222FF21" w14:textId="77777777" w:rsidR="00D255B4" w:rsidRPr="00A31368" w:rsidRDefault="00D255B4" w:rsidP="00933F86">
            <w:pPr>
              <w:rPr>
                <w:sz w:val="18"/>
                <w:szCs w:val="18"/>
              </w:rPr>
            </w:pPr>
            <w:r>
              <w:rPr>
                <w:sz w:val="18"/>
                <w:szCs w:val="18"/>
              </w:rPr>
              <w:t xml:space="preserve">Processing of the application requesting for authorization </w:t>
            </w:r>
          </w:p>
        </w:tc>
      </w:tr>
      <w:tr w:rsidR="00D255B4" w:rsidRPr="00A31368" w14:paraId="3AF4D439" w14:textId="77777777" w:rsidTr="00933F86">
        <w:tc>
          <w:tcPr>
            <w:tcW w:w="1255" w:type="dxa"/>
          </w:tcPr>
          <w:p w14:paraId="77F8BE67" w14:textId="77777777" w:rsidR="00D255B4" w:rsidRPr="00A31368" w:rsidRDefault="00D255B4" w:rsidP="00933F86">
            <w:pPr>
              <w:rPr>
                <w:b/>
                <w:bCs/>
                <w:sz w:val="18"/>
                <w:szCs w:val="18"/>
              </w:rPr>
            </w:pPr>
            <w:r w:rsidRPr="00A31368">
              <w:rPr>
                <w:b/>
                <w:bCs/>
                <w:sz w:val="18"/>
                <w:szCs w:val="18"/>
              </w:rPr>
              <w:t xml:space="preserve">Inspection fees </w:t>
            </w:r>
          </w:p>
        </w:tc>
        <w:tc>
          <w:tcPr>
            <w:tcW w:w="3870" w:type="dxa"/>
          </w:tcPr>
          <w:p w14:paraId="1CAD6A4F" w14:textId="77777777" w:rsidR="00D255B4" w:rsidRPr="00A31368" w:rsidRDefault="00D255B4" w:rsidP="00933F86">
            <w:pPr>
              <w:jc w:val="both"/>
              <w:rPr>
                <w:sz w:val="18"/>
                <w:szCs w:val="18"/>
              </w:rPr>
            </w:pPr>
            <w:r>
              <w:rPr>
                <w:sz w:val="18"/>
                <w:szCs w:val="18"/>
              </w:rPr>
              <w:t xml:space="preserve">Companies that place chemicals on the domestic market </w:t>
            </w:r>
          </w:p>
        </w:tc>
        <w:tc>
          <w:tcPr>
            <w:tcW w:w="4410" w:type="dxa"/>
          </w:tcPr>
          <w:p w14:paraId="43D419F6" w14:textId="77777777" w:rsidR="00D255B4" w:rsidRPr="00A31368" w:rsidRDefault="00D255B4" w:rsidP="00933F86">
            <w:pPr>
              <w:rPr>
                <w:sz w:val="18"/>
                <w:szCs w:val="18"/>
              </w:rPr>
            </w:pPr>
            <w:r>
              <w:rPr>
                <w:sz w:val="18"/>
                <w:szCs w:val="18"/>
              </w:rPr>
              <w:t xml:space="preserve">Market surveillance of chemicals on the domestic market, including testing and verifying products  </w:t>
            </w:r>
          </w:p>
        </w:tc>
      </w:tr>
      <w:tr w:rsidR="00D255B4" w:rsidRPr="00A31368" w14:paraId="1EB25D74" w14:textId="77777777" w:rsidTr="00933F86">
        <w:tc>
          <w:tcPr>
            <w:tcW w:w="1255" w:type="dxa"/>
          </w:tcPr>
          <w:p w14:paraId="5D7E7116" w14:textId="77777777" w:rsidR="00D255B4" w:rsidRPr="00A31368" w:rsidRDefault="00D255B4" w:rsidP="00933F86">
            <w:pPr>
              <w:rPr>
                <w:b/>
                <w:bCs/>
                <w:sz w:val="18"/>
                <w:szCs w:val="18"/>
              </w:rPr>
            </w:pPr>
            <w:r>
              <w:rPr>
                <w:b/>
                <w:bCs/>
                <w:sz w:val="18"/>
                <w:szCs w:val="18"/>
              </w:rPr>
              <w:t>I</w:t>
            </w:r>
            <w:r w:rsidRPr="00A31368">
              <w:rPr>
                <w:b/>
                <w:bCs/>
                <w:sz w:val="18"/>
                <w:szCs w:val="18"/>
              </w:rPr>
              <w:t xml:space="preserve">mport </w:t>
            </w:r>
            <w:r>
              <w:rPr>
                <w:b/>
                <w:bCs/>
                <w:sz w:val="18"/>
                <w:szCs w:val="18"/>
              </w:rPr>
              <w:t>fees</w:t>
            </w:r>
            <w:r w:rsidRPr="00A31368">
              <w:rPr>
                <w:b/>
                <w:bCs/>
                <w:sz w:val="18"/>
                <w:szCs w:val="18"/>
              </w:rPr>
              <w:t xml:space="preserve"> </w:t>
            </w:r>
          </w:p>
        </w:tc>
        <w:tc>
          <w:tcPr>
            <w:tcW w:w="3870" w:type="dxa"/>
          </w:tcPr>
          <w:p w14:paraId="56C545C9" w14:textId="77777777" w:rsidR="00D255B4" w:rsidRPr="00A31368" w:rsidRDefault="00D255B4" w:rsidP="00933F86">
            <w:pPr>
              <w:jc w:val="both"/>
              <w:rPr>
                <w:sz w:val="18"/>
                <w:szCs w:val="18"/>
              </w:rPr>
            </w:pPr>
            <w:r>
              <w:rPr>
                <w:sz w:val="18"/>
                <w:szCs w:val="18"/>
              </w:rPr>
              <w:t xml:space="preserve">Importers requesting licenses to import and sell chemicals on the domestic market </w:t>
            </w:r>
          </w:p>
        </w:tc>
        <w:tc>
          <w:tcPr>
            <w:tcW w:w="4410" w:type="dxa"/>
          </w:tcPr>
          <w:p w14:paraId="69132654" w14:textId="77777777" w:rsidR="00D255B4" w:rsidRPr="00A31368" w:rsidRDefault="00D255B4" w:rsidP="00933F86">
            <w:pPr>
              <w:jc w:val="both"/>
              <w:rPr>
                <w:sz w:val="18"/>
                <w:szCs w:val="18"/>
              </w:rPr>
            </w:pPr>
            <w:r>
              <w:rPr>
                <w:sz w:val="18"/>
                <w:szCs w:val="18"/>
              </w:rPr>
              <w:t xml:space="preserve">The costs of processing the licensing  </w:t>
            </w:r>
          </w:p>
        </w:tc>
      </w:tr>
    </w:tbl>
    <w:p w14:paraId="3BB7E510" w14:textId="77777777" w:rsidR="00D255B4" w:rsidRDefault="00D255B4" w:rsidP="00D255B4">
      <w:pPr>
        <w:pStyle w:val="Heading2"/>
      </w:pPr>
      <w:bookmarkStart w:id="13" w:name="_Toc19213818"/>
      <w:r>
        <w:t>4.1 Annual fees</w:t>
      </w:r>
      <w:bookmarkEnd w:id="13"/>
      <w:r>
        <w:t xml:space="preserve"> </w:t>
      </w:r>
    </w:p>
    <w:p w14:paraId="18DB59F3" w14:textId="77777777" w:rsidR="00D255B4" w:rsidRDefault="00D255B4" w:rsidP="00D255B4">
      <w:pPr>
        <w:jc w:val="both"/>
      </w:pPr>
    </w:p>
    <w:p w14:paraId="32168F87" w14:textId="77777777" w:rsidR="00D255B4" w:rsidRDefault="00D255B4" w:rsidP="00D255B4">
      <w:pPr>
        <w:jc w:val="both"/>
      </w:pPr>
      <w:r w:rsidRPr="00321632">
        <w:t>In a system with annual fees, all companies placing chemicals on the market in a country</w:t>
      </w:r>
      <w:r>
        <w:t>—</w:t>
      </w:r>
      <w:r w:rsidRPr="00321632">
        <w:t>both chemical</w:t>
      </w:r>
      <w:r>
        <w:t xml:space="preserve"> producers and importers—</w:t>
      </w:r>
      <w:r w:rsidRPr="00321632">
        <w:t xml:space="preserve">pay an annual fee. </w:t>
      </w:r>
      <w:r>
        <w:t>To implement such schemes, the</w:t>
      </w:r>
      <w:r w:rsidRPr="00321632">
        <w:t xml:space="preserve"> country </w:t>
      </w:r>
      <w:r>
        <w:t>must first issue</w:t>
      </w:r>
      <w:r w:rsidRPr="00321632">
        <w:t xml:space="preserve"> legislation to define such fees. </w:t>
      </w:r>
      <w:r>
        <w:t>A</w:t>
      </w:r>
      <w:r w:rsidRPr="00321632">
        <w:t>nnual fee</w:t>
      </w:r>
      <w:r>
        <w:t>s</w:t>
      </w:r>
      <w:r w:rsidRPr="00321632">
        <w:t xml:space="preserve"> c</w:t>
      </w:r>
      <w:r>
        <w:t>an</w:t>
      </w:r>
      <w:r w:rsidRPr="00321632">
        <w:t xml:space="preserve"> consist of flat-rate fee</w:t>
      </w:r>
      <w:r>
        <w:t>s</w:t>
      </w:r>
      <w:r w:rsidRPr="00321632">
        <w:t xml:space="preserve"> or </w:t>
      </w:r>
      <w:r>
        <w:t>fees that</w:t>
      </w:r>
      <w:r w:rsidRPr="00321632">
        <w:t xml:space="preserve"> </w:t>
      </w:r>
      <w:r>
        <w:t>are</w:t>
      </w:r>
      <w:r w:rsidRPr="00321632">
        <w:t xml:space="preserve"> differentiated based on </w:t>
      </w:r>
      <w:r>
        <w:t xml:space="preserve">the </w:t>
      </w:r>
      <w:r w:rsidRPr="00321632">
        <w:t xml:space="preserve">number of products, quantities, toxicity class </w:t>
      </w:r>
      <w:r>
        <w:t xml:space="preserve">or a </w:t>
      </w:r>
      <w:r w:rsidRPr="00321632">
        <w:t xml:space="preserve">combination of these. </w:t>
      </w:r>
      <w:r>
        <w:t>A</w:t>
      </w:r>
      <w:r w:rsidRPr="00321632">
        <w:t>nnual fee</w:t>
      </w:r>
      <w:r>
        <w:t>s</w:t>
      </w:r>
      <w:r w:rsidRPr="00321632">
        <w:t xml:space="preserve"> can be used to </w:t>
      </w:r>
      <w:r>
        <w:t>support</w:t>
      </w:r>
      <w:r w:rsidRPr="00321632">
        <w:t xml:space="preserve"> </w:t>
      </w:r>
      <w:r>
        <w:t>related</w:t>
      </w:r>
      <w:r w:rsidRPr="00321632">
        <w:t xml:space="preserve"> government </w:t>
      </w:r>
      <w:r>
        <w:t>responsibilities</w:t>
      </w:r>
      <w:r w:rsidRPr="00321632">
        <w:t xml:space="preserve">, such as </w:t>
      </w:r>
      <w:r>
        <w:t>m</w:t>
      </w:r>
      <w:r w:rsidRPr="00321632">
        <w:t>aintaining regist</w:t>
      </w:r>
      <w:r>
        <w:t>ries</w:t>
      </w:r>
      <w:r w:rsidRPr="00321632">
        <w:t xml:space="preserve"> </w:t>
      </w:r>
      <w:r>
        <w:t xml:space="preserve">and performing inspections </w:t>
      </w:r>
      <w:r w:rsidRPr="00321632">
        <w:t>of producers and importers of chemicals</w:t>
      </w:r>
      <w:r>
        <w:t xml:space="preserve"> (KEMI, 2018).</w:t>
      </w:r>
    </w:p>
    <w:p w14:paraId="268CF620" w14:textId="77777777" w:rsidR="00D255B4" w:rsidRDefault="00D255B4" w:rsidP="00D255B4">
      <w:pPr>
        <w:jc w:val="both"/>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51FC49D4" w14:textId="77777777" w:rsidTr="00933F86">
        <w:trPr>
          <w:trHeight w:val="2123"/>
        </w:trPr>
        <w:tc>
          <w:tcPr>
            <w:tcW w:w="9350" w:type="dxa"/>
          </w:tcPr>
          <w:p w14:paraId="08CAF96D" w14:textId="77777777" w:rsidR="00D255B4" w:rsidRPr="00E03755" w:rsidRDefault="00D255B4" w:rsidP="00933F86">
            <w:pPr>
              <w:jc w:val="both"/>
              <w:rPr>
                <w:rFonts w:cstheme="minorHAnsi"/>
                <w:b/>
                <w:bCs/>
                <w:sz w:val="20"/>
                <w:szCs w:val="20"/>
              </w:rPr>
            </w:pPr>
            <w:r w:rsidRPr="00E03755">
              <w:rPr>
                <w:rFonts w:cstheme="minorHAnsi"/>
                <w:b/>
                <w:bCs/>
                <w:sz w:val="20"/>
                <w:szCs w:val="20"/>
              </w:rPr>
              <w:t xml:space="preserve">EXAMPLE 3: The annual chemicals fee of the Swedish Chemicals Agency </w:t>
            </w:r>
          </w:p>
          <w:p w14:paraId="6DCF8F3B" w14:textId="77777777" w:rsidR="00D255B4" w:rsidRDefault="00D255B4" w:rsidP="00933F86">
            <w:pPr>
              <w:jc w:val="both"/>
              <w:rPr>
                <w:sz w:val="20"/>
                <w:szCs w:val="20"/>
              </w:rPr>
            </w:pPr>
          </w:p>
          <w:p w14:paraId="4EB6B2F5" w14:textId="77777777" w:rsidR="00D255B4" w:rsidRDefault="00D255B4" w:rsidP="00933F86">
            <w:pPr>
              <w:jc w:val="both"/>
            </w:pPr>
            <w:r>
              <w:rPr>
                <w:sz w:val="20"/>
                <w:szCs w:val="20"/>
              </w:rPr>
              <w:t>The Swedish Chemicals Agency (</w:t>
            </w:r>
            <w:proofErr w:type="spellStart"/>
            <w:r>
              <w:rPr>
                <w:sz w:val="20"/>
                <w:szCs w:val="20"/>
              </w:rPr>
              <w:t>KemI</w:t>
            </w:r>
            <w:proofErr w:type="spellEnd"/>
            <w:r>
              <w:rPr>
                <w:sz w:val="20"/>
                <w:szCs w:val="20"/>
              </w:rPr>
              <w:t>) was established in 1986. The annual chemicals fee is linked to the amount of chemicals produced or imported and on the number of chemicals products reported to the Swedish Products Register. For the authorization of pesticides there is both an application fee and an annual fee related to the value of the volume sold. These fees generate revenues that are allocated through the state budget to the agency. In 2017, the chemicals cost recovery fees financed 50 % of the costs for running the agency (</w:t>
            </w:r>
            <w:proofErr w:type="spellStart"/>
            <w:r>
              <w:rPr>
                <w:sz w:val="20"/>
                <w:szCs w:val="20"/>
              </w:rPr>
              <w:t>KemI</w:t>
            </w:r>
            <w:proofErr w:type="spellEnd"/>
            <w:r>
              <w:rPr>
                <w:sz w:val="20"/>
                <w:szCs w:val="20"/>
              </w:rPr>
              <w:t xml:space="preserve">, 2018). Initially, 80 % of operations were covered by cost recovery fees, but over the years additional functions have been introduced (such as international cooperation) that have increased the share taken from the state budget. </w:t>
            </w:r>
          </w:p>
        </w:tc>
      </w:tr>
    </w:tbl>
    <w:p w14:paraId="56A92846" w14:textId="77777777" w:rsidR="00D255B4" w:rsidRDefault="00D255B4" w:rsidP="00D255B4">
      <w:pPr>
        <w:jc w:val="both"/>
      </w:pPr>
    </w:p>
    <w:p w14:paraId="327AF29A" w14:textId="77777777" w:rsidR="00D255B4" w:rsidRDefault="00D255B4" w:rsidP="00D255B4">
      <w:pPr>
        <w:jc w:val="both"/>
      </w:pPr>
    </w:p>
    <w:p w14:paraId="31B9CA60" w14:textId="77777777" w:rsidR="00D255B4" w:rsidRDefault="00D255B4" w:rsidP="00D255B4">
      <w:pPr>
        <w:pStyle w:val="Heading2"/>
      </w:pPr>
      <w:bookmarkStart w:id="14" w:name="_Toc19213819"/>
      <w:r>
        <w:t>4.2 Fees per service</w:t>
      </w:r>
      <w:bookmarkEnd w:id="14"/>
      <w:r>
        <w:t xml:space="preserve"> </w:t>
      </w:r>
    </w:p>
    <w:p w14:paraId="3F9582D7" w14:textId="77777777" w:rsidR="00D255B4" w:rsidRDefault="00D255B4" w:rsidP="00D255B4"/>
    <w:p w14:paraId="65C95442" w14:textId="77777777" w:rsidR="00D255B4" w:rsidRPr="009E6AED" w:rsidRDefault="00D255B4" w:rsidP="00D255B4">
      <w:pPr>
        <w:jc w:val="both"/>
      </w:pPr>
      <w:r w:rsidRPr="009E6AED">
        <w:t xml:space="preserve">As an alternative to annual fees, </w:t>
      </w:r>
      <w:r>
        <w:t xml:space="preserve">cost recovery can also be implemented by charging companies for each service provided. </w:t>
      </w:r>
      <w:r w:rsidRPr="009E6AED">
        <w:t>This would require that the co</w:t>
      </w:r>
      <w:r>
        <w:t>st</w:t>
      </w:r>
      <w:r w:rsidRPr="009E6AED">
        <w:t xml:space="preserve"> of a specific service be easy to define. Like annual fees, fees for services can include a degree of differentiation either by company size or by the complexity of the service provided (UNEP, 2019c).</w:t>
      </w:r>
      <w:r>
        <w:t xml:space="preserve"> </w:t>
      </w:r>
    </w:p>
    <w:p w14:paraId="77B2663A" w14:textId="77777777" w:rsidR="00D255B4" w:rsidRDefault="00D255B4" w:rsidP="00D255B4">
      <w:pPr>
        <w:jc w:val="both"/>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614FFECF" w14:textId="77777777" w:rsidTr="00933F86">
        <w:trPr>
          <w:trHeight w:val="1592"/>
        </w:trPr>
        <w:tc>
          <w:tcPr>
            <w:tcW w:w="9350" w:type="dxa"/>
          </w:tcPr>
          <w:p w14:paraId="1208C1C0" w14:textId="77777777" w:rsidR="00D255B4" w:rsidRPr="00E03755" w:rsidRDefault="00D255B4" w:rsidP="00933F86">
            <w:pPr>
              <w:jc w:val="both"/>
              <w:rPr>
                <w:rFonts w:cstheme="minorHAnsi"/>
                <w:b/>
                <w:bCs/>
                <w:sz w:val="20"/>
                <w:szCs w:val="20"/>
              </w:rPr>
            </w:pPr>
            <w:r w:rsidRPr="00E03755">
              <w:rPr>
                <w:rFonts w:cstheme="minorHAnsi"/>
                <w:b/>
                <w:bCs/>
                <w:sz w:val="20"/>
                <w:szCs w:val="20"/>
              </w:rPr>
              <w:lastRenderedPageBreak/>
              <w:t xml:space="preserve">EXAMPLE </w:t>
            </w:r>
            <w:r>
              <w:rPr>
                <w:rFonts w:cstheme="minorHAnsi"/>
                <w:b/>
                <w:bCs/>
                <w:sz w:val="20"/>
                <w:szCs w:val="20"/>
              </w:rPr>
              <w:t>4</w:t>
            </w:r>
            <w:r w:rsidRPr="00E03755">
              <w:rPr>
                <w:rFonts w:cstheme="minorHAnsi"/>
                <w:b/>
                <w:bCs/>
                <w:sz w:val="20"/>
                <w:szCs w:val="20"/>
              </w:rPr>
              <w:t xml:space="preserve">: Registration fee in Costa Rica for “products of sanitary interest” </w:t>
            </w:r>
          </w:p>
          <w:p w14:paraId="74FD8DD5" w14:textId="77777777" w:rsidR="00D255B4" w:rsidRPr="00472F73" w:rsidRDefault="00D255B4" w:rsidP="00933F86">
            <w:pPr>
              <w:jc w:val="both"/>
              <w:rPr>
                <w:rFonts w:cstheme="minorHAnsi"/>
                <w:sz w:val="20"/>
                <w:szCs w:val="20"/>
              </w:rPr>
            </w:pPr>
          </w:p>
          <w:p w14:paraId="3E370F3A" w14:textId="77777777" w:rsidR="00D255B4" w:rsidRPr="00107EB7" w:rsidRDefault="00D255B4" w:rsidP="00933F86">
            <w:pPr>
              <w:jc w:val="both"/>
              <w:rPr>
                <w:rFonts w:cstheme="minorHAnsi"/>
                <w:b/>
                <w:bCs/>
                <w:sz w:val="20"/>
                <w:szCs w:val="20"/>
              </w:rPr>
            </w:pPr>
            <w:r w:rsidRPr="00472F73">
              <w:rPr>
                <w:rFonts w:cstheme="minorHAnsi"/>
                <w:sz w:val="20"/>
                <w:szCs w:val="20"/>
              </w:rPr>
              <w:t>The registration fee</w:t>
            </w:r>
            <w:r>
              <w:rPr>
                <w:rFonts w:cstheme="minorHAnsi"/>
                <w:sz w:val="20"/>
                <w:szCs w:val="20"/>
              </w:rPr>
              <w:t xml:space="preserve"> applied in Costa Rica</w:t>
            </w:r>
            <w:r w:rsidRPr="00472F73">
              <w:rPr>
                <w:rFonts w:cstheme="minorHAnsi"/>
                <w:sz w:val="20"/>
                <w:szCs w:val="20"/>
              </w:rPr>
              <w:t xml:space="preserve"> </w:t>
            </w:r>
            <w:r>
              <w:rPr>
                <w:rFonts w:cstheme="minorHAnsi"/>
                <w:sz w:val="20"/>
                <w:szCs w:val="20"/>
              </w:rPr>
              <w:t xml:space="preserve">for </w:t>
            </w:r>
            <w:r w:rsidRPr="003F4E23">
              <w:rPr>
                <w:rFonts w:cstheme="minorHAnsi"/>
                <w:sz w:val="20"/>
                <w:szCs w:val="20"/>
              </w:rPr>
              <w:t>“products of sanitary interest”</w:t>
            </w:r>
            <w:r w:rsidRPr="00472F73">
              <w:rPr>
                <w:rFonts w:cstheme="minorHAnsi"/>
                <w:sz w:val="20"/>
                <w:szCs w:val="20"/>
              </w:rPr>
              <w:t xml:space="preserve"> is an example of a cost recovery fee</w:t>
            </w:r>
            <w:r>
              <w:rPr>
                <w:rFonts w:cstheme="minorHAnsi"/>
                <w:sz w:val="20"/>
                <w:szCs w:val="20"/>
              </w:rPr>
              <w:t xml:space="preserve"> per service, </w:t>
            </w:r>
            <w:r w:rsidRPr="00472F73">
              <w:rPr>
                <w:rFonts w:cstheme="minorHAnsi"/>
                <w:sz w:val="20"/>
                <w:szCs w:val="20"/>
              </w:rPr>
              <w:t xml:space="preserve">which </w:t>
            </w:r>
            <w:r>
              <w:rPr>
                <w:rFonts w:cstheme="minorHAnsi"/>
                <w:sz w:val="20"/>
                <w:szCs w:val="20"/>
              </w:rPr>
              <w:t>has been</w:t>
            </w:r>
            <w:r w:rsidRPr="00472F73">
              <w:rPr>
                <w:rFonts w:cstheme="minorHAnsi"/>
                <w:sz w:val="20"/>
                <w:szCs w:val="20"/>
              </w:rPr>
              <w:t xml:space="preserve"> calculated to recover</w:t>
            </w:r>
            <w:r>
              <w:rPr>
                <w:rFonts w:cstheme="minorHAnsi"/>
                <w:sz w:val="20"/>
                <w:szCs w:val="20"/>
              </w:rPr>
              <w:t xml:space="preserve"> associated</w:t>
            </w:r>
            <w:r w:rsidRPr="00472F73">
              <w:rPr>
                <w:rFonts w:cstheme="minorHAnsi"/>
                <w:sz w:val="20"/>
                <w:szCs w:val="20"/>
              </w:rPr>
              <w:t xml:space="preserve"> institutional costs</w:t>
            </w:r>
            <w:r>
              <w:rPr>
                <w:rFonts w:cstheme="minorHAnsi"/>
                <w:sz w:val="20"/>
                <w:szCs w:val="20"/>
              </w:rPr>
              <w:t xml:space="preserve"> </w:t>
            </w:r>
            <w:r w:rsidRPr="00A877D3">
              <w:rPr>
                <w:rFonts w:cstheme="minorHAnsi"/>
                <w:sz w:val="20"/>
                <w:szCs w:val="20"/>
              </w:rPr>
              <w:t xml:space="preserve">(UNEP, 2019c). </w:t>
            </w:r>
            <w:r>
              <w:rPr>
                <w:rFonts w:cstheme="minorHAnsi"/>
                <w:sz w:val="20"/>
                <w:szCs w:val="20"/>
              </w:rPr>
              <w:t>This includes the c</w:t>
            </w:r>
            <w:r w:rsidRPr="00472F73">
              <w:rPr>
                <w:rFonts w:cstheme="minorHAnsi"/>
                <w:sz w:val="20"/>
                <w:szCs w:val="20"/>
              </w:rPr>
              <w:t xml:space="preserve">ost of designing and maintaining the registration </w:t>
            </w:r>
            <w:r>
              <w:rPr>
                <w:rFonts w:cstheme="minorHAnsi"/>
                <w:sz w:val="20"/>
                <w:szCs w:val="20"/>
              </w:rPr>
              <w:t xml:space="preserve">system’s </w:t>
            </w:r>
            <w:r w:rsidRPr="00472F73">
              <w:rPr>
                <w:rFonts w:cstheme="minorHAnsi"/>
                <w:sz w:val="20"/>
                <w:szCs w:val="20"/>
              </w:rPr>
              <w:t>online platform</w:t>
            </w:r>
            <w:r>
              <w:rPr>
                <w:rFonts w:cstheme="minorHAnsi"/>
                <w:sz w:val="20"/>
                <w:szCs w:val="20"/>
              </w:rPr>
              <w:t xml:space="preserve">, the cost </w:t>
            </w:r>
            <w:r w:rsidRPr="00472F73">
              <w:rPr>
                <w:rFonts w:cstheme="minorHAnsi"/>
                <w:sz w:val="20"/>
                <w:szCs w:val="20"/>
              </w:rPr>
              <w:t>of keeping company files/registries</w:t>
            </w:r>
            <w:r>
              <w:rPr>
                <w:rFonts w:cstheme="minorHAnsi"/>
                <w:sz w:val="20"/>
                <w:szCs w:val="20"/>
              </w:rPr>
              <w:t xml:space="preserve"> on the platform’s server,</w:t>
            </w:r>
            <w:r w:rsidRPr="00472F73">
              <w:rPr>
                <w:rFonts w:cstheme="minorHAnsi"/>
                <w:sz w:val="20"/>
                <w:szCs w:val="20"/>
              </w:rPr>
              <w:t xml:space="preserve"> the</w:t>
            </w:r>
            <w:r>
              <w:rPr>
                <w:rFonts w:cstheme="minorHAnsi"/>
                <w:sz w:val="20"/>
                <w:szCs w:val="20"/>
              </w:rPr>
              <w:t xml:space="preserve"> i</w:t>
            </w:r>
            <w:r w:rsidRPr="00472F73">
              <w:rPr>
                <w:rFonts w:cstheme="minorHAnsi"/>
                <w:sz w:val="20"/>
                <w:szCs w:val="20"/>
              </w:rPr>
              <w:t>nstitutional interne</w:t>
            </w:r>
            <w:r>
              <w:rPr>
                <w:rFonts w:cstheme="minorHAnsi"/>
                <w:sz w:val="20"/>
                <w:szCs w:val="20"/>
              </w:rPr>
              <w:t>t</w:t>
            </w:r>
            <w:r w:rsidRPr="00472F73">
              <w:rPr>
                <w:rFonts w:cstheme="minorHAnsi"/>
                <w:sz w:val="20"/>
                <w:szCs w:val="20"/>
              </w:rPr>
              <w:t xml:space="preserve"> costs for working on the registration platform </w:t>
            </w:r>
            <w:r>
              <w:rPr>
                <w:rFonts w:cstheme="minorHAnsi"/>
                <w:sz w:val="20"/>
                <w:szCs w:val="20"/>
              </w:rPr>
              <w:t>and b</w:t>
            </w:r>
            <w:r w:rsidRPr="00472F73">
              <w:rPr>
                <w:rFonts w:cstheme="minorHAnsi"/>
                <w:sz w:val="20"/>
                <w:szCs w:val="20"/>
              </w:rPr>
              <w:t>ank charges for receiving and administering payments by companies</w:t>
            </w:r>
            <w:r>
              <w:rPr>
                <w:rFonts w:cstheme="minorHAnsi"/>
                <w:sz w:val="20"/>
                <w:szCs w:val="20"/>
              </w:rPr>
              <w:t xml:space="preserve"> that wish to register </w:t>
            </w:r>
            <w:r w:rsidRPr="00A877D3">
              <w:rPr>
                <w:rFonts w:cstheme="minorHAnsi"/>
                <w:sz w:val="20"/>
                <w:szCs w:val="20"/>
              </w:rPr>
              <w:t xml:space="preserve">(UNEP, 2019c). </w:t>
            </w:r>
          </w:p>
        </w:tc>
      </w:tr>
    </w:tbl>
    <w:p w14:paraId="54EF23C3" w14:textId="77777777" w:rsidR="00D255B4" w:rsidRDefault="00D255B4" w:rsidP="00D255B4">
      <w:pPr>
        <w:jc w:val="both"/>
      </w:pPr>
    </w:p>
    <w:p w14:paraId="753BE480" w14:textId="77777777" w:rsidR="00D255B4" w:rsidRDefault="00D255B4" w:rsidP="00D255B4">
      <w:pPr>
        <w:pStyle w:val="Heading2"/>
      </w:pPr>
    </w:p>
    <w:p w14:paraId="15B9FB96" w14:textId="77777777" w:rsidR="00D255B4" w:rsidRDefault="00D255B4" w:rsidP="00D255B4">
      <w:pPr>
        <w:pStyle w:val="Heading2"/>
      </w:pPr>
      <w:bookmarkStart w:id="15" w:name="_Toc19213820"/>
      <w:r>
        <w:t>4.3 Authorization fees</w:t>
      </w:r>
      <w:bookmarkEnd w:id="15"/>
      <w:r>
        <w:t xml:space="preserve"> </w:t>
      </w:r>
    </w:p>
    <w:p w14:paraId="1AF5715A" w14:textId="77777777" w:rsidR="00D255B4" w:rsidRDefault="00D255B4" w:rsidP="00D255B4">
      <w:pPr>
        <w:jc w:val="both"/>
      </w:pPr>
    </w:p>
    <w:p w14:paraId="550A4497" w14:textId="77777777" w:rsidR="00D255B4" w:rsidRDefault="00D255B4" w:rsidP="00D255B4">
      <w:pPr>
        <w:jc w:val="both"/>
      </w:pPr>
      <w:r>
        <w:t xml:space="preserve">Authorization fees are typically applied to chemicals of high concern. Most countries have authorization systems for such pesticides, and many of these have introduced some level of fees to cover the cost of authorization (UNEP, 2019c). Authorization systems of industrial and consumer chemicals of high concern are less common (UNEP, 2019c).  </w:t>
      </w:r>
    </w:p>
    <w:p w14:paraId="05F625DB" w14:textId="77777777" w:rsidR="00D255B4" w:rsidRDefault="00D255B4" w:rsidP="00D255B4">
      <w:pPr>
        <w:jc w:val="both"/>
      </w:pPr>
    </w:p>
    <w:p w14:paraId="4F170399" w14:textId="77777777" w:rsidR="00D255B4" w:rsidRPr="00341DBA" w:rsidRDefault="00D255B4" w:rsidP="00D255B4">
      <w:pPr>
        <w:pStyle w:val="ListParagraph"/>
        <w:jc w:val="both"/>
        <w:rPr>
          <w:rFonts w:cstheme="minorHAnsi"/>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3C6910D6" w14:textId="77777777" w:rsidTr="00933F86">
        <w:trPr>
          <w:trHeight w:val="2186"/>
        </w:trPr>
        <w:tc>
          <w:tcPr>
            <w:tcW w:w="9350" w:type="dxa"/>
          </w:tcPr>
          <w:p w14:paraId="40F1D189" w14:textId="77777777" w:rsidR="00D255B4" w:rsidRPr="00E03755" w:rsidRDefault="00D255B4" w:rsidP="00933F86">
            <w:pPr>
              <w:jc w:val="both"/>
              <w:rPr>
                <w:rFonts w:cstheme="minorHAnsi"/>
                <w:b/>
                <w:bCs/>
                <w:sz w:val="20"/>
                <w:szCs w:val="20"/>
              </w:rPr>
            </w:pPr>
            <w:r w:rsidRPr="00E03755">
              <w:rPr>
                <w:rFonts w:cstheme="minorHAnsi"/>
                <w:b/>
                <w:bCs/>
                <w:sz w:val="20"/>
                <w:szCs w:val="20"/>
              </w:rPr>
              <w:t xml:space="preserve">EXAMPLE 5: The authorization fee of the European Chemicals Agency </w:t>
            </w:r>
          </w:p>
          <w:p w14:paraId="18003D27" w14:textId="77777777" w:rsidR="00D255B4" w:rsidRDefault="00D255B4" w:rsidP="00933F86">
            <w:pPr>
              <w:jc w:val="both"/>
              <w:rPr>
                <w:rFonts w:cstheme="minorHAnsi"/>
                <w:b/>
                <w:bCs/>
                <w:sz w:val="20"/>
                <w:szCs w:val="20"/>
              </w:rPr>
            </w:pPr>
            <w:r>
              <w:rPr>
                <w:rFonts w:cstheme="minorHAnsi"/>
                <w:b/>
                <w:bCs/>
                <w:sz w:val="20"/>
                <w:szCs w:val="20"/>
              </w:rPr>
              <w:t xml:space="preserve"> </w:t>
            </w:r>
          </w:p>
          <w:p w14:paraId="5C36C67A" w14:textId="77777777" w:rsidR="00D255B4" w:rsidRPr="00F17C3D" w:rsidRDefault="00D255B4" w:rsidP="00933F86">
            <w:pPr>
              <w:jc w:val="both"/>
              <w:rPr>
                <w:rFonts w:cstheme="minorHAnsi"/>
                <w:sz w:val="20"/>
                <w:szCs w:val="20"/>
              </w:rPr>
            </w:pPr>
            <w:r>
              <w:rPr>
                <w:rFonts w:cstheme="minorHAnsi"/>
                <w:sz w:val="20"/>
                <w:szCs w:val="20"/>
              </w:rPr>
              <w:t>T</w:t>
            </w:r>
            <w:r w:rsidRPr="009668C7">
              <w:rPr>
                <w:rFonts w:cstheme="minorHAnsi"/>
                <w:sz w:val="20"/>
                <w:szCs w:val="20"/>
              </w:rPr>
              <w:t>he European Chemicals Agency</w:t>
            </w:r>
            <w:r>
              <w:rPr>
                <w:rFonts w:cstheme="minorHAnsi"/>
                <w:sz w:val="20"/>
                <w:szCs w:val="20"/>
              </w:rPr>
              <w:t xml:space="preserve"> </w:t>
            </w:r>
            <w:r w:rsidRPr="00821047">
              <w:rPr>
                <w:rFonts w:cstheme="minorHAnsi"/>
                <w:sz w:val="20"/>
                <w:szCs w:val="20"/>
              </w:rPr>
              <w:t>(ECHA)</w:t>
            </w:r>
            <w:r>
              <w:rPr>
                <w:rFonts w:cstheme="minorHAnsi"/>
                <w:sz w:val="20"/>
                <w:szCs w:val="20"/>
              </w:rPr>
              <w:t xml:space="preserve"> was founded in 2007 as the </w:t>
            </w:r>
            <w:r w:rsidRPr="009668C7">
              <w:rPr>
                <w:rFonts w:cstheme="minorHAnsi"/>
                <w:sz w:val="20"/>
                <w:szCs w:val="20"/>
              </w:rPr>
              <w:t xml:space="preserve">central entity </w:t>
            </w:r>
            <w:r>
              <w:rPr>
                <w:rFonts w:cstheme="minorHAnsi"/>
                <w:sz w:val="20"/>
                <w:szCs w:val="20"/>
              </w:rPr>
              <w:t xml:space="preserve">responsible </w:t>
            </w:r>
            <w:r w:rsidRPr="009668C7">
              <w:rPr>
                <w:rFonts w:cstheme="minorHAnsi"/>
                <w:sz w:val="20"/>
                <w:szCs w:val="20"/>
              </w:rPr>
              <w:t xml:space="preserve">for the administration of </w:t>
            </w:r>
            <w:r>
              <w:rPr>
                <w:rFonts w:cstheme="minorHAnsi"/>
                <w:sz w:val="20"/>
                <w:szCs w:val="20"/>
              </w:rPr>
              <w:t xml:space="preserve">EU’s </w:t>
            </w:r>
            <w:r w:rsidRPr="009668C7">
              <w:rPr>
                <w:rFonts w:cstheme="minorHAnsi"/>
                <w:sz w:val="20"/>
                <w:szCs w:val="20"/>
              </w:rPr>
              <w:t>REACH Regulation</w:t>
            </w:r>
            <w:r>
              <w:rPr>
                <w:rFonts w:cstheme="minorHAnsi"/>
                <w:sz w:val="20"/>
                <w:szCs w:val="20"/>
              </w:rPr>
              <w:t xml:space="preserve">. The ECHA, which employs approximately 600 staff members, relies on a variety of fees that have helped to cover 70 % of the operational costs of the agency (EC, 2018b). REACH specifies that substances of very high concern can only be used after being granted authorization. Companies can apply for authorization of these substances. The fees for an application for authorization is EUR 54 000 for large enterprises and one tenth of this cost for micro enterprises (Official Journal of the EU, 2018). Other fees are also progressive to ensure that small enterprises are not overburdened and the capacity to innovate and stimulate job creation remains. </w:t>
            </w:r>
          </w:p>
        </w:tc>
      </w:tr>
    </w:tbl>
    <w:p w14:paraId="25B7A568" w14:textId="77777777" w:rsidR="00D255B4" w:rsidRDefault="00D255B4" w:rsidP="00D255B4">
      <w:pPr>
        <w:jc w:val="both"/>
        <w:rPr>
          <w:rFonts w:cstheme="minorHAnsi"/>
          <w:b/>
          <w:bCs/>
        </w:rPr>
      </w:pPr>
    </w:p>
    <w:p w14:paraId="11513B16" w14:textId="77777777" w:rsidR="00D255B4" w:rsidRPr="00B61195" w:rsidRDefault="00D255B4" w:rsidP="00D255B4">
      <w:pPr>
        <w:jc w:val="both"/>
        <w:rPr>
          <w:rFonts w:cstheme="minorHAnsi"/>
          <w:color w:val="FF0000"/>
        </w:rPr>
      </w:pPr>
    </w:p>
    <w:p w14:paraId="74546639" w14:textId="77777777" w:rsidR="00D255B4" w:rsidRDefault="00D255B4" w:rsidP="00D255B4">
      <w:pPr>
        <w:pStyle w:val="Heading2"/>
      </w:pPr>
      <w:bookmarkStart w:id="16" w:name="_Toc19213821"/>
      <w:r>
        <w:t>4.4 Inspection fees</w:t>
      </w:r>
      <w:bookmarkEnd w:id="16"/>
      <w:r>
        <w:t xml:space="preserve"> </w:t>
      </w:r>
    </w:p>
    <w:p w14:paraId="64E2917D" w14:textId="77777777" w:rsidR="00D255B4" w:rsidRDefault="00D255B4" w:rsidP="00D255B4">
      <w:pPr>
        <w:jc w:val="both"/>
      </w:pPr>
    </w:p>
    <w:p w14:paraId="62F4611E" w14:textId="77777777" w:rsidR="00D255B4" w:rsidRDefault="00D255B4" w:rsidP="00D255B4">
      <w:pPr>
        <w:jc w:val="both"/>
      </w:pPr>
      <w:r>
        <w:t xml:space="preserve">Countries may use different systems to inspect and collect fees from companies which place chemicals on the domestic market. Two main model include market surveillance (covered in this subsection) and border control (addressed in the following subsection). Inspection involves checking the quality of the information provided by producers or importers, including laboratory analyses. It is important that the fees cover access to qualified laboratories for conducting inspections of chemicals placed on the </w:t>
      </w:r>
      <w:proofErr w:type="gramStart"/>
      <w:r>
        <w:t>markets ,</w:t>
      </w:r>
      <w:proofErr w:type="gramEnd"/>
      <w:r>
        <w:t xml:space="preserve"> including the use of certified laboratories from the private sector (</w:t>
      </w:r>
      <w:proofErr w:type="spellStart"/>
      <w:r>
        <w:t>KemI</w:t>
      </w:r>
      <w:proofErr w:type="spellEnd"/>
      <w:r>
        <w:t xml:space="preserve">, 2018).  </w:t>
      </w:r>
    </w:p>
    <w:p w14:paraId="543EADA4" w14:textId="43073F22" w:rsidR="00D935A3" w:rsidRDefault="00D935A3">
      <w:r>
        <w:br w:type="page"/>
      </w:r>
    </w:p>
    <w:p w14:paraId="080DD5B8" w14:textId="77777777" w:rsidR="00D255B4" w:rsidRDefault="00D255B4" w:rsidP="00D255B4">
      <w:pPr>
        <w:jc w:val="both"/>
      </w:pPr>
    </w:p>
    <w:p w14:paraId="03983C15" w14:textId="77777777" w:rsidR="00D255B4" w:rsidRDefault="00D255B4" w:rsidP="00D255B4">
      <w:pPr>
        <w:jc w:val="both"/>
      </w:pPr>
    </w:p>
    <w:p w14:paraId="02459A65" w14:textId="77777777" w:rsidR="00D255B4" w:rsidRDefault="00D255B4" w:rsidP="00D255B4">
      <w:pPr>
        <w:pStyle w:val="Heading2"/>
      </w:pPr>
      <w:bookmarkStart w:id="17" w:name="_Toc19213822"/>
      <w:r>
        <w:t>4.5 Fees for import licenses</w:t>
      </w:r>
      <w:bookmarkEnd w:id="17"/>
      <w:r>
        <w:t xml:space="preserve"> </w:t>
      </w:r>
    </w:p>
    <w:p w14:paraId="4340C0F9" w14:textId="77777777" w:rsidR="00D255B4" w:rsidRDefault="00D255B4" w:rsidP="00D255B4">
      <w:pPr>
        <w:jc w:val="both"/>
      </w:pPr>
    </w:p>
    <w:p w14:paraId="2637F7B6" w14:textId="77777777" w:rsidR="00D255B4" w:rsidRDefault="00D255B4" w:rsidP="00D255B4">
      <w:pPr>
        <w:jc w:val="both"/>
      </w:pPr>
      <w:r>
        <w:t>Many countries have systems with import licenses that provide the right to import and place chemicals on the domestic market. Countries often charge a fee for such licensing. In such cases, the fees for each delivery are paid at the border. Importers are either charged per ton or charged an administrative fee each time they import (UNEP, 2019c). Fees for import licenses normally cover the cost for processing the licenses but not for chemicals management activities in the countries (</w:t>
      </w:r>
      <w:proofErr w:type="spellStart"/>
      <w:r>
        <w:t>KemI</w:t>
      </w:r>
      <w:proofErr w:type="spellEnd"/>
      <w:r>
        <w:t xml:space="preserve">, 2018). </w:t>
      </w:r>
    </w:p>
    <w:p w14:paraId="4C26D722" w14:textId="77777777" w:rsidR="00D255B4" w:rsidRDefault="00D255B4" w:rsidP="00D255B4">
      <w:pPr>
        <w:jc w:val="both"/>
      </w:pPr>
    </w:p>
    <w:p w14:paraId="09182146" w14:textId="77777777" w:rsidR="00D255B4" w:rsidRDefault="00D255B4" w:rsidP="00D255B4">
      <w:pPr>
        <w:jc w:val="both"/>
      </w:pPr>
    </w:p>
    <w:p w14:paraId="7DC13FCF" w14:textId="77777777" w:rsidR="00D255B4" w:rsidRDefault="00D255B4" w:rsidP="00D255B4">
      <w:pPr>
        <w:jc w:val="both"/>
      </w:pPr>
    </w:p>
    <w:p w14:paraId="79B9F00B" w14:textId="77777777" w:rsidR="00D255B4" w:rsidRDefault="00D255B4" w:rsidP="00D255B4">
      <w:pPr>
        <w:jc w:val="both"/>
      </w:pPr>
    </w:p>
    <w:p w14:paraId="6D3ABBF9" w14:textId="77777777" w:rsidR="00D255B4" w:rsidRDefault="00D255B4" w:rsidP="00D255B4">
      <w:pPr>
        <w:jc w:val="both"/>
      </w:pPr>
    </w:p>
    <w:p w14:paraId="014A218B" w14:textId="77777777" w:rsidR="00D255B4" w:rsidRDefault="00D255B4" w:rsidP="00D255B4">
      <w:pPr>
        <w:jc w:val="both"/>
      </w:pPr>
    </w:p>
    <w:p w14:paraId="13F57C22" w14:textId="77777777" w:rsidR="00D255B4" w:rsidRDefault="00D255B4" w:rsidP="00D255B4">
      <w:pPr>
        <w:jc w:val="both"/>
      </w:pPr>
    </w:p>
    <w:p w14:paraId="4BA7E564" w14:textId="77777777" w:rsidR="00D255B4" w:rsidRDefault="00D255B4" w:rsidP="00D255B4">
      <w:pPr>
        <w:jc w:val="both"/>
      </w:pPr>
    </w:p>
    <w:p w14:paraId="031805C9" w14:textId="77777777" w:rsidR="00D255B4" w:rsidRDefault="00D255B4" w:rsidP="00D255B4">
      <w:pPr>
        <w:jc w:val="both"/>
      </w:pPr>
    </w:p>
    <w:p w14:paraId="4BA2A0B9" w14:textId="77777777" w:rsidR="00D255B4" w:rsidRDefault="00D255B4" w:rsidP="00D255B4">
      <w:pPr>
        <w:jc w:val="both"/>
      </w:pPr>
    </w:p>
    <w:p w14:paraId="38FCB599" w14:textId="77777777" w:rsidR="00D255B4" w:rsidRDefault="00D255B4" w:rsidP="00D255B4">
      <w:pPr>
        <w:jc w:val="both"/>
      </w:pPr>
    </w:p>
    <w:p w14:paraId="28B4361C" w14:textId="77777777" w:rsidR="00D255B4" w:rsidRDefault="00D255B4">
      <w:pPr>
        <w:rPr>
          <w:rFonts w:asciiTheme="majorHAnsi" w:eastAsiaTheme="majorEastAsia" w:hAnsiTheme="majorHAnsi" w:cstheme="majorBidi"/>
          <w:color w:val="2F5496" w:themeColor="accent1" w:themeShade="BF"/>
          <w:sz w:val="32"/>
          <w:szCs w:val="32"/>
        </w:rPr>
      </w:pPr>
      <w:bookmarkStart w:id="18" w:name="_Toc19213823"/>
      <w:r>
        <w:br w:type="page"/>
      </w:r>
    </w:p>
    <w:p w14:paraId="51CF77A3" w14:textId="0C25FEFF" w:rsidR="00D255B4" w:rsidRPr="0047792C" w:rsidRDefault="00D255B4" w:rsidP="00D54D68">
      <w:pPr>
        <w:pStyle w:val="Heading1"/>
        <w:numPr>
          <w:ilvl w:val="0"/>
          <w:numId w:val="4"/>
        </w:numPr>
      </w:pPr>
      <w:r>
        <w:lastRenderedPageBreak/>
        <w:t>Economic instruments</w:t>
      </w:r>
      <w:bookmarkEnd w:id="18"/>
      <w:r>
        <w:t xml:space="preserve"> </w:t>
      </w:r>
    </w:p>
    <w:p w14:paraId="1F2D85E1" w14:textId="77777777" w:rsidR="00D255B4" w:rsidRDefault="00D255B4" w:rsidP="00D255B4">
      <w:pPr>
        <w:jc w:val="both"/>
        <w:rPr>
          <w:rFonts w:cstheme="minorHAnsi"/>
          <w:b/>
          <w:bCs/>
        </w:rPr>
      </w:pPr>
    </w:p>
    <w:p w14:paraId="3075BE2A" w14:textId="77777777" w:rsidR="00D255B4" w:rsidRPr="00F9480C" w:rsidRDefault="00D255B4" w:rsidP="00D255B4">
      <w:pPr>
        <w:jc w:val="both"/>
        <w:rPr>
          <w:rFonts w:cstheme="minorHAnsi"/>
          <w:color w:val="000000"/>
          <w:shd w:val="clear" w:color="auto" w:fill="FFFFFF"/>
        </w:rPr>
      </w:pPr>
      <w:r w:rsidRPr="00F9480C">
        <w:rPr>
          <w:rFonts w:cstheme="minorHAnsi"/>
        </w:rPr>
        <w:t xml:space="preserve">Since the early 1970s, the role </w:t>
      </w:r>
      <w:r>
        <w:rPr>
          <w:rFonts w:cstheme="minorHAnsi"/>
        </w:rPr>
        <w:t xml:space="preserve">and use </w:t>
      </w:r>
      <w:r w:rsidRPr="00F9480C">
        <w:rPr>
          <w:rFonts w:cstheme="minorHAnsi"/>
        </w:rPr>
        <w:t xml:space="preserve">of economic instruments has been growing, </w:t>
      </w:r>
      <w:r>
        <w:rPr>
          <w:rFonts w:cstheme="minorHAnsi"/>
        </w:rPr>
        <w:t xml:space="preserve">as </w:t>
      </w:r>
      <w:r w:rsidRPr="00F9480C">
        <w:rPr>
          <w:rFonts w:cstheme="minorHAnsi"/>
        </w:rPr>
        <w:t xml:space="preserve">evidenced by the considerable </w:t>
      </w:r>
      <w:r>
        <w:rPr>
          <w:rFonts w:cstheme="minorHAnsi"/>
        </w:rPr>
        <w:t>increase</w:t>
      </w:r>
      <w:r w:rsidRPr="00F9480C">
        <w:rPr>
          <w:rFonts w:cstheme="minorHAnsi"/>
        </w:rPr>
        <w:t xml:space="preserve"> in </w:t>
      </w:r>
      <w:r>
        <w:rPr>
          <w:rFonts w:cstheme="minorHAnsi"/>
        </w:rPr>
        <w:t xml:space="preserve">the </w:t>
      </w:r>
      <w:r w:rsidRPr="00F9480C">
        <w:rPr>
          <w:rFonts w:cstheme="minorHAnsi"/>
        </w:rPr>
        <w:t>number of applications for pollution control and natural resource management and the diversification of</w:t>
      </w:r>
      <w:r>
        <w:rPr>
          <w:rFonts w:cstheme="minorHAnsi"/>
        </w:rPr>
        <w:t xml:space="preserve"> those</w:t>
      </w:r>
      <w:r w:rsidRPr="00F9480C">
        <w:rPr>
          <w:rFonts w:cstheme="minorHAnsi"/>
        </w:rPr>
        <w:t xml:space="preserve"> instruments </w:t>
      </w:r>
      <w:r>
        <w:rPr>
          <w:rFonts w:cstheme="minorHAnsi"/>
        </w:rPr>
        <w:t>already being applied</w:t>
      </w:r>
      <w:r w:rsidRPr="00F9480C">
        <w:rPr>
          <w:rFonts w:cstheme="minorHAnsi"/>
        </w:rPr>
        <w:t xml:space="preserve"> (OECD, 2017). The most notable proliferation in the use of economic instruments occurred after the launch of the </w:t>
      </w:r>
      <w:r w:rsidRPr="00F9480C">
        <w:rPr>
          <w:rFonts w:cstheme="minorHAnsi"/>
          <w:color w:val="000000"/>
          <w:shd w:val="clear" w:color="auto" w:fill="FFFFFF"/>
        </w:rPr>
        <w:t xml:space="preserve">Brundtland report, which recommended their use </w:t>
      </w:r>
      <w:r>
        <w:rPr>
          <w:rFonts w:cstheme="minorHAnsi"/>
          <w:color w:val="000000"/>
          <w:shd w:val="clear" w:color="auto" w:fill="FFFFFF"/>
        </w:rPr>
        <w:t>to help</w:t>
      </w:r>
      <w:r w:rsidRPr="00F9480C">
        <w:rPr>
          <w:rFonts w:cstheme="minorHAnsi"/>
          <w:color w:val="000000"/>
          <w:shd w:val="clear" w:color="auto" w:fill="FFFFFF"/>
        </w:rPr>
        <w:t xml:space="preserve"> integ</w:t>
      </w:r>
      <w:r>
        <w:rPr>
          <w:rFonts w:cstheme="minorHAnsi"/>
          <w:color w:val="000000"/>
          <w:shd w:val="clear" w:color="auto" w:fill="FFFFFF"/>
        </w:rPr>
        <w:t>rate</w:t>
      </w:r>
      <w:r w:rsidRPr="00F9480C">
        <w:rPr>
          <w:rFonts w:cstheme="minorHAnsi"/>
          <w:color w:val="000000"/>
          <w:shd w:val="clear" w:color="auto" w:fill="FFFFFF"/>
        </w:rPr>
        <w:t xml:space="preserve"> environmental considerations into other policy</w:t>
      </w:r>
      <w:r>
        <w:rPr>
          <w:rFonts w:cstheme="minorHAnsi"/>
          <w:color w:val="000000"/>
          <w:shd w:val="clear" w:color="auto" w:fill="FFFFFF"/>
        </w:rPr>
        <w:t xml:space="preserve"> </w:t>
      </w:r>
      <w:r w:rsidRPr="00F9480C">
        <w:rPr>
          <w:rFonts w:cstheme="minorHAnsi"/>
          <w:color w:val="000000"/>
          <w:shd w:val="clear" w:color="auto" w:fill="FFFFFF"/>
        </w:rPr>
        <w:t xml:space="preserve">areas (World Commission 1987). </w:t>
      </w:r>
    </w:p>
    <w:p w14:paraId="300D184B" w14:textId="77777777" w:rsidR="00D255B4" w:rsidRPr="00F9480C" w:rsidRDefault="00D255B4" w:rsidP="00D255B4">
      <w:pPr>
        <w:jc w:val="both"/>
        <w:rPr>
          <w:rFonts w:cstheme="minorHAnsi"/>
          <w:color w:val="000000"/>
          <w:shd w:val="clear" w:color="auto" w:fill="FFFFFF"/>
        </w:rPr>
      </w:pPr>
    </w:p>
    <w:p w14:paraId="0169B038" w14:textId="77777777" w:rsidR="00D255B4" w:rsidRPr="00432157" w:rsidRDefault="00D255B4" w:rsidP="00D255B4">
      <w:pPr>
        <w:jc w:val="both"/>
        <w:rPr>
          <w:rFonts w:cstheme="minorHAnsi"/>
          <w:color w:val="000000"/>
          <w:shd w:val="clear" w:color="auto" w:fill="FFFFFF"/>
        </w:rPr>
      </w:pPr>
      <w:r w:rsidRPr="00F9480C">
        <w:rPr>
          <w:rFonts w:cstheme="minorHAnsi"/>
          <w:color w:val="000000"/>
          <w:shd w:val="clear" w:color="auto" w:fill="FFFFFF"/>
        </w:rPr>
        <w:t xml:space="preserve">Essentially, economic instruments aim to internalize environmental externalities so that </w:t>
      </w:r>
      <w:r>
        <w:rPr>
          <w:rFonts w:cstheme="minorHAnsi"/>
          <w:color w:val="000000"/>
          <w:shd w:val="clear" w:color="auto" w:fill="FFFFFF"/>
        </w:rPr>
        <w:t xml:space="preserve">the </w:t>
      </w:r>
      <w:r w:rsidRPr="00F9480C">
        <w:rPr>
          <w:rFonts w:cstheme="minorHAnsi"/>
          <w:color w:val="000000"/>
          <w:shd w:val="clear" w:color="auto" w:fill="FFFFFF"/>
        </w:rPr>
        <w:t>true environmental and societal cost</w:t>
      </w:r>
      <w:r>
        <w:rPr>
          <w:rFonts w:cstheme="minorHAnsi"/>
          <w:color w:val="000000"/>
          <w:shd w:val="clear" w:color="auto" w:fill="FFFFFF"/>
        </w:rPr>
        <w:t>s</w:t>
      </w:r>
      <w:r w:rsidRPr="00F9480C">
        <w:rPr>
          <w:rFonts w:cstheme="minorHAnsi"/>
          <w:color w:val="000000"/>
          <w:shd w:val="clear" w:color="auto" w:fill="FFFFFF"/>
        </w:rPr>
        <w:t xml:space="preserve"> of products and services</w:t>
      </w:r>
      <w:r>
        <w:rPr>
          <w:rFonts w:cstheme="minorHAnsi"/>
          <w:color w:val="000000"/>
          <w:shd w:val="clear" w:color="auto" w:fill="FFFFFF"/>
        </w:rPr>
        <w:t xml:space="preserve"> are accurately reflected</w:t>
      </w:r>
      <w:r w:rsidRPr="00F9480C">
        <w:rPr>
          <w:rFonts w:cstheme="minorHAnsi"/>
          <w:color w:val="000000"/>
          <w:shd w:val="clear" w:color="auto" w:fill="FFFFFF"/>
        </w:rPr>
        <w:t xml:space="preserve"> (Metcalf, 2019).  </w:t>
      </w:r>
      <w:r>
        <w:rPr>
          <w:rFonts w:cstheme="minorHAnsi"/>
          <w:color w:val="000000"/>
          <w:shd w:val="clear" w:color="auto" w:fill="FFFFFF"/>
        </w:rPr>
        <w:t xml:space="preserve">Economic instruments </w:t>
      </w:r>
      <w:r w:rsidRPr="00F9480C">
        <w:rPr>
          <w:rFonts w:cstheme="minorHAnsi"/>
          <w:color w:val="000000"/>
          <w:shd w:val="clear" w:color="auto" w:fill="FFFFFF"/>
        </w:rPr>
        <w:t xml:space="preserve">have </w:t>
      </w:r>
      <w:r>
        <w:rPr>
          <w:rFonts w:cstheme="minorHAnsi"/>
          <w:color w:val="000000"/>
          <w:shd w:val="clear" w:color="auto" w:fill="FFFFFF"/>
        </w:rPr>
        <w:t xml:space="preserve">been </w:t>
      </w:r>
      <w:r w:rsidRPr="00F9480C">
        <w:rPr>
          <w:rFonts w:cstheme="minorHAnsi"/>
          <w:color w:val="000000"/>
          <w:shd w:val="clear" w:color="auto" w:fill="FFFFFF"/>
        </w:rPr>
        <w:t xml:space="preserve">hailed for their ability to give producers </w:t>
      </w:r>
      <w:r>
        <w:rPr>
          <w:rFonts w:cstheme="minorHAnsi"/>
          <w:color w:val="000000"/>
          <w:shd w:val="clear" w:color="auto" w:fill="FFFFFF"/>
        </w:rPr>
        <w:t>an</w:t>
      </w:r>
      <w:r w:rsidRPr="00F9480C">
        <w:rPr>
          <w:rFonts w:cstheme="minorHAnsi"/>
          <w:color w:val="000000"/>
          <w:shd w:val="clear" w:color="auto" w:fill="FFFFFF"/>
        </w:rPr>
        <w:t xml:space="preserve"> incentive to improve </w:t>
      </w:r>
      <w:r w:rsidRPr="00432157">
        <w:rPr>
          <w:rFonts w:cstheme="minorHAnsi"/>
          <w:color w:val="000000"/>
          <w:shd w:val="clear" w:color="auto" w:fill="FFFFFF"/>
        </w:rPr>
        <w:t xml:space="preserve">environmental performance in contrast to </w:t>
      </w:r>
      <w:r w:rsidRPr="00432157">
        <w:rPr>
          <w:rFonts w:cstheme="minorHAnsi"/>
        </w:rPr>
        <w:t>traditional</w:t>
      </w:r>
      <w:r w:rsidRPr="00432157">
        <w:rPr>
          <w:rFonts w:cstheme="minorHAnsi"/>
          <w:b/>
          <w:bCs/>
        </w:rPr>
        <w:t xml:space="preserve"> </w:t>
      </w:r>
      <w:r w:rsidRPr="00432157">
        <w:rPr>
          <w:rFonts w:cstheme="minorHAnsi"/>
          <w:color w:val="000000"/>
          <w:shd w:val="clear" w:color="auto" w:fill="FFFFFF"/>
        </w:rPr>
        <w:t>command-and-</w:t>
      </w:r>
      <w:r w:rsidRPr="00AA70C0">
        <w:rPr>
          <w:rFonts w:cstheme="minorHAnsi"/>
          <w:shd w:val="clear" w:color="auto" w:fill="FFFFFF"/>
        </w:rPr>
        <w:t>control policies (Andersen, 1995). They are also credited for catalyzing innovations and research</w:t>
      </w:r>
      <w:r>
        <w:rPr>
          <w:rFonts w:cstheme="minorHAnsi"/>
          <w:shd w:val="clear" w:color="auto" w:fill="FFFFFF"/>
        </w:rPr>
        <w:t>—</w:t>
      </w:r>
      <w:r w:rsidRPr="00AA70C0">
        <w:rPr>
          <w:rFonts w:cstheme="minorHAnsi"/>
          <w:shd w:val="clear" w:color="auto" w:fill="FFFFFF"/>
        </w:rPr>
        <w:t>since they do not prescribe specific technologies</w:t>
      </w:r>
      <w:r>
        <w:rPr>
          <w:rFonts w:cstheme="minorHAnsi"/>
          <w:shd w:val="clear" w:color="auto" w:fill="FFFFFF"/>
        </w:rPr>
        <w:t>—</w:t>
      </w:r>
      <w:r w:rsidRPr="00AA70C0">
        <w:rPr>
          <w:rFonts w:cstheme="minorHAnsi"/>
          <w:shd w:val="clear" w:color="auto" w:fill="FFFFFF"/>
        </w:rPr>
        <w:t xml:space="preserve">and for </w:t>
      </w:r>
      <w:r>
        <w:rPr>
          <w:rFonts w:cstheme="minorHAnsi"/>
          <w:shd w:val="clear" w:color="auto" w:fill="FFFFFF"/>
        </w:rPr>
        <w:t xml:space="preserve">their ability to </w:t>
      </w:r>
      <w:r w:rsidRPr="00AA70C0">
        <w:rPr>
          <w:rFonts w:cstheme="minorHAnsi"/>
          <w:shd w:val="clear" w:color="auto" w:fill="FFFFFF"/>
        </w:rPr>
        <w:t>generat</w:t>
      </w:r>
      <w:r>
        <w:rPr>
          <w:rFonts w:cstheme="minorHAnsi"/>
          <w:shd w:val="clear" w:color="auto" w:fill="FFFFFF"/>
        </w:rPr>
        <w:t>e</w:t>
      </w:r>
      <w:r w:rsidRPr="00AA70C0">
        <w:rPr>
          <w:rFonts w:cstheme="minorHAnsi"/>
          <w:shd w:val="clear" w:color="auto" w:fill="FFFFFF"/>
        </w:rPr>
        <w:t xml:space="preserve"> new revenues (Andersen, 1995). Economic instruments </w:t>
      </w:r>
      <w:r>
        <w:rPr>
          <w:rFonts w:cstheme="minorHAnsi"/>
          <w:shd w:val="clear" w:color="auto" w:fill="FFFFFF"/>
        </w:rPr>
        <w:t xml:space="preserve">are suitable for moderately hazardous substances and </w:t>
      </w:r>
      <w:r w:rsidRPr="00AA70C0">
        <w:rPr>
          <w:rFonts w:cstheme="minorHAnsi"/>
          <w:shd w:val="clear" w:color="auto" w:fill="FFFFFF"/>
        </w:rPr>
        <w:t xml:space="preserve">usually take the form of a new policy, law, or economic or social </w:t>
      </w:r>
      <w:proofErr w:type="spellStart"/>
      <w:r w:rsidRPr="00AA70C0">
        <w:rPr>
          <w:rFonts w:cstheme="minorHAnsi"/>
          <w:shd w:val="clear" w:color="auto" w:fill="FFFFFF"/>
        </w:rPr>
        <w:t>programme</w:t>
      </w:r>
      <w:proofErr w:type="spellEnd"/>
      <w:r w:rsidRPr="00AA70C0">
        <w:rPr>
          <w:rFonts w:cstheme="minorHAnsi"/>
          <w:shd w:val="clear" w:color="auto" w:fill="FFFFFF"/>
        </w:rPr>
        <w:t>.</w:t>
      </w:r>
    </w:p>
    <w:p w14:paraId="4E9A05F2" w14:textId="77777777" w:rsidR="00D255B4" w:rsidRDefault="00D255B4" w:rsidP="00D255B4">
      <w:pPr>
        <w:jc w:val="both"/>
        <w:rPr>
          <w:rFonts w:cstheme="minorHAnsi"/>
        </w:rPr>
      </w:pPr>
    </w:p>
    <w:p w14:paraId="6F586EF4" w14:textId="15CCA992" w:rsidR="00D255B4" w:rsidRPr="00D935A3" w:rsidRDefault="00D255B4" w:rsidP="00D935A3">
      <w:pPr>
        <w:jc w:val="both"/>
        <w:rPr>
          <w:rFonts w:cstheme="minorHAnsi"/>
        </w:rPr>
      </w:pPr>
      <w:r w:rsidRPr="00F60E28">
        <w:rPr>
          <w:rFonts w:cstheme="minorHAnsi"/>
        </w:rPr>
        <w:t xml:space="preserve">The OECD </w:t>
      </w:r>
      <w:r>
        <w:rPr>
          <w:rFonts w:cstheme="minorHAnsi"/>
        </w:rPr>
        <w:t xml:space="preserve">monitors the </w:t>
      </w:r>
      <w:r w:rsidRPr="00F60E28">
        <w:rPr>
          <w:rFonts w:cstheme="minorHAnsi"/>
        </w:rPr>
        <w:t xml:space="preserve">use of economic instruments and maintains the </w:t>
      </w:r>
      <w:r>
        <w:rPr>
          <w:rFonts w:cstheme="minorHAnsi"/>
        </w:rPr>
        <w:t>OECD Policy Instruments for the Environment database (“</w:t>
      </w:r>
      <w:r w:rsidRPr="00F60E28">
        <w:rPr>
          <w:rFonts w:cstheme="minorHAnsi"/>
        </w:rPr>
        <w:t>Pine database</w:t>
      </w:r>
      <w:r>
        <w:rPr>
          <w:rFonts w:cstheme="minorHAnsi"/>
        </w:rPr>
        <w:t xml:space="preserve">”), which contains </w:t>
      </w:r>
      <w:r w:rsidRPr="00F60E28">
        <w:rPr>
          <w:rFonts w:cstheme="minorHAnsi"/>
        </w:rPr>
        <w:t>3</w:t>
      </w:r>
      <w:r>
        <w:rPr>
          <w:rFonts w:cstheme="minorHAnsi"/>
        </w:rPr>
        <w:t xml:space="preserve"> </w:t>
      </w:r>
      <w:r w:rsidRPr="00F60E28">
        <w:rPr>
          <w:rFonts w:cstheme="minorHAnsi"/>
        </w:rPr>
        <w:t xml:space="preserve">400 policy instruments </w:t>
      </w:r>
      <w:r>
        <w:rPr>
          <w:rFonts w:cstheme="minorHAnsi"/>
        </w:rPr>
        <w:t>categorized under</w:t>
      </w:r>
      <w:r w:rsidRPr="00F60E28">
        <w:rPr>
          <w:rFonts w:cstheme="minorHAnsi"/>
        </w:rPr>
        <w:t xml:space="preserve"> 12 environmental domains</w:t>
      </w:r>
      <w:r>
        <w:rPr>
          <w:rFonts w:cstheme="minorHAnsi"/>
        </w:rPr>
        <w:t>. Chemicals and waste do not have an independent domain, but they are covered under some others</w:t>
      </w:r>
      <w:r w:rsidRPr="00F60E28">
        <w:rPr>
          <w:rFonts w:cstheme="minorHAnsi"/>
        </w:rPr>
        <w:t xml:space="preserve">, in particular </w:t>
      </w:r>
      <w:r>
        <w:rPr>
          <w:rFonts w:cstheme="minorHAnsi"/>
        </w:rPr>
        <w:t>“</w:t>
      </w:r>
      <w:r w:rsidRPr="00F60E28">
        <w:rPr>
          <w:rFonts w:cstheme="minorHAnsi"/>
        </w:rPr>
        <w:t>water pollution</w:t>
      </w:r>
      <w:r>
        <w:rPr>
          <w:rFonts w:cstheme="minorHAnsi"/>
        </w:rPr>
        <w:t>”</w:t>
      </w:r>
      <w:r w:rsidRPr="00F60E28">
        <w:rPr>
          <w:rFonts w:cstheme="minorHAnsi"/>
        </w:rPr>
        <w:t xml:space="preserve">, </w:t>
      </w:r>
      <w:r>
        <w:rPr>
          <w:rFonts w:cstheme="minorHAnsi"/>
        </w:rPr>
        <w:t>“</w:t>
      </w:r>
      <w:r w:rsidRPr="00F60E28">
        <w:rPr>
          <w:rFonts w:cstheme="minorHAnsi"/>
        </w:rPr>
        <w:t>land contamination</w:t>
      </w:r>
      <w:r>
        <w:rPr>
          <w:rFonts w:cstheme="minorHAnsi"/>
        </w:rPr>
        <w:t>”</w:t>
      </w:r>
      <w:r w:rsidRPr="00F60E28">
        <w:rPr>
          <w:rFonts w:cstheme="minorHAnsi"/>
        </w:rPr>
        <w:t xml:space="preserve"> and </w:t>
      </w:r>
      <w:r>
        <w:rPr>
          <w:rFonts w:cstheme="minorHAnsi"/>
        </w:rPr>
        <w:t>“</w:t>
      </w:r>
      <w:r w:rsidRPr="00F60E28">
        <w:rPr>
          <w:rFonts w:cstheme="minorHAnsi"/>
        </w:rPr>
        <w:t>ozone layer protection</w:t>
      </w:r>
      <w:r>
        <w:rPr>
          <w:rFonts w:cstheme="minorHAnsi"/>
        </w:rPr>
        <w:t>”</w:t>
      </w:r>
      <w:r w:rsidRPr="00F60E28">
        <w:rPr>
          <w:rFonts w:cstheme="minorHAnsi"/>
        </w:rPr>
        <w:t xml:space="preserve"> (OECD, 2019). The </w:t>
      </w:r>
      <w:r>
        <w:rPr>
          <w:rFonts w:cstheme="minorHAnsi"/>
        </w:rPr>
        <w:t xml:space="preserve">OECD </w:t>
      </w:r>
      <w:r w:rsidRPr="00F60E28">
        <w:rPr>
          <w:rFonts w:cstheme="minorHAnsi"/>
        </w:rPr>
        <w:t xml:space="preserve">classification of economic instruments is described in </w:t>
      </w:r>
      <w:r>
        <w:rPr>
          <w:rFonts w:cstheme="minorHAnsi"/>
        </w:rPr>
        <w:t>T</w:t>
      </w:r>
      <w:r w:rsidRPr="00F60E28">
        <w:rPr>
          <w:rFonts w:cstheme="minorHAnsi"/>
        </w:rPr>
        <w:t xml:space="preserve">able </w:t>
      </w:r>
      <w:r>
        <w:rPr>
          <w:rFonts w:cstheme="minorHAnsi"/>
        </w:rPr>
        <w:t>2, with indication of the categories’ applicability to chemicals and waste</w:t>
      </w:r>
      <w:r w:rsidRPr="00F60E28">
        <w:rPr>
          <w:rFonts w:cstheme="minorHAnsi"/>
        </w:rPr>
        <w:t xml:space="preserve">. </w:t>
      </w:r>
    </w:p>
    <w:p w14:paraId="5B7B3768" w14:textId="77777777" w:rsidR="00D255B4" w:rsidRDefault="00D255B4" w:rsidP="00D255B4">
      <w:pPr>
        <w:jc w:val="both"/>
        <w:rPr>
          <w:rFonts w:cstheme="minorHAnsi"/>
          <w:b/>
          <w:bCs/>
        </w:rPr>
      </w:pPr>
    </w:p>
    <w:p w14:paraId="6779DEF9" w14:textId="77777777" w:rsidR="00D935A3" w:rsidRDefault="00D935A3">
      <w:pPr>
        <w:rPr>
          <w:rFonts w:cstheme="minorHAnsi"/>
          <w:b/>
          <w:bCs/>
        </w:rPr>
      </w:pPr>
      <w:r>
        <w:rPr>
          <w:rFonts w:cstheme="minorHAnsi"/>
          <w:b/>
          <w:bCs/>
        </w:rPr>
        <w:br w:type="page"/>
      </w:r>
    </w:p>
    <w:p w14:paraId="21098393" w14:textId="67920294" w:rsidR="00D255B4" w:rsidRDefault="00D255B4" w:rsidP="00D255B4">
      <w:pPr>
        <w:spacing w:after="60"/>
        <w:jc w:val="both"/>
        <w:rPr>
          <w:rFonts w:cstheme="minorHAnsi"/>
        </w:rPr>
      </w:pPr>
      <w:r w:rsidRPr="006F5642">
        <w:rPr>
          <w:rFonts w:cstheme="minorHAnsi"/>
          <w:b/>
          <w:bCs/>
        </w:rPr>
        <w:lastRenderedPageBreak/>
        <w:t xml:space="preserve">Table </w:t>
      </w:r>
      <w:r>
        <w:rPr>
          <w:rFonts w:cstheme="minorHAnsi"/>
          <w:b/>
          <w:bCs/>
        </w:rPr>
        <w:t>2</w:t>
      </w:r>
      <w:r>
        <w:rPr>
          <w:rFonts w:cstheme="minorHAnsi"/>
        </w:rPr>
        <w:t>. OECD classification of economic instruments and its applicability to chemicals and waste (OECD, 2016a;</w:t>
      </w:r>
      <w:r w:rsidRPr="000039D9">
        <w:rPr>
          <w:rFonts w:cstheme="minorHAnsi"/>
        </w:rPr>
        <w:t xml:space="preserve"> </w:t>
      </w:r>
      <w:proofErr w:type="spellStart"/>
      <w:r>
        <w:rPr>
          <w:rFonts w:cstheme="minorHAnsi"/>
        </w:rPr>
        <w:t>Slunge</w:t>
      </w:r>
      <w:proofErr w:type="spellEnd"/>
      <w:r>
        <w:rPr>
          <w:rFonts w:cstheme="minorHAnsi"/>
        </w:rPr>
        <w:t xml:space="preserve"> &amp; </w:t>
      </w:r>
      <w:proofErr w:type="spellStart"/>
      <w:r>
        <w:rPr>
          <w:rFonts w:cstheme="minorHAnsi"/>
        </w:rPr>
        <w:t>Alpizar</w:t>
      </w:r>
      <w:proofErr w:type="spellEnd"/>
      <w:r>
        <w:rPr>
          <w:rFonts w:cstheme="minorHAnsi"/>
        </w:rPr>
        <w:t xml:space="preserve">, 2019). </w:t>
      </w:r>
    </w:p>
    <w:tbl>
      <w:tblPr>
        <w:tblStyle w:val="TableGrid"/>
        <w:tblW w:w="9350" w:type="dxa"/>
        <w:tblBorders>
          <w:left w:val="none" w:sz="0" w:space="0" w:color="auto"/>
          <w:right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1071"/>
        <w:gridCol w:w="4869"/>
        <w:gridCol w:w="3410"/>
      </w:tblGrid>
      <w:tr w:rsidR="00D255B4" w:rsidRPr="00432157" w14:paraId="0D827963" w14:textId="77777777" w:rsidTr="00933F86">
        <w:tc>
          <w:tcPr>
            <w:tcW w:w="1071" w:type="dxa"/>
            <w:shd w:val="clear" w:color="auto" w:fill="B4C6E7" w:themeFill="accent1" w:themeFillTint="66"/>
          </w:tcPr>
          <w:p w14:paraId="05095C5F" w14:textId="77777777" w:rsidR="00D255B4" w:rsidRPr="000B6929" w:rsidRDefault="00D255B4" w:rsidP="00933F86">
            <w:pPr>
              <w:jc w:val="center"/>
              <w:rPr>
                <w:rFonts w:cstheme="minorHAnsi"/>
                <w:b/>
                <w:bCs/>
                <w:sz w:val="20"/>
                <w:szCs w:val="20"/>
              </w:rPr>
            </w:pPr>
            <w:r w:rsidRPr="000B6929">
              <w:rPr>
                <w:rFonts w:cstheme="minorHAnsi"/>
                <w:b/>
                <w:bCs/>
                <w:sz w:val="20"/>
                <w:szCs w:val="20"/>
              </w:rPr>
              <w:t>Category</w:t>
            </w:r>
          </w:p>
        </w:tc>
        <w:tc>
          <w:tcPr>
            <w:tcW w:w="4869" w:type="dxa"/>
            <w:shd w:val="clear" w:color="auto" w:fill="B4C6E7" w:themeFill="accent1" w:themeFillTint="66"/>
          </w:tcPr>
          <w:p w14:paraId="5329644E" w14:textId="77777777" w:rsidR="00D255B4" w:rsidRPr="000B6929" w:rsidRDefault="00D255B4" w:rsidP="00933F86">
            <w:pPr>
              <w:jc w:val="center"/>
              <w:rPr>
                <w:rFonts w:cstheme="minorHAnsi"/>
                <w:b/>
                <w:bCs/>
                <w:sz w:val="20"/>
                <w:szCs w:val="20"/>
              </w:rPr>
            </w:pPr>
            <w:r w:rsidRPr="000B6929">
              <w:rPr>
                <w:rFonts w:cstheme="minorHAnsi"/>
                <w:b/>
                <w:bCs/>
                <w:sz w:val="20"/>
                <w:szCs w:val="20"/>
              </w:rPr>
              <w:t xml:space="preserve">OECD Definition </w:t>
            </w:r>
          </w:p>
        </w:tc>
        <w:tc>
          <w:tcPr>
            <w:tcW w:w="3410" w:type="dxa"/>
            <w:shd w:val="clear" w:color="auto" w:fill="B4C6E7" w:themeFill="accent1" w:themeFillTint="66"/>
          </w:tcPr>
          <w:p w14:paraId="75F9DC39" w14:textId="77777777" w:rsidR="00D255B4" w:rsidRPr="000B6929" w:rsidRDefault="00D255B4" w:rsidP="00933F86">
            <w:pPr>
              <w:jc w:val="center"/>
              <w:rPr>
                <w:rFonts w:cstheme="minorHAnsi"/>
                <w:b/>
                <w:bCs/>
                <w:sz w:val="20"/>
                <w:szCs w:val="20"/>
              </w:rPr>
            </w:pPr>
            <w:r w:rsidRPr="000B6929">
              <w:rPr>
                <w:rFonts w:cstheme="minorHAnsi"/>
                <w:b/>
                <w:bCs/>
                <w:sz w:val="20"/>
                <w:szCs w:val="20"/>
              </w:rPr>
              <w:t>Applicability to chemicals and waste</w:t>
            </w:r>
          </w:p>
        </w:tc>
      </w:tr>
      <w:tr w:rsidR="00D255B4" w:rsidRPr="00432157" w14:paraId="2A0AE519" w14:textId="77777777" w:rsidTr="00933F86">
        <w:tc>
          <w:tcPr>
            <w:tcW w:w="1071" w:type="dxa"/>
          </w:tcPr>
          <w:p w14:paraId="6177760C" w14:textId="77777777" w:rsidR="00D255B4" w:rsidRPr="00432157" w:rsidRDefault="00D255B4" w:rsidP="00933F86">
            <w:pPr>
              <w:rPr>
                <w:rFonts w:cstheme="minorHAnsi"/>
                <w:b/>
                <w:bCs/>
                <w:sz w:val="18"/>
                <w:szCs w:val="18"/>
              </w:rPr>
            </w:pPr>
            <w:r w:rsidRPr="00432157">
              <w:rPr>
                <w:rFonts w:cstheme="minorHAnsi"/>
                <w:b/>
                <w:bCs/>
                <w:sz w:val="18"/>
                <w:szCs w:val="18"/>
              </w:rPr>
              <w:t>Taxes</w:t>
            </w:r>
          </w:p>
        </w:tc>
        <w:tc>
          <w:tcPr>
            <w:tcW w:w="4869" w:type="dxa"/>
          </w:tcPr>
          <w:p w14:paraId="3EF89535" w14:textId="77777777" w:rsidR="00D255B4" w:rsidRPr="00432157" w:rsidRDefault="00D255B4" w:rsidP="00933F86">
            <w:pPr>
              <w:rPr>
                <w:rFonts w:cstheme="minorHAnsi"/>
                <w:sz w:val="18"/>
                <w:szCs w:val="18"/>
              </w:rPr>
            </w:pPr>
            <w:r w:rsidRPr="00432157">
              <w:rPr>
                <w:sz w:val="18"/>
                <w:szCs w:val="18"/>
              </w:rPr>
              <w:t xml:space="preserve">Compulsory, unrequited payment to government levied on tax base with a proven, specific negative impact on the environment </w:t>
            </w:r>
          </w:p>
        </w:tc>
        <w:tc>
          <w:tcPr>
            <w:tcW w:w="3410" w:type="dxa"/>
          </w:tcPr>
          <w:p w14:paraId="6180ECD7" w14:textId="77777777" w:rsidR="00D255B4" w:rsidRPr="00432157" w:rsidRDefault="00D255B4" w:rsidP="00933F86">
            <w:pPr>
              <w:rPr>
                <w:sz w:val="18"/>
                <w:szCs w:val="18"/>
              </w:rPr>
            </w:pPr>
            <w:r>
              <w:rPr>
                <w:sz w:val="18"/>
                <w:szCs w:val="18"/>
              </w:rPr>
              <w:t>Yes, e.g. pesticides, inorganic fertilizers and chlorinated solvents</w:t>
            </w:r>
          </w:p>
        </w:tc>
      </w:tr>
      <w:tr w:rsidR="00D255B4" w:rsidRPr="00432157" w14:paraId="336C8408" w14:textId="77777777" w:rsidTr="00933F86">
        <w:tc>
          <w:tcPr>
            <w:tcW w:w="1071" w:type="dxa"/>
          </w:tcPr>
          <w:p w14:paraId="7F03C69F" w14:textId="77777777" w:rsidR="00D255B4" w:rsidRPr="00432157" w:rsidRDefault="00D255B4" w:rsidP="00933F86">
            <w:pPr>
              <w:rPr>
                <w:rFonts w:cstheme="minorHAnsi"/>
                <w:b/>
                <w:bCs/>
                <w:sz w:val="18"/>
                <w:szCs w:val="18"/>
              </w:rPr>
            </w:pPr>
            <w:r w:rsidRPr="00432157">
              <w:rPr>
                <w:b/>
                <w:bCs/>
                <w:sz w:val="18"/>
                <w:szCs w:val="18"/>
              </w:rPr>
              <w:t>Fees</w:t>
            </w:r>
          </w:p>
        </w:tc>
        <w:tc>
          <w:tcPr>
            <w:tcW w:w="4869" w:type="dxa"/>
          </w:tcPr>
          <w:p w14:paraId="4EE7BA19" w14:textId="77777777" w:rsidR="00D255B4" w:rsidRPr="00432157" w:rsidRDefault="00D255B4" w:rsidP="00933F86">
            <w:pPr>
              <w:rPr>
                <w:rFonts w:cstheme="minorHAnsi"/>
                <w:sz w:val="18"/>
                <w:szCs w:val="18"/>
              </w:rPr>
            </w:pPr>
            <w:r w:rsidRPr="00432157">
              <w:rPr>
                <w:sz w:val="18"/>
                <w:szCs w:val="18"/>
              </w:rPr>
              <w:t xml:space="preserve">Compulsory requited payments to the government that are levied in proportion to the services provided </w:t>
            </w:r>
          </w:p>
        </w:tc>
        <w:tc>
          <w:tcPr>
            <w:tcW w:w="3410" w:type="dxa"/>
          </w:tcPr>
          <w:p w14:paraId="2ADB2022" w14:textId="77777777" w:rsidR="00D255B4" w:rsidRPr="00432157" w:rsidRDefault="00D255B4" w:rsidP="00933F86">
            <w:pPr>
              <w:rPr>
                <w:sz w:val="18"/>
                <w:szCs w:val="18"/>
              </w:rPr>
            </w:pPr>
            <w:r>
              <w:rPr>
                <w:sz w:val="18"/>
                <w:szCs w:val="18"/>
              </w:rPr>
              <w:t xml:space="preserve">Yes, e.g. hazardous waste, pesticide or chemical containers, tires, batteries </w:t>
            </w:r>
          </w:p>
        </w:tc>
      </w:tr>
      <w:tr w:rsidR="00D255B4" w:rsidRPr="00432157" w14:paraId="5CAA5F09" w14:textId="77777777" w:rsidTr="00933F86">
        <w:tc>
          <w:tcPr>
            <w:tcW w:w="1071" w:type="dxa"/>
          </w:tcPr>
          <w:p w14:paraId="6511EBEA" w14:textId="77777777" w:rsidR="00D255B4" w:rsidRPr="00432157" w:rsidRDefault="00D255B4" w:rsidP="00933F86">
            <w:pPr>
              <w:rPr>
                <w:rFonts w:cstheme="minorHAnsi"/>
                <w:b/>
                <w:bCs/>
                <w:sz w:val="18"/>
                <w:szCs w:val="18"/>
              </w:rPr>
            </w:pPr>
            <w:r w:rsidRPr="00432157">
              <w:rPr>
                <w:b/>
                <w:bCs/>
                <w:sz w:val="18"/>
                <w:szCs w:val="18"/>
              </w:rPr>
              <w:t>Tradable permits</w:t>
            </w:r>
          </w:p>
        </w:tc>
        <w:tc>
          <w:tcPr>
            <w:tcW w:w="4869" w:type="dxa"/>
          </w:tcPr>
          <w:p w14:paraId="7B945502" w14:textId="77777777" w:rsidR="00D255B4" w:rsidRPr="00432157" w:rsidRDefault="00D255B4" w:rsidP="00933F86">
            <w:pPr>
              <w:rPr>
                <w:rFonts w:cstheme="minorHAnsi"/>
                <w:sz w:val="18"/>
                <w:szCs w:val="18"/>
              </w:rPr>
            </w:pPr>
            <w:r w:rsidRPr="00432157">
              <w:rPr>
                <w:sz w:val="18"/>
                <w:szCs w:val="18"/>
              </w:rPr>
              <w:t>Market-based instruments that provide allowance or permission to engage in an activity</w:t>
            </w:r>
          </w:p>
        </w:tc>
        <w:tc>
          <w:tcPr>
            <w:tcW w:w="3410" w:type="dxa"/>
          </w:tcPr>
          <w:p w14:paraId="048E283D" w14:textId="77777777" w:rsidR="00D255B4" w:rsidRPr="00432157" w:rsidRDefault="00D255B4" w:rsidP="00933F86">
            <w:pPr>
              <w:rPr>
                <w:sz w:val="18"/>
                <w:szCs w:val="18"/>
              </w:rPr>
            </w:pPr>
            <w:r>
              <w:rPr>
                <w:sz w:val="18"/>
                <w:szCs w:val="18"/>
              </w:rPr>
              <w:t xml:space="preserve">Yes, e.g. lead in petrol, ozone depleting substances </w:t>
            </w:r>
          </w:p>
        </w:tc>
      </w:tr>
      <w:tr w:rsidR="00D255B4" w:rsidRPr="00432157" w14:paraId="2CC03CD2" w14:textId="77777777" w:rsidTr="00933F86">
        <w:tc>
          <w:tcPr>
            <w:tcW w:w="1071" w:type="dxa"/>
          </w:tcPr>
          <w:p w14:paraId="0F0CC2ED" w14:textId="77777777" w:rsidR="00D255B4" w:rsidRPr="00432157" w:rsidRDefault="00D255B4" w:rsidP="00933F86">
            <w:pPr>
              <w:rPr>
                <w:rFonts w:cstheme="minorHAnsi"/>
                <w:b/>
                <w:bCs/>
                <w:sz w:val="18"/>
                <w:szCs w:val="18"/>
              </w:rPr>
            </w:pPr>
            <w:r w:rsidRPr="00432157">
              <w:rPr>
                <w:b/>
                <w:bCs/>
                <w:sz w:val="18"/>
                <w:szCs w:val="18"/>
              </w:rPr>
              <w:t>Deposit</w:t>
            </w:r>
            <w:r>
              <w:rPr>
                <w:b/>
                <w:bCs/>
                <w:sz w:val="18"/>
                <w:szCs w:val="18"/>
              </w:rPr>
              <w:t>-</w:t>
            </w:r>
            <w:r w:rsidRPr="00432157">
              <w:rPr>
                <w:b/>
                <w:bCs/>
                <w:sz w:val="18"/>
                <w:szCs w:val="18"/>
              </w:rPr>
              <w:t xml:space="preserve"> refund </w:t>
            </w:r>
          </w:p>
        </w:tc>
        <w:tc>
          <w:tcPr>
            <w:tcW w:w="4869" w:type="dxa"/>
          </w:tcPr>
          <w:p w14:paraId="779EABBA" w14:textId="77777777" w:rsidR="00D255B4" w:rsidRPr="00432157" w:rsidRDefault="00D255B4" w:rsidP="00933F86">
            <w:pPr>
              <w:rPr>
                <w:rFonts w:cstheme="minorHAnsi"/>
                <w:sz w:val="18"/>
                <w:szCs w:val="18"/>
              </w:rPr>
            </w:pPr>
            <w:r w:rsidRPr="00432157">
              <w:rPr>
                <w:sz w:val="18"/>
                <w:szCs w:val="18"/>
              </w:rPr>
              <w:t>Combination of a product charge (the deposit) and a subsidy for recycling or proper disposal (the refund), generally with the objective to discourage illegal or improper disposal</w:t>
            </w:r>
          </w:p>
        </w:tc>
        <w:tc>
          <w:tcPr>
            <w:tcW w:w="3410" w:type="dxa"/>
          </w:tcPr>
          <w:p w14:paraId="1D2EF02A" w14:textId="77777777" w:rsidR="00D255B4" w:rsidRPr="003F010A" w:rsidRDefault="00D255B4" w:rsidP="00933F86">
            <w:pPr>
              <w:rPr>
                <w:sz w:val="18"/>
                <w:szCs w:val="18"/>
              </w:rPr>
            </w:pPr>
            <w:r w:rsidRPr="003F010A">
              <w:rPr>
                <w:sz w:val="18"/>
                <w:szCs w:val="18"/>
              </w:rPr>
              <w:t>Yes, but could distinguish between traditional deposit-refund schemes (e.g</w:t>
            </w:r>
            <w:r>
              <w:rPr>
                <w:sz w:val="18"/>
                <w:szCs w:val="18"/>
              </w:rPr>
              <w:t>. containers made for pesticides</w:t>
            </w:r>
            <w:r w:rsidRPr="003F010A">
              <w:rPr>
                <w:sz w:val="18"/>
                <w:szCs w:val="18"/>
              </w:rPr>
              <w:t>) and E</w:t>
            </w:r>
            <w:r>
              <w:rPr>
                <w:sz w:val="18"/>
                <w:szCs w:val="18"/>
              </w:rPr>
              <w:t xml:space="preserve">xtended Producer Responsibility </w:t>
            </w:r>
            <w:r w:rsidRPr="003F010A">
              <w:rPr>
                <w:sz w:val="18"/>
                <w:szCs w:val="18"/>
              </w:rPr>
              <w:t>schemes (e.g</w:t>
            </w:r>
            <w:r>
              <w:rPr>
                <w:sz w:val="18"/>
                <w:szCs w:val="18"/>
              </w:rPr>
              <w:t>.</w:t>
            </w:r>
            <w:r w:rsidRPr="003F010A">
              <w:rPr>
                <w:sz w:val="18"/>
                <w:szCs w:val="18"/>
              </w:rPr>
              <w:t xml:space="preserve"> on </w:t>
            </w:r>
            <w:r>
              <w:rPr>
                <w:sz w:val="18"/>
                <w:szCs w:val="18"/>
              </w:rPr>
              <w:t>waste electrical and electronic equipment</w:t>
            </w:r>
            <w:r w:rsidRPr="003F010A">
              <w:rPr>
                <w:sz w:val="18"/>
                <w:szCs w:val="18"/>
              </w:rPr>
              <w:t>)</w:t>
            </w:r>
          </w:p>
        </w:tc>
      </w:tr>
      <w:tr w:rsidR="00D255B4" w:rsidRPr="00432157" w14:paraId="2FA6438E" w14:textId="77777777" w:rsidTr="00933F86">
        <w:tc>
          <w:tcPr>
            <w:tcW w:w="1071" w:type="dxa"/>
          </w:tcPr>
          <w:p w14:paraId="65EA1BA7" w14:textId="77777777" w:rsidR="00D255B4" w:rsidRPr="00432157" w:rsidRDefault="00D255B4" w:rsidP="00933F86">
            <w:pPr>
              <w:rPr>
                <w:rFonts w:cstheme="minorHAnsi"/>
                <w:b/>
                <w:bCs/>
                <w:sz w:val="18"/>
                <w:szCs w:val="18"/>
              </w:rPr>
            </w:pPr>
            <w:r>
              <w:rPr>
                <w:b/>
                <w:bCs/>
                <w:sz w:val="18"/>
                <w:szCs w:val="18"/>
              </w:rPr>
              <w:t>S</w:t>
            </w:r>
            <w:r w:rsidRPr="00432157">
              <w:rPr>
                <w:b/>
                <w:bCs/>
                <w:sz w:val="18"/>
                <w:szCs w:val="18"/>
              </w:rPr>
              <w:t>ubsidies</w:t>
            </w:r>
          </w:p>
        </w:tc>
        <w:tc>
          <w:tcPr>
            <w:tcW w:w="4869" w:type="dxa"/>
          </w:tcPr>
          <w:p w14:paraId="6133CDED" w14:textId="77777777" w:rsidR="00D255B4" w:rsidRPr="00432157" w:rsidRDefault="00D255B4" w:rsidP="00933F86">
            <w:pPr>
              <w:rPr>
                <w:rFonts w:cstheme="minorHAnsi"/>
                <w:sz w:val="18"/>
                <w:szCs w:val="18"/>
              </w:rPr>
            </w:pPr>
            <w:r w:rsidRPr="00432157">
              <w:rPr>
                <w:sz w:val="18"/>
                <w:szCs w:val="18"/>
              </w:rPr>
              <w:t>Reduces directly or indirectly the use of something that has a proven, specific negative impact on the environment</w:t>
            </w:r>
          </w:p>
        </w:tc>
        <w:tc>
          <w:tcPr>
            <w:tcW w:w="3410" w:type="dxa"/>
          </w:tcPr>
          <w:p w14:paraId="1B6FEB65" w14:textId="77777777" w:rsidR="00D255B4" w:rsidRPr="000B6929" w:rsidRDefault="00D255B4" w:rsidP="00933F86">
            <w:pPr>
              <w:rPr>
                <w:sz w:val="18"/>
                <w:szCs w:val="18"/>
              </w:rPr>
            </w:pPr>
            <w:r>
              <w:rPr>
                <w:sz w:val="18"/>
                <w:szCs w:val="18"/>
              </w:rPr>
              <w:t>Yes, distinction could be made of two sub-categories: subsidies (e.g. for organic farming and lead paint removal) and subsidy removal (e.g. for the use of fertilizers and pesticides)</w:t>
            </w:r>
          </w:p>
        </w:tc>
      </w:tr>
      <w:tr w:rsidR="00D255B4" w:rsidRPr="00432157" w14:paraId="21EB8AA7" w14:textId="77777777" w:rsidTr="00933F86">
        <w:tc>
          <w:tcPr>
            <w:tcW w:w="1071" w:type="dxa"/>
          </w:tcPr>
          <w:p w14:paraId="187A6B77" w14:textId="77777777" w:rsidR="00D255B4" w:rsidRPr="00432157" w:rsidRDefault="00D255B4" w:rsidP="00933F86">
            <w:pPr>
              <w:rPr>
                <w:rFonts w:cstheme="minorHAnsi"/>
                <w:b/>
                <w:bCs/>
                <w:sz w:val="18"/>
                <w:szCs w:val="18"/>
              </w:rPr>
            </w:pPr>
            <w:r w:rsidRPr="00432157">
              <w:rPr>
                <w:b/>
                <w:bCs/>
                <w:sz w:val="18"/>
                <w:szCs w:val="18"/>
              </w:rPr>
              <w:t>Voluntary approaches</w:t>
            </w:r>
          </w:p>
        </w:tc>
        <w:tc>
          <w:tcPr>
            <w:tcW w:w="4869" w:type="dxa"/>
          </w:tcPr>
          <w:p w14:paraId="2B7975A5" w14:textId="77777777" w:rsidR="00D255B4" w:rsidRPr="00432157" w:rsidRDefault="00D255B4" w:rsidP="00933F86">
            <w:pPr>
              <w:rPr>
                <w:rFonts w:cstheme="minorHAnsi"/>
                <w:sz w:val="18"/>
                <w:szCs w:val="18"/>
              </w:rPr>
            </w:pPr>
            <w:r w:rsidRPr="00432157">
              <w:rPr>
                <w:sz w:val="18"/>
                <w:szCs w:val="18"/>
              </w:rPr>
              <w:t>All voluntary instruments whereby firms or industries make commitments to improve their environmental performance beyond what the law demands</w:t>
            </w:r>
          </w:p>
        </w:tc>
        <w:tc>
          <w:tcPr>
            <w:tcW w:w="3410" w:type="dxa"/>
          </w:tcPr>
          <w:p w14:paraId="6DA3045E" w14:textId="77777777" w:rsidR="00D255B4" w:rsidRPr="00432157" w:rsidRDefault="00D255B4" w:rsidP="00933F86">
            <w:pPr>
              <w:rPr>
                <w:sz w:val="18"/>
                <w:szCs w:val="18"/>
              </w:rPr>
            </w:pPr>
            <w:r>
              <w:rPr>
                <w:sz w:val="18"/>
                <w:szCs w:val="18"/>
              </w:rPr>
              <w:t>Yes, but not considered in this context</w:t>
            </w:r>
          </w:p>
        </w:tc>
      </w:tr>
    </w:tbl>
    <w:p w14:paraId="6432EFEC" w14:textId="77777777" w:rsidR="00D255B4" w:rsidRDefault="00D255B4" w:rsidP="00D255B4">
      <w:pPr>
        <w:jc w:val="both"/>
        <w:rPr>
          <w:rFonts w:cstheme="minorHAnsi"/>
          <w:b/>
          <w:bCs/>
        </w:rPr>
      </w:pPr>
    </w:p>
    <w:p w14:paraId="112B26F9" w14:textId="77777777" w:rsidR="00D255B4" w:rsidRDefault="00D255B4" w:rsidP="00D255B4">
      <w:pPr>
        <w:jc w:val="both"/>
        <w:rPr>
          <w:rFonts w:cstheme="minorHAnsi"/>
        </w:rPr>
      </w:pPr>
      <w:r>
        <w:rPr>
          <w:rFonts w:cstheme="minorHAnsi"/>
        </w:rPr>
        <w:t>An analysis of economic instruments in the Pine database identified 113 applications relevant to chemicals and waste: 45 taxes, 50 fees, 15 deposit-refund systems and 3 tradable permit systems (</w:t>
      </w:r>
      <w:proofErr w:type="spellStart"/>
      <w:r>
        <w:rPr>
          <w:rFonts w:cstheme="minorHAnsi"/>
        </w:rPr>
        <w:t>Slunge</w:t>
      </w:r>
      <w:proofErr w:type="spellEnd"/>
      <w:r>
        <w:rPr>
          <w:rFonts w:cstheme="minorHAnsi"/>
        </w:rPr>
        <w:t xml:space="preserve"> &amp; </w:t>
      </w:r>
      <w:proofErr w:type="spellStart"/>
      <w:r>
        <w:rPr>
          <w:rFonts w:cstheme="minorHAnsi"/>
        </w:rPr>
        <w:t>Alpizar</w:t>
      </w:r>
      <w:proofErr w:type="spellEnd"/>
      <w:r>
        <w:rPr>
          <w:rFonts w:cstheme="minorHAnsi"/>
        </w:rPr>
        <w:t xml:space="preserve">, 2019). This covers only 3.3 percent of all the applications in the Pine database, </w:t>
      </w:r>
      <w:r w:rsidRPr="00D64BCD">
        <w:rPr>
          <w:rFonts w:cstheme="minorHAnsi"/>
        </w:rPr>
        <w:t>indicat</w:t>
      </w:r>
      <w:r>
        <w:rPr>
          <w:rFonts w:cstheme="minorHAnsi"/>
        </w:rPr>
        <w:t>ing</w:t>
      </w:r>
      <w:r w:rsidRPr="00D64BCD">
        <w:rPr>
          <w:rFonts w:cstheme="minorHAnsi"/>
        </w:rPr>
        <w:t xml:space="preserve"> that the use of </w:t>
      </w:r>
      <w:r>
        <w:rPr>
          <w:rFonts w:cstheme="minorHAnsi"/>
        </w:rPr>
        <w:t xml:space="preserve">economic </w:t>
      </w:r>
      <w:r w:rsidRPr="00D64BCD">
        <w:rPr>
          <w:rFonts w:cstheme="minorHAnsi"/>
        </w:rPr>
        <w:t>instruments for chemicals management is relatively limited</w:t>
      </w:r>
      <w:r>
        <w:rPr>
          <w:rFonts w:cstheme="minorHAnsi"/>
        </w:rPr>
        <w:t>.</w:t>
      </w:r>
      <w:r w:rsidRPr="00D64BCD">
        <w:rPr>
          <w:rFonts w:cstheme="minorHAnsi"/>
        </w:rPr>
        <w:t xml:space="preserve"> </w:t>
      </w:r>
      <w:r>
        <w:rPr>
          <w:rFonts w:cstheme="minorHAnsi"/>
        </w:rPr>
        <w:t xml:space="preserve"> Undoubtedly, many more applications exist, but due to the absence of a specific domain allocated to chemicals and waste they are, arguably, less likely to find their way into the database compared to areas followed-up systematically. </w:t>
      </w:r>
    </w:p>
    <w:p w14:paraId="3F82EA0F" w14:textId="77777777" w:rsidR="00D255B4" w:rsidRDefault="00D255B4" w:rsidP="00D255B4">
      <w:pPr>
        <w:jc w:val="both"/>
        <w:rPr>
          <w:rFonts w:cstheme="minorHAnsi"/>
          <w:b/>
          <w:bCs/>
        </w:rPr>
      </w:pPr>
    </w:p>
    <w:p w14:paraId="1C5A25DB" w14:textId="77777777" w:rsidR="00D255B4" w:rsidRDefault="00D255B4" w:rsidP="00D255B4">
      <w:pPr>
        <w:jc w:val="both"/>
        <w:rPr>
          <w:rFonts w:cstheme="minorHAnsi"/>
        </w:rPr>
      </w:pPr>
      <w:r>
        <w:rPr>
          <w:rFonts w:cstheme="minorHAnsi"/>
        </w:rPr>
        <w:t xml:space="preserve">An analysis by </w:t>
      </w:r>
      <w:proofErr w:type="spellStart"/>
      <w:r>
        <w:rPr>
          <w:rFonts w:cstheme="minorHAnsi"/>
        </w:rPr>
        <w:t>Slunge</w:t>
      </w:r>
      <w:proofErr w:type="spellEnd"/>
      <w:r>
        <w:rPr>
          <w:rFonts w:cstheme="minorHAnsi"/>
        </w:rPr>
        <w:t xml:space="preserve"> and </w:t>
      </w:r>
      <w:proofErr w:type="spellStart"/>
      <w:r>
        <w:rPr>
          <w:rFonts w:cstheme="minorHAnsi"/>
        </w:rPr>
        <w:t>Alpizar</w:t>
      </w:r>
      <w:proofErr w:type="spellEnd"/>
      <w:r>
        <w:rPr>
          <w:rFonts w:cstheme="minorHAnsi"/>
        </w:rPr>
        <w:t xml:space="preserve"> (2019) shows that economic instruments can be applied to all stages of the lifecycle of chemicals, but most commonly are used for hazardous wastes (Figure 1). Taxes, </w:t>
      </w:r>
      <w:r w:rsidRPr="00D64BCD">
        <w:rPr>
          <w:rFonts w:cstheme="minorHAnsi"/>
        </w:rPr>
        <w:t xml:space="preserve">fees and deposit-refund systems are frequently applied for products such as </w:t>
      </w:r>
      <w:bookmarkStart w:id="19" w:name="_Hlk17640497"/>
      <w:r w:rsidRPr="00D64BCD">
        <w:rPr>
          <w:rFonts w:cstheme="minorHAnsi"/>
        </w:rPr>
        <w:t>tires, batteries, accumulators, electrical and electronic products, vehicles, and other aspects of hazardous waste management.</w:t>
      </w:r>
      <w:bookmarkEnd w:id="19"/>
      <w:r w:rsidRPr="00D64BCD">
        <w:rPr>
          <w:rFonts w:cstheme="minorHAnsi"/>
        </w:rPr>
        <w:t xml:space="preserve"> </w:t>
      </w:r>
      <w:r>
        <w:rPr>
          <w:rFonts w:cstheme="minorHAnsi"/>
        </w:rPr>
        <w:t>Some</w:t>
      </w:r>
      <w:r w:rsidRPr="00D64BCD">
        <w:rPr>
          <w:rFonts w:cstheme="minorHAnsi"/>
        </w:rPr>
        <w:t xml:space="preserve"> countries also use charges or deposit-refund systems for containers made for pesticides and other chemicals. </w:t>
      </w:r>
      <w:r>
        <w:rPr>
          <w:rFonts w:cstheme="minorHAnsi"/>
        </w:rPr>
        <w:t>L</w:t>
      </w:r>
      <w:r w:rsidRPr="00D64BCD">
        <w:rPr>
          <w:rFonts w:cstheme="minorHAnsi"/>
        </w:rPr>
        <w:t xml:space="preserve">ess </w:t>
      </w:r>
      <w:r>
        <w:rPr>
          <w:rFonts w:cstheme="minorHAnsi"/>
        </w:rPr>
        <w:t>common are t</w:t>
      </w:r>
      <w:r w:rsidRPr="00D64BCD">
        <w:rPr>
          <w:rFonts w:cstheme="minorHAnsi"/>
        </w:rPr>
        <w:t>axes and charges imposed on pesticides, fertilizers, ozone-depleting substances and chlorinated solvents</w:t>
      </w:r>
      <w:r>
        <w:rPr>
          <w:rFonts w:cstheme="minorHAnsi"/>
        </w:rPr>
        <w:t>. T</w:t>
      </w:r>
      <w:r w:rsidRPr="00D64BCD">
        <w:rPr>
          <w:rFonts w:cstheme="minorHAnsi"/>
        </w:rPr>
        <w:t xml:space="preserve">radable permit systems </w:t>
      </w:r>
      <w:r>
        <w:rPr>
          <w:rFonts w:cstheme="minorHAnsi"/>
        </w:rPr>
        <w:t xml:space="preserve">were </w:t>
      </w:r>
      <w:r w:rsidRPr="00D64BCD">
        <w:rPr>
          <w:rFonts w:cstheme="minorHAnsi"/>
        </w:rPr>
        <w:t xml:space="preserve">found </w:t>
      </w:r>
      <w:r>
        <w:rPr>
          <w:rFonts w:cstheme="minorHAnsi"/>
        </w:rPr>
        <w:t xml:space="preserve">only </w:t>
      </w:r>
      <w:r w:rsidRPr="00D64BCD">
        <w:rPr>
          <w:rFonts w:cstheme="minorHAnsi"/>
        </w:rPr>
        <w:t xml:space="preserve">for ozone-depleting substances and chlorinated solvents. </w:t>
      </w:r>
    </w:p>
    <w:p w14:paraId="496B0552" w14:textId="77777777" w:rsidR="00D255B4" w:rsidRPr="00D64BCD" w:rsidRDefault="00D255B4" w:rsidP="00D255B4">
      <w:pPr>
        <w:jc w:val="both"/>
        <w:rPr>
          <w:rFonts w:cstheme="minorHAnsi"/>
        </w:rPr>
      </w:pPr>
    </w:p>
    <w:p w14:paraId="29B7EE90" w14:textId="77777777" w:rsidR="00D255B4" w:rsidRDefault="00D255B4" w:rsidP="00D255B4">
      <w:pPr>
        <w:jc w:val="both"/>
        <w:rPr>
          <w:rFonts w:cstheme="minorHAnsi"/>
          <w:b/>
          <w:bCs/>
        </w:rPr>
      </w:pPr>
      <w:r>
        <w:rPr>
          <w:rFonts w:cstheme="minorHAnsi"/>
          <w:b/>
          <w:bCs/>
          <w:noProof/>
        </w:rPr>
        <w:lastRenderedPageBreak/>
        <w:drawing>
          <wp:inline distT="0" distB="0" distL="0" distR="0" wp14:anchorId="49182C35" wp14:editId="3F64D3E8">
            <wp:extent cx="5941060" cy="324675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1060" cy="3246755"/>
                    </a:xfrm>
                    <a:prstGeom prst="rect">
                      <a:avLst/>
                    </a:prstGeom>
                    <a:noFill/>
                    <a:ln>
                      <a:noFill/>
                    </a:ln>
                  </pic:spPr>
                </pic:pic>
              </a:graphicData>
            </a:graphic>
          </wp:inline>
        </w:drawing>
      </w:r>
    </w:p>
    <w:p w14:paraId="1047C0A4" w14:textId="77777777" w:rsidR="00D255B4" w:rsidRDefault="00D255B4" w:rsidP="00D255B4">
      <w:pPr>
        <w:jc w:val="both"/>
        <w:rPr>
          <w:rFonts w:cstheme="minorHAnsi"/>
          <w:b/>
          <w:bCs/>
        </w:rPr>
      </w:pPr>
    </w:p>
    <w:p w14:paraId="2BB5FB24" w14:textId="77777777" w:rsidR="00D255B4" w:rsidRPr="00086321" w:rsidRDefault="00D255B4" w:rsidP="00D255B4">
      <w:pPr>
        <w:jc w:val="both"/>
        <w:rPr>
          <w:rFonts w:cstheme="minorHAnsi"/>
        </w:rPr>
      </w:pPr>
      <w:r w:rsidRPr="00086321">
        <w:rPr>
          <w:rFonts w:cstheme="minorHAnsi"/>
          <w:b/>
          <w:bCs/>
        </w:rPr>
        <w:t xml:space="preserve">Figure </w:t>
      </w:r>
      <w:r>
        <w:rPr>
          <w:rFonts w:cstheme="minorHAnsi"/>
          <w:b/>
          <w:bCs/>
        </w:rPr>
        <w:t>1</w:t>
      </w:r>
      <w:r w:rsidRPr="00086321">
        <w:rPr>
          <w:rFonts w:cstheme="minorHAnsi"/>
          <w:b/>
          <w:bCs/>
        </w:rPr>
        <w:t>.</w:t>
      </w:r>
      <w:r w:rsidRPr="00086321">
        <w:rPr>
          <w:rFonts w:cstheme="minorHAnsi"/>
        </w:rPr>
        <w:t xml:space="preserve"> Number of countries using </w:t>
      </w:r>
      <w:r>
        <w:rPr>
          <w:rFonts w:cstheme="minorHAnsi"/>
        </w:rPr>
        <w:t>economic</w:t>
      </w:r>
      <w:r w:rsidRPr="00086321">
        <w:rPr>
          <w:rFonts w:cstheme="minorHAnsi"/>
        </w:rPr>
        <w:t xml:space="preserve"> instruments in chemicals management, based on the Pine database</w:t>
      </w:r>
      <w:r>
        <w:rPr>
          <w:rFonts w:cstheme="minorHAnsi"/>
        </w:rPr>
        <w:t xml:space="preserve"> (</w:t>
      </w:r>
      <w:proofErr w:type="spellStart"/>
      <w:r>
        <w:rPr>
          <w:rFonts w:cstheme="minorHAnsi"/>
        </w:rPr>
        <w:t>Slunge</w:t>
      </w:r>
      <w:proofErr w:type="spellEnd"/>
      <w:r>
        <w:rPr>
          <w:rFonts w:cstheme="minorHAnsi"/>
        </w:rPr>
        <w:t xml:space="preserve"> &amp; </w:t>
      </w:r>
      <w:proofErr w:type="spellStart"/>
      <w:r>
        <w:rPr>
          <w:rFonts w:cstheme="minorHAnsi"/>
        </w:rPr>
        <w:t>Alpizar</w:t>
      </w:r>
      <w:proofErr w:type="spellEnd"/>
      <w:r>
        <w:rPr>
          <w:rFonts w:cstheme="minorHAnsi"/>
        </w:rPr>
        <w:t>, 2019)</w:t>
      </w:r>
      <w:r w:rsidRPr="00086321">
        <w:rPr>
          <w:rFonts w:cstheme="minorHAnsi"/>
        </w:rPr>
        <w:t xml:space="preserve">. </w:t>
      </w:r>
    </w:p>
    <w:p w14:paraId="7F706A51" w14:textId="77777777" w:rsidR="00D255B4" w:rsidRDefault="00D255B4" w:rsidP="00D255B4">
      <w:pPr>
        <w:jc w:val="both"/>
        <w:rPr>
          <w:rFonts w:cstheme="minorHAnsi"/>
          <w:b/>
          <w:bCs/>
        </w:rPr>
      </w:pPr>
    </w:p>
    <w:p w14:paraId="16ABA841" w14:textId="77777777" w:rsidR="00D255B4" w:rsidRDefault="00D255B4" w:rsidP="00D255B4">
      <w:pPr>
        <w:jc w:val="both"/>
        <w:rPr>
          <w:rFonts w:cstheme="minorHAnsi"/>
          <w:b/>
          <w:bCs/>
        </w:rPr>
      </w:pPr>
    </w:p>
    <w:p w14:paraId="52627EC8" w14:textId="77777777" w:rsidR="00D255B4" w:rsidRDefault="00D255B4" w:rsidP="00D255B4">
      <w:pPr>
        <w:pStyle w:val="Heading2"/>
      </w:pPr>
      <w:bookmarkStart w:id="20" w:name="_Toc19213824"/>
      <w:r>
        <w:t>5.1 Taxes and fees</w:t>
      </w:r>
      <w:bookmarkEnd w:id="20"/>
      <w:r>
        <w:t xml:space="preserve"> </w:t>
      </w:r>
    </w:p>
    <w:p w14:paraId="27A6AF33" w14:textId="77777777" w:rsidR="00D255B4" w:rsidRDefault="00D255B4" w:rsidP="00D255B4">
      <w:pPr>
        <w:jc w:val="both"/>
        <w:rPr>
          <w:rFonts w:cstheme="minorHAnsi"/>
          <w:b/>
          <w:bCs/>
        </w:rPr>
      </w:pPr>
    </w:p>
    <w:p w14:paraId="409C0AA0" w14:textId="77777777" w:rsidR="00D255B4" w:rsidRPr="004A40B1" w:rsidRDefault="00D255B4" w:rsidP="00D255B4">
      <w:pPr>
        <w:jc w:val="both"/>
        <w:rPr>
          <w:rFonts w:cstheme="minorHAnsi"/>
        </w:rPr>
      </w:pPr>
      <w:r>
        <w:rPr>
          <w:rFonts w:cstheme="minorHAnsi"/>
        </w:rPr>
        <w:t>T</w:t>
      </w:r>
      <w:r w:rsidRPr="004A40B1">
        <w:rPr>
          <w:rFonts w:cstheme="minorHAnsi"/>
        </w:rPr>
        <w:t xml:space="preserve">his section </w:t>
      </w:r>
      <w:r>
        <w:rPr>
          <w:rFonts w:cstheme="minorHAnsi"/>
        </w:rPr>
        <w:t xml:space="preserve">provides examples of different types of taxes and fees without distinguishing between the two. These are different vehicles, however: </w:t>
      </w:r>
      <w:r>
        <w:t>fees are paid as compensation to cover costs of general or specific public administrative services, whereas taxes refer to a payment by law from persons, groups or companies in order to provide the state and municipalities with revenue (UNEP, 2019c). In essence, f</w:t>
      </w:r>
      <w:r w:rsidRPr="00D0770A">
        <w:rPr>
          <w:rFonts w:cstheme="minorHAnsi"/>
        </w:rPr>
        <w:t>ees are earmarked for</w:t>
      </w:r>
      <w:r>
        <w:rPr>
          <w:rFonts w:cstheme="minorHAnsi"/>
        </w:rPr>
        <w:t xml:space="preserve"> provision of </w:t>
      </w:r>
      <w:r w:rsidRPr="00D0770A">
        <w:rPr>
          <w:rFonts w:cstheme="minorHAnsi"/>
        </w:rPr>
        <w:t>certain services, whereas</w:t>
      </w:r>
      <w:r>
        <w:rPr>
          <w:rFonts w:cstheme="minorHAnsi"/>
        </w:rPr>
        <w:t xml:space="preserve">, taxes are not.  </w:t>
      </w:r>
    </w:p>
    <w:p w14:paraId="3D506076" w14:textId="77777777" w:rsidR="00D255B4" w:rsidRDefault="00D255B4" w:rsidP="00D255B4">
      <w:pPr>
        <w:jc w:val="both"/>
        <w:rPr>
          <w:rFonts w:cstheme="minorHAnsi"/>
          <w:b/>
          <w:bCs/>
        </w:rPr>
      </w:pPr>
    </w:p>
    <w:p w14:paraId="4F915B85" w14:textId="77777777" w:rsidR="00D255B4" w:rsidRDefault="00D255B4" w:rsidP="00D255B4">
      <w:pPr>
        <w:jc w:val="both"/>
        <w:rPr>
          <w:rFonts w:cstheme="minorHAnsi"/>
          <w:b/>
          <w:bCs/>
        </w:rPr>
      </w:pPr>
    </w:p>
    <w:p w14:paraId="1670D031" w14:textId="77777777" w:rsidR="00D255B4" w:rsidRPr="00F520D8" w:rsidRDefault="00D255B4" w:rsidP="00D255B4">
      <w:pPr>
        <w:rPr>
          <w:i/>
          <w:iCs/>
        </w:rPr>
      </w:pPr>
      <w:bookmarkStart w:id="21" w:name="_Hlk17218080"/>
      <w:r>
        <w:rPr>
          <w:i/>
          <w:iCs/>
        </w:rPr>
        <w:t xml:space="preserve">Flame retardants </w:t>
      </w:r>
    </w:p>
    <w:p w14:paraId="00EF973C" w14:textId="77777777" w:rsidR="00D255B4" w:rsidRDefault="00D255B4" w:rsidP="00D255B4">
      <w:pPr>
        <w:jc w:val="both"/>
        <w:rPr>
          <w:rFonts w:cstheme="minorHAnsi"/>
        </w:rPr>
      </w:pPr>
    </w:p>
    <w:p w14:paraId="02898B74" w14:textId="77777777" w:rsidR="00D255B4" w:rsidRPr="004457BD" w:rsidRDefault="00D255B4" w:rsidP="00D255B4">
      <w:pPr>
        <w:jc w:val="both"/>
        <w:rPr>
          <w:rFonts w:cstheme="minorHAnsi"/>
        </w:rPr>
      </w:pPr>
      <w:r>
        <w:rPr>
          <w:rFonts w:cstheme="minorHAnsi"/>
        </w:rPr>
        <w:t xml:space="preserve">Many consumer commodities </w:t>
      </w:r>
      <w:r w:rsidRPr="004457BD">
        <w:rPr>
          <w:rFonts w:cstheme="minorHAnsi"/>
        </w:rPr>
        <w:t xml:space="preserve">contain flame retardants </w:t>
      </w:r>
      <w:r>
        <w:rPr>
          <w:rFonts w:cstheme="minorHAnsi"/>
        </w:rPr>
        <w:t>some of which are linked to serious health effects, including endocrine disrupting effects (UNEP, 2019a)</w:t>
      </w:r>
      <w:r w:rsidRPr="00C74955">
        <w:rPr>
          <w:rFonts w:cstheme="minorHAnsi"/>
        </w:rPr>
        <w:t xml:space="preserve">. </w:t>
      </w:r>
      <w:r>
        <w:rPr>
          <w:rFonts w:cstheme="minorHAnsi"/>
        </w:rPr>
        <w:t xml:space="preserve">Halogenated options based on </w:t>
      </w:r>
      <w:r w:rsidRPr="004457BD">
        <w:rPr>
          <w:rFonts w:cstheme="minorHAnsi"/>
        </w:rPr>
        <w:t xml:space="preserve">chlorine and bromine compounds are considered more hazardous </w:t>
      </w:r>
      <w:r>
        <w:rPr>
          <w:rFonts w:cstheme="minorHAnsi"/>
        </w:rPr>
        <w:t xml:space="preserve">than non-halogenated options, like </w:t>
      </w:r>
      <w:r w:rsidRPr="004457BD">
        <w:rPr>
          <w:rFonts w:cstheme="minorHAnsi"/>
        </w:rPr>
        <w:t xml:space="preserve">phosphorus compounds. </w:t>
      </w:r>
      <w:r>
        <w:rPr>
          <w:rFonts w:cstheme="minorHAnsi"/>
        </w:rPr>
        <w:t xml:space="preserve">In cases like these, taxation can help countries to transition to safer alternatives. For example, </w:t>
      </w:r>
      <w:r w:rsidRPr="004457BD">
        <w:rPr>
          <w:rFonts w:cstheme="minorHAnsi"/>
        </w:rPr>
        <w:t>Sweden has pioneered a tax aiming to encourage the substitution of hazardous flame retardants in electrical and electronic products</w:t>
      </w:r>
      <w:r>
        <w:rPr>
          <w:rFonts w:cstheme="minorHAnsi"/>
        </w:rPr>
        <w:t xml:space="preserve"> with less harmful alternatives. Although</w:t>
      </w:r>
      <w:r w:rsidRPr="004457BD">
        <w:rPr>
          <w:rFonts w:cstheme="minorHAnsi"/>
        </w:rPr>
        <w:t xml:space="preserve"> </w:t>
      </w:r>
      <w:r>
        <w:rPr>
          <w:rFonts w:cstheme="minorHAnsi"/>
        </w:rPr>
        <w:t>the tax has recently come into force so has</w:t>
      </w:r>
      <w:r w:rsidRPr="004457BD">
        <w:rPr>
          <w:rFonts w:cstheme="minorHAnsi"/>
        </w:rPr>
        <w:t xml:space="preserve"> not yet been evaluated, </w:t>
      </w:r>
      <w:r>
        <w:rPr>
          <w:rFonts w:cstheme="minorHAnsi"/>
        </w:rPr>
        <w:t>it</w:t>
      </w:r>
      <w:r w:rsidRPr="004457BD">
        <w:rPr>
          <w:rFonts w:cstheme="minorHAnsi"/>
        </w:rPr>
        <w:t xml:space="preserve"> arguably</w:t>
      </w:r>
      <w:r>
        <w:rPr>
          <w:rFonts w:cstheme="minorHAnsi"/>
        </w:rPr>
        <w:t xml:space="preserve"> </w:t>
      </w:r>
      <w:r w:rsidRPr="004457BD">
        <w:rPr>
          <w:rFonts w:cstheme="minorHAnsi"/>
        </w:rPr>
        <w:t>provides a strong incentive for subs</w:t>
      </w:r>
      <w:r>
        <w:rPr>
          <w:rFonts w:cstheme="minorHAnsi"/>
        </w:rPr>
        <w:t>titution</w:t>
      </w:r>
      <w:r w:rsidRPr="004457BD">
        <w:rPr>
          <w:rFonts w:cstheme="minorHAnsi"/>
        </w:rPr>
        <w:t xml:space="preserve"> </w:t>
      </w:r>
      <w:r>
        <w:rPr>
          <w:rFonts w:cstheme="minorHAnsi"/>
        </w:rPr>
        <w:t xml:space="preserve">with less harmful additives </w:t>
      </w:r>
      <w:r w:rsidRPr="004457BD">
        <w:rPr>
          <w:rFonts w:cstheme="minorHAnsi"/>
        </w:rPr>
        <w:t xml:space="preserve">and </w:t>
      </w:r>
      <w:r>
        <w:rPr>
          <w:rFonts w:cstheme="minorHAnsi"/>
        </w:rPr>
        <w:t xml:space="preserve">more sustainable </w:t>
      </w:r>
      <w:r w:rsidRPr="004457BD">
        <w:rPr>
          <w:rFonts w:cstheme="minorHAnsi"/>
        </w:rPr>
        <w:t>product design.</w:t>
      </w:r>
      <w:r>
        <w:rPr>
          <w:rFonts w:cstheme="minorHAnsi"/>
        </w:rPr>
        <w:t xml:space="preserve"> </w:t>
      </w:r>
    </w:p>
    <w:tbl>
      <w:tblPr>
        <w:tblStyle w:val="TableGrid"/>
        <w:tblpPr w:leftFromText="180" w:rightFromText="180" w:vertAnchor="text" w:horzAnchor="margin" w:tblpY="194"/>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18B11284" w14:textId="77777777" w:rsidTr="00933F86">
        <w:trPr>
          <w:trHeight w:val="2816"/>
        </w:trPr>
        <w:tc>
          <w:tcPr>
            <w:tcW w:w="9350" w:type="dxa"/>
          </w:tcPr>
          <w:p w14:paraId="71B78C86" w14:textId="77777777" w:rsidR="00D255B4" w:rsidRPr="00E03755" w:rsidRDefault="00D255B4" w:rsidP="00933F86">
            <w:pPr>
              <w:jc w:val="both"/>
              <w:rPr>
                <w:rFonts w:cstheme="minorHAnsi"/>
                <w:b/>
                <w:bCs/>
                <w:sz w:val="20"/>
                <w:szCs w:val="20"/>
              </w:rPr>
            </w:pPr>
            <w:r w:rsidRPr="00E03755">
              <w:rPr>
                <w:rFonts w:cstheme="minorHAnsi"/>
                <w:b/>
                <w:bCs/>
                <w:sz w:val="20"/>
                <w:szCs w:val="20"/>
              </w:rPr>
              <w:lastRenderedPageBreak/>
              <w:t xml:space="preserve">EXAMPLE 6: Tax on flame retardants in electronics and electrical products in Sweden </w:t>
            </w:r>
          </w:p>
          <w:p w14:paraId="2996DC8A" w14:textId="77777777" w:rsidR="00D255B4" w:rsidRPr="00293CA5" w:rsidRDefault="00D255B4" w:rsidP="00933F86">
            <w:pPr>
              <w:jc w:val="both"/>
              <w:rPr>
                <w:rFonts w:cstheme="minorHAnsi"/>
                <w:sz w:val="20"/>
                <w:szCs w:val="20"/>
              </w:rPr>
            </w:pPr>
          </w:p>
          <w:p w14:paraId="1B975BFF" w14:textId="77777777" w:rsidR="00D255B4" w:rsidRPr="00071740" w:rsidRDefault="00D255B4" w:rsidP="00933F86">
            <w:pPr>
              <w:jc w:val="both"/>
              <w:rPr>
                <w:rFonts w:cstheme="minorHAnsi"/>
                <w:i/>
                <w:iCs/>
                <w:sz w:val="20"/>
                <w:szCs w:val="20"/>
              </w:rPr>
            </w:pPr>
            <w:r w:rsidRPr="00071740">
              <w:rPr>
                <w:rFonts w:cstheme="minorHAnsi"/>
                <w:sz w:val="20"/>
                <w:szCs w:val="20"/>
              </w:rPr>
              <w:t xml:space="preserve">In July 2017, Sweden introduced a tax on hazardous flame retardants in electronic </w:t>
            </w:r>
            <w:r>
              <w:rPr>
                <w:rFonts w:cstheme="minorHAnsi"/>
                <w:sz w:val="20"/>
                <w:szCs w:val="20"/>
              </w:rPr>
              <w:t xml:space="preserve">and electrical </w:t>
            </w:r>
            <w:r w:rsidRPr="00071740">
              <w:rPr>
                <w:rFonts w:cstheme="minorHAnsi"/>
                <w:sz w:val="20"/>
                <w:szCs w:val="20"/>
              </w:rPr>
              <w:t>products to incenti</w:t>
            </w:r>
            <w:r>
              <w:rPr>
                <w:rFonts w:cstheme="minorHAnsi"/>
                <w:sz w:val="20"/>
                <w:szCs w:val="20"/>
              </w:rPr>
              <w:t>vize</w:t>
            </w:r>
            <w:r w:rsidRPr="00071740">
              <w:rPr>
                <w:rFonts w:cstheme="minorHAnsi"/>
                <w:sz w:val="20"/>
                <w:szCs w:val="20"/>
              </w:rPr>
              <w:t xml:space="preserve"> their substitution with less hazardous alternatives. Producers and importers of electronics and electrical products</w:t>
            </w:r>
            <w:r w:rsidRPr="00071740">
              <w:rPr>
                <w:rFonts w:cstheme="minorHAnsi"/>
                <w:b/>
                <w:bCs/>
                <w:i/>
                <w:iCs/>
                <w:sz w:val="20"/>
                <w:szCs w:val="20"/>
              </w:rPr>
              <w:t xml:space="preserve"> </w:t>
            </w:r>
            <w:r w:rsidRPr="00071740">
              <w:rPr>
                <w:rFonts w:cstheme="minorHAnsi"/>
                <w:sz w:val="20"/>
                <w:szCs w:val="20"/>
              </w:rPr>
              <w:t xml:space="preserve">pay a tax that is calculated on the weight of the goods </w:t>
            </w:r>
            <w:r>
              <w:rPr>
                <w:rFonts w:cstheme="minorHAnsi"/>
                <w:sz w:val="20"/>
                <w:szCs w:val="20"/>
              </w:rPr>
              <w:t>amounting to</w:t>
            </w:r>
            <w:r w:rsidRPr="00071740">
              <w:rPr>
                <w:rFonts w:cstheme="minorHAnsi"/>
                <w:sz w:val="20"/>
                <w:szCs w:val="20"/>
              </w:rPr>
              <w:t xml:space="preserve"> EUR 1 per kilo for kitchen appliances and EUR 15 per kilo for other electronics. The tax is limited to a maximum of </w:t>
            </w:r>
            <w:r>
              <w:rPr>
                <w:rFonts w:cstheme="minorHAnsi"/>
                <w:sz w:val="20"/>
                <w:szCs w:val="20"/>
              </w:rPr>
              <w:t xml:space="preserve">EUR </w:t>
            </w:r>
            <w:r w:rsidRPr="00071740">
              <w:rPr>
                <w:rFonts w:cstheme="minorHAnsi"/>
                <w:sz w:val="20"/>
                <w:szCs w:val="20"/>
              </w:rPr>
              <w:t xml:space="preserve">42 per item. Producers and importers receive a </w:t>
            </w:r>
            <w:r w:rsidRPr="00071740">
              <w:rPr>
                <w:rFonts w:cstheme="minorHAnsi"/>
                <w:sz w:val="20"/>
                <w:szCs w:val="20"/>
                <w:shd w:val="clear" w:color="auto" w:fill="FFFFFF"/>
              </w:rPr>
              <w:t>tax deduction based on two factors: wh</w:t>
            </w:r>
            <w:r>
              <w:rPr>
                <w:rFonts w:cstheme="minorHAnsi"/>
                <w:sz w:val="20"/>
                <w:szCs w:val="20"/>
                <w:shd w:val="clear" w:color="auto" w:fill="FFFFFF"/>
              </w:rPr>
              <w:t>ich</w:t>
            </w:r>
            <w:r w:rsidRPr="00071740">
              <w:rPr>
                <w:rFonts w:cstheme="minorHAnsi"/>
                <w:sz w:val="20"/>
                <w:szCs w:val="20"/>
                <w:shd w:val="clear" w:color="auto" w:fill="FFFFFF"/>
              </w:rPr>
              <w:t xml:space="preserve"> </w:t>
            </w:r>
            <w:r>
              <w:rPr>
                <w:rFonts w:cstheme="minorHAnsi"/>
                <w:sz w:val="20"/>
                <w:szCs w:val="20"/>
                <w:shd w:val="clear" w:color="auto" w:fill="FFFFFF"/>
              </w:rPr>
              <w:t xml:space="preserve">flame retardant compounds </w:t>
            </w:r>
            <w:r w:rsidRPr="00071740">
              <w:rPr>
                <w:rFonts w:cstheme="minorHAnsi"/>
                <w:sz w:val="20"/>
                <w:szCs w:val="20"/>
                <w:shd w:val="clear" w:color="auto" w:fill="FFFFFF"/>
              </w:rPr>
              <w:t>the product contain</w:t>
            </w:r>
            <w:r>
              <w:rPr>
                <w:rFonts w:cstheme="minorHAnsi"/>
                <w:sz w:val="20"/>
                <w:szCs w:val="20"/>
                <w:shd w:val="clear" w:color="auto" w:fill="FFFFFF"/>
              </w:rPr>
              <w:t>s</w:t>
            </w:r>
            <w:r w:rsidRPr="00071740">
              <w:rPr>
                <w:rFonts w:cstheme="minorHAnsi"/>
                <w:sz w:val="20"/>
                <w:szCs w:val="20"/>
                <w:shd w:val="clear" w:color="auto" w:fill="FFFFFF"/>
              </w:rPr>
              <w:t xml:space="preserve"> and if the</w:t>
            </w:r>
            <w:r>
              <w:rPr>
                <w:rFonts w:cstheme="minorHAnsi"/>
                <w:sz w:val="20"/>
                <w:szCs w:val="20"/>
                <w:shd w:val="clear" w:color="auto" w:fill="FFFFFF"/>
              </w:rPr>
              <w:t xml:space="preserve"> compounds are</w:t>
            </w:r>
            <w:r w:rsidRPr="00071740">
              <w:rPr>
                <w:rFonts w:cstheme="minorHAnsi"/>
                <w:sz w:val="20"/>
                <w:szCs w:val="20"/>
                <w:shd w:val="clear" w:color="auto" w:fill="FFFFFF"/>
              </w:rPr>
              <w:t xml:space="preserve"> additive or reactive. </w:t>
            </w:r>
            <w:r w:rsidRPr="00071740">
              <w:rPr>
                <w:rFonts w:cstheme="minorHAnsi"/>
                <w:sz w:val="20"/>
                <w:szCs w:val="20"/>
              </w:rPr>
              <w:t xml:space="preserve"> The tax deduction is 50 % if the products do not contain </w:t>
            </w:r>
            <w:r>
              <w:rPr>
                <w:rFonts w:cstheme="minorHAnsi"/>
                <w:sz w:val="20"/>
                <w:szCs w:val="20"/>
              </w:rPr>
              <w:t xml:space="preserve">additive </w:t>
            </w:r>
            <w:r w:rsidRPr="00071740">
              <w:rPr>
                <w:rFonts w:cstheme="minorHAnsi"/>
                <w:sz w:val="20"/>
                <w:szCs w:val="20"/>
              </w:rPr>
              <w:t xml:space="preserve">bromine and chlorine compounds. </w:t>
            </w:r>
            <w:r w:rsidRPr="00071740">
              <w:rPr>
                <w:rFonts w:cstheme="minorHAnsi"/>
                <w:sz w:val="20"/>
                <w:szCs w:val="20"/>
                <w:shd w:val="clear" w:color="auto" w:fill="FFFFFF"/>
              </w:rPr>
              <w:t xml:space="preserve">If the </w:t>
            </w:r>
            <w:r>
              <w:rPr>
                <w:rFonts w:cstheme="minorHAnsi"/>
                <w:sz w:val="20"/>
                <w:szCs w:val="20"/>
                <w:shd w:val="clear" w:color="auto" w:fill="FFFFFF"/>
              </w:rPr>
              <w:t>products</w:t>
            </w:r>
            <w:r w:rsidRPr="00071740">
              <w:rPr>
                <w:rFonts w:cstheme="minorHAnsi"/>
                <w:sz w:val="20"/>
                <w:szCs w:val="20"/>
                <w:shd w:val="clear" w:color="auto" w:fill="FFFFFF"/>
              </w:rPr>
              <w:t xml:space="preserve"> are, in addition, free from addit</w:t>
            </w:r>
            <w:r>
              <w:rPr>
                <w:rFonts w:cstheme="minorHAnsi"/>
                <w:sz w:val="20"/>
                <w:szCs w:val="20"/>
                <w:shd w:val="clear" w:color="auto" w:fill="FFFFFF"/>
              </w:rPr>
              <w:t>ive</w:t>
            </w:r>
            <w:r w:rsidRPr="00071740">
              <w:rPr>
                <w:rFonts w:cstheme="minorHAnsi"/>
                <w:sz w:val="20"/>
                <w:szCs w:val="20"/>
                <w:shd w:val="clear" w:color="auto" w:fill="FFFFFF"/>
              </w:rPr>
              <w:t xml:space="preserve"> phosphorus compounds and </w:t>
            </w:r>
            <w:r>
              <w:rPr>
                <w:rFonts w:cstheme="minorHAnsi"/>
                <w:sz w:val="20"/>
                <w:szCs w:val="20"/>
                <w:shd w:val="clear" w:color="auto" w:fill="FFFFFF"/>
              </w:rPr>
              <w:t>reactive</w:t>
            </w:r>
            <w:r w:rsidRPr="00071740">
              <w:rPr>
                <w:rFonts w:cstheme="minorHAnsi"/>
                <w:sz w:val="20"/>
                <w:szCs w:val="20"/>
                <w:shd w:val="clear" w:color="auto" w:fill="FFFFFF"/>
              </w:rPr>
              <w:t xml:space="preserve"> bromine and chlorine compounds, the tax deduction is 90%.</w:t>
            </w:r>
            <w:r w:rsidRPr="00071740">
              <w:rPr>
                <w:rFonts w:cstheme="minorHAnsi"/>
                <w:sz w:val="20"/>
                <w:szCs w:val="20"/>
              </w:rPr>
              <w:t xml:space="preserve"> However, </w:t>
            </w:r>
            <w:r>
              <w:rPr>
                <w:rFonts w:cstheme="minorHAnsi"/>
                <w:sz w:val="20"/>
                <w:szCs w:val="20"/>
              </w:rPr>
              <w:t xml:space="preserve">the tax </w:t>
            </w:r>
            <w:r w:rsidRPr="00071740">
              <w:rPr>
                <w:rFonts w:cstheme="minorHAnsi"/>
                <w:sz w:val="20"/>
                <w:szCs w:val="20"/>
              </w:rPr>
              <w:t xml:space="preserve">has been </w:t>
            </w:r>
            <w:r>
              <w:rPr>
                <w:rFonts w:cstheme="minorHAnsi"/>
                <w:sz w:val="20"/>
                <w:szCs w:val="20"/>
              </w:rPr>
              <w:t xml:space="preserve">questioned </w:t>
            </w:r>
            <w:r w:rsidRPr="00071740">
              <w:rPr>
                <w:rFonts w:cstheme="minorHAnsi"/>
                <w:sz w:val="20"/>
                <w:szCs w:val="20"/>
              </w:rPr>
              <w:t xml:space="preserve">by industry </w:t>
            </w:r>
            <w:r>
              <w:rPr>
                <w:rFonts w:cstheme="minorHAnsi"/>
                <w:sz w:val="20"/>
                <w:szCs w:val="20"/>
              </w:rPr>
              <w:t>as</w:t>
            </w:r>
            <w:r w:rsidRPr="00071740">
              <w:rPr>
                <w:rFonts w:cstheme="minorHAnsi"/>
                <w:sz w:val="20"/>
                <w:szCs w:val="20"/>
              </w:rPr>
              <w:t xml:space="preserve"> not being based on a comprehensive risk assessment and for being administratively burdensome (</w:t>
            </w:r>
            <w:proofErr w:type="spellStart"/>
            <w:r w:rsidRPr="00071740">
              <w:rPr>
                <w:rFonts w:cstheme="minorHAnsi"/>
                <w:sz w:val="20"/>
                <w:szCs w:val="20"/>
              </w:rPr>
              <w:t>Slunge</w:t>
            </w:r>
            <w:proofErr w:type="spellEnd"/>
            <w:r w:rsidRPr="00071740">
              <w:rPr>
                <w:rFonts w:cstheme="minorHAnsi"/>
                <w:sz w:val="20"/>
                <w:szCs w:val="20"/>
              </w:rPr>
              <w:t xml:space="preserve"> &amp; </w:t>
            </w:r>
            <w:proofErr w:type="spellStart"/>
            <w:r w:rsidRPr="00071740">
              <w:rPr>
                <w:rFonts w:cstheme="minorHAnsi"/>
                <w:sz w:val="20"/>
                <w:szCs w:val="20"/>
              </w:rPr>
              <w:t>Alpizar</w:t>
            </w:r>
            <w:proofErr w:type="spellEnd"/>
            <w:r w:rsidRPr="00071740">
              <w:rPr>
                <w:rFonts w:cstheme="minorHAnsi"/>
                <w:sz w:val="20"/>
                <w:szCs w:val="20"/>
              </w:rPr>
              <w:t xml:space="preserve">, 2019). </w:t>
            </w:r>
          </w:p>
        </w:tc>
      </w:tr>
    </w:tbl>
    <w:p w14:paraId="5C20135D" w14:textId="77777777" w:rsidR="00D255B4" w:rsidRDefault="00D255B4" w:rsidP="00D255B4">
      <w:pPr>
        <w:jc w:val="both"/>
        <w:rPr>
          <w:rFonts w:cstheme="minorHAnsi"/>
          <w:i/>
          <w:iCs/>
        </w:rPr>
      </w:pPr>
    </w:p>
    <w:p w14:paraId="5593C694" w14:textId="77777777" w:rsidR="00D255B4" w:rsidRDefault="00D255B4" w:rsidP="00D255B4">
      <w:pPr>
        <w:jc w:val="both"/>
        <w:rPr>
          <w:rFonts w:cstheme="minorHAnsi"/>
          <w:i/>
          <w:iCs/>
        </w:rPr>
      </w:pPr>
    </w:p>
    <w:bookmarkEnd w:id="21"/>
    <w:p w14:paraId="2135F5E8" w14:textId="77777777" w:rsidR="00D255B4" w:rsidRPr="004A40B1" w:rsidRDefault="00D255B4" w:rsidP="00D255B4">
      <w:pPr>
        <w:rPr>
          <w:i/>
          <w:iCs/>
        </w:rPr>
      </w:pPr>
      <w:r w:rsidRPr="004A40B1">
        <w:rPr>
          <w:i/>
          <w:iCs/>
        </w:rPr>
        <w:t xml:space="preserve">Pesticides  </w:t>
      </w:r>
    </w:p>
    <w:p w14:paraId="2E278C77" w14:textId="77777777" w:rsidR="00D255B4" w:rsidRDefault="00D255B4" w:rsidP="00D255B4">
      <w:pPr>
        <w:rPr>
          <w:rFonts w:cstheme="minorHAnsi"/>
        </w:rPr>
      </w:pPr>
    </w:p>
    <w:p w14:paraId="3E447A23" w14:textId="77777777" w:rsidR="00D255B4" w:rsidRPr="00396DF3" w:rsidRDefault="00D255B4" w:rsidP="00D255B4">
      <w:pPr>
        <w:jc w:val="both"/>
        <w:rPr>
          <w:rFonts w:cstheme="minorHAnsi"/>
        </w:rPr>
      </w:pPr>
      <w:r>
        <w:t>Taxes on p</w:t>
      </w:r>
      <w:r w:rsidRPr="00396DF3">
        <w:t>esticides can be efficient components of an optimal pesticide policy (</w:t>
      </w:r>
      <w:proofErr w:type="spellStart"/>
      <w:r w:rsidRPr="00396DF3">
        <w:t>Skevas</w:t>
      </w:r>
      <w:proofErr w:type="spellEnd"/>
      <w:r w:rsidRPr="00396DF3">
        <w:t xml:space="preserve"> et al., 2013)</w:t>
      </w:r>
      <w:r>
        <w:t>.</w:t>
      </w:r>
      <w:r w:rsidRPr="00396DF3">
        <w:t xml:space="preserve"> </w:t>
      </w:r>
      <w:r>
        <w:t xml:space="preserve">In 1984, </w:t>
      </w:r>
      <w:r w:rsidRPr="00396DF3">
        <w:rPr>
          <w:rFonts w:cstheme="minorHAnsi"/>
        </w:rPr>
        <w:t xml:space="preserve">Sweden introduced </w:t>
      </w:r>
      <w:r>
        <w:rPr>
          <w:rFonts w:cstheme="minorHAnsi"/>
        </w:rPr>
        <w:t>the world’s first</w:t>
      </w:r>
      <w:r w:rsidRPr="00396DF3">
        <w:rPr>
          <w:rFonts w:cstheme="minorHAnsi"/>
        </w:rPr>
        <w:t xml:space="preserve"> special ﬂat tax on pesticides based on the volume sold (</w:t>
      </w:r>
      <w:proofErr w:type="spellStart"/>
      <w:r w:rsidRPr="00396DF3">
        <w:rPr>
          <w:rFonts w:cstheme="minorHAnsi"/>
        </w:rPr>
        <w:t>Böcker</w:t>
      </w:r>
      <w:proofErr w:type="spellEnd"/>
      <w:r w:rsidRPr="00396DF3">
        <w:rPr>
          <w:rFonts w:cstheme="minorHAnsi"/>
        </w:rPr>
        <w:t xml:space="preserve"> &amp; Finger, 2016). Today, </w:t>
      </w:r>
      <w:r>
        <w:rPr>
          <w:rFonts w:cstheme="minorHAnsi"/>
        </w:rPr>
        <w:t xml:space="preserve">similar taxes on </w:t>
      </w:r>
      <w:r w:rsidRPr="00396DF3">
        <w:rPr>
          <w:rFonts w:cstheme="minorHAnsi"/>
        </w:rPr>
        <w:t>pesticide</w:t>
      </w:r>
      <w:r>
        <w:rPr>
          <w:rFonts w:cstheme="minorHAnsi"/>
        </w:rPr>
        <w:t>s</w:t>
      </w:r>
      <w:r w:rsidRPr="00396DF3">
        <w:rPr>
          <w:rFonts w:cstheme="minorHAnsi"/>
        </w:rPr>
        <w:t xml:space="preserve"> are in place in Belgium, Canada, Denmark, Finland, France, Italy, the Netherlands, Norway, Sweden, Vietnam</w:t>
      </w:r>
      <w:r>
        <w:rPr>
          <w:rFonts w:cstheme="minorHAnsi"/>
        </w:rPr>
        <w:t>, Mexico</w:t>
      </w:r>
      <w:r w:rsidRPr="00396DF3">
        <w:rPr>
          <w:rFonts w:cstheme="minorHAnsi"/>
        </w:rPr>
        <w:t xml:space="preserve"> and the USA (Louisiana) (UNDP, 2017; VIDC, 2018</w:t>
      </w:r>
      <w:r>
        <w:rPr>
          <w:rFonts w:cstheme="minorHAnsi"/>
        </w:rPr>
        <w:t>;</w:t>
      </w:r>
      <w:r w:rsidRPr="00DA15E2">
        <w:rPr>
          <w:rFonts w:cstheme="minorHAnsi"/>
        </w:rPr>
        <w:t xml:space="preserve"> </w:t>
      </w:r>
      <w:proofErr w:type="spellStart"/>
      <w:r>
        <w:rPr>
          <w:rFonts w:cstheme="minorHAnsi"/>
        </w:rPr>
        <w:t>Slunge</w:t>
      </w:r>
      <w:proofErr w:type="spellEnd"/>
      <w:r>
        <w:rPr>
          <w:rFonts w:cstheme="minorHAnsi"/>
        </w:rPr>
        <w:t xml:space="preserve"> &amp; </w:t>
      </w:r>
      <w:proofErr w:type="spellStart"/>
      <w:r>
        <w:rPr>
          <w:rFonts w:cstheme="minorHAnsi"/>
        </w:rPr>
        <w:t>Alpizar</w:t>
      </w:r>
      <w:proofErr w:type="spellEnd"/>
      <w:r>
        <w:rPr>
          <w:rFonts w:cstheme="minorHAnsi"/>
        </w:rPr>
        <w:t>, 2019</w:t>
      </w:r>
      <w:r w:rsidRPr="00396DF3">
        <w:rPr>
          <w:rFonts w:cstheme="minorHAnsi"/>
        </w:rPr>
        <w:t xml:space="preserve">). </w:t>
      </w:r>
      <w:r>
        <w:rPr>
          <w:rFonts w:cstheme="minorHAnsi"/>
        </w:rPr>
        <w:t>Several countries (Denmark, Norway, France and Mexico) use risk-differentiated taxation of pesticides to incentivize farmers to use less hazardous pesticides (</w:t>
      </w:r>
      <w:proofErr w:type="spellStart"/>
      <w:r>
        <w:rPr>
          <w:rFonts w:cstheme="minorHAnsi"/>
        </w:rPr>
        <w:t>Slunge</w:t>
      </w:r>
      <w:proofErr w:type="spellEnd"/>
      <w:r>
        <w:rPr>
          <w:rFonts w:cstheme="minorHAnsi"/>
        </w:rPr>
        <w:t xml:space="preserve"> &amp; </w:t>
      </w:r>
      <w:proofErr w:type="spellStart"/>
      <w:r>
        <w:rPr>
          <w:rFonts w:cstheme="minorHAnsi"/>
        </w:rPr>
        <w:t>Alpizar</w:t>
      </w:r>
      <w:proofErr w:type="spellEnd"/>
      <w:r>
        <w:rPr>
          <w:rFonts w:cstheme="minorHAnsi"/>
        </w:rPr>
        <w:t xml:space="preserve">, 2019). </w:t>
      </w:r>
      <w:r w:rsidRPr="00396DF3">
        <w:t xml:space="preserve">Evidence from European taxation schemes shows that despite the fact that taxes have not reduced total quantities of pesticide use, they have led to targeted reductions of risks caused by pesticide use </w:t>
      </w:r>
      <w:r w:rsidRPr="00396DF3">
        <w:rPr>
          <w:rFonts w:cstheme="minorHAnsi"/>
        </w:rPr>
        <w:t>(</w:t>
      </w:r>
      <w:proofErr w:type="spellStart"/>
      <w:r w:rsidRPr="00396DF3">
        <w:rPr>
          <w:rFonts w:cstheme="minorHAnsi"/>
        </w:rPr>
        <w:t>Böcker</w:t>
      </w:r>
      <w:proofErr w:type="spellEnd"/>
      <w:r w:rsidRPr="00396DF3">
        <w:rPr>
          <w:rFonts w:cstheme="minorHAnsi"/>
        </w:rPr>
        <w:t xml:space="preserve"> &amp; Finger, 2016).</w:t>
      </w:r>
      <w:r>
        <w:rPr>
          <w:rFonts w:cstheme="minorHAnsi"/>
        </w:rPr>
        <w:t xml:space="preserve"> </w:t>
      </w:r>
      <w:r>
        <w:t>The use of</w:t>
      </w:r>
      <w:r w:rsidRPr="00396DF3">
        <w:t xml:space="preserve"> </w:t>
      </w:r>
      <w:r>
        <w:t xml:space="preserve">revenues from taxes applied to pesticides can be used </w:t>
      </w:r>
      <w:r w:rsidRPr="00396DF3">
        <w:t>to internalize external effects of pesticide</w:t>
      </w:r>
      <w:r>
        <w:t>s (e.g.</w:t>
      </w:r>
      <w:r w:rsidRPr="00396DF3">
        <w:t xml:space="preserve"> to clean water from pesticide residues</w:t>
      </w:r>
      <w:r>
        <w:t xml:space="preserve"> in France), which can help to reduce potential political conflicts and </w:t>
      </w:r>
      <w:r w:rsidRPr="00DA15E2">
        <w:t>tensions</w:t>
      </w:r>
      <w:r>
        <w:t>, since farmers and agricultural companies are main taxpayers (UNDP, 2017;</w:t>
      </w:r>
      <w:r w:rsidRPr="00DA15E2">
        <w:t xml:space="preserve"> </w:t>
      </w:r>
      <w:r>
        <w:t xml:space="preserve">Finger et al., 2017) </w:t>
      </w:r>
    </w:p>
    <w:p w14:paraId="640E6070" w14:textId="77777777" w:rsidR="00D255B4" w:rsidRDefault="00D255B4" w:rsidP="00D255B4">
      <w:pPr>
        <w:jc w:val="both"/>
        <w:rPr>
          <w:rFonts w:cstheme="minorHAnsi"/>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06E6DBD1" w14:textId="77777777" w:rsidTr="00933F86">
        <w:trPr>
          <w:trHeight w:val="2177"/>
        </w:trPr>
        <w:tc>
          <w:tcPr>
            <w:tcW w:w="9350" w:type="dxa"/>
          </w:tcPr>
          <w:p w14:paraId="16968CB8" w14:textId="77777777" w:rsidR="00D255B4" w:rsidRPr="00E03755" w:rsidRDefault="00D255B4" w:rsidP="00933F86">
            <w:pPr>
              <w:rPr>
                <w:rFonts w:cstheme="minorHAnsi"/>
                <w:b/>
                <w:bCs/>
                <w:sz w:val="20"/>
                <w:szCs w:val="20"/>
              </w:rPr>
            </w:pPr>
            <w:r w:rsidRPr="00E03755">
              <w:rPr>
                <w:rFonts w:cstheme="minorHAnsi"/>
                <w:b/>
                <w:bCs/>
                <w:sz w:val="20"/>
                <w:szCs w:val="20"/>
              </w:rPr>
              <w:t>EXAMPLE 7: Pesticide tax in Norway</w:t>
            </w:r>
          </w:p>
          <w:p w14:paraId="28A13521" w14:textId="77777777" w:rsidR="00D255B4" w:rsidRDefault="00D255B4" w:rsidP="00933F86">
            <w:pPr>
              <w:rPr>
                <w:rFonts w:cstheme="minorHAnsi"/>
                <w:b/>
                <w:bCs/>
                <w:i/>
                <w:iCs/>
                <w:sz w:val="20"/>
                <w:szCs w:val="20"/>
              </w:rPr>
            </w:pPr>
          </w:p>
          <w:p w14:paraId="4B7FF500" w14:textId="77777777" w:rsidR="00D255B4" w:rsidRDefault="00D255B4" w:rsidP="00933F86">
            <w:pPr>
              <w:jc w:val="both"/>
              <w:rPr>
                <w:rFonts w:cstheme="minorHAnsi"/>
                <w:b/>
                <w:bCs/>
              </w:rPr>
            </w:pPr>
            <w:r w:rsidRPr="00422108">
              <w:rPr>
                <w:rFonts w:cstheme="minorHAnsi"/>
                <w:sz w:val="20"/>
                <w:szCs w:val="20"/>
              </w:rPr>
              <w:t xml:space="preserve">In </w:t>
            </w:r>
            <w:r w:rsidRPr="00967769">
              <w:rPr>
                <w:rFonts w:cstheme="minorHAnsi"/>
                <w:sz w:val="20"/>
                <w:szCs w:val="20"/>
              </w:rPr>
              <w:t xml:space="preserve">1999, a new taxation system for pesticides </w:t>
            </w:r>
            <w:r>
              <w:rPr>
                <w:rFonts w:cstheme="minorHAnsi"/>
                <w:sz w:val="20"/>
                <w:szCs w:val="20"/>
              </w:rPr>
              <w:t>was</w:t>
            </w:r>
            <w:r w:rsidRPr="00967769">
              <w:rPr>
                <w:rFonts w:cstheme="minorHAnsi"/>
                <w:sz w:val="20"/>
                <w:szCs w:val="20"/>
              </w:rPr>
              <w:t xml:space="preserve"> introduced in Norway. Pesticides were grouped into </w:t>
            </w:r>
            <w:r>
              <w:rPr>
                <w:rFonts w:cstheme="minorHAnsi"/>
                <w:sz w:val="20"/>
                <w:szCs w:val="20"/>
              </w:rPr>
              <w:t>seven</w:t>
            </w:r>
            <w:r w:rsidRPr="00967769">
              <w:rPr>
                <w:rFonts w:cstheme="minorHAnsi"/>
                <w:sz w:val="20"/>
                <w:szCs w:val="20"/>
              </w:rPr>
              <w:t xml:space="preserve"> categories based on their health and environmental risks, with higher taxation </w:t>
            </w:r>
            <w:r>
              <w:rPr>
                <w:rFonts w:cstheme="minorHAnsi"/>
                <w:sz w:val="20"/>
                <w:szCs w:val="20"/>
              </w:rPr>
              <w:t xml:space="preserve">placed on </w:t>
            </w:r>
            <w:r w:rsidRPr="00967769">
              <w:rPr>
                <w:rFonts w:cstheme="minorHAnsi"/>
                <w:sz w:val="20"/>
                <w:szCs w:val="20"/>
              </w:rPr>
              <w:t xml:space="preserve">products in higher risk categories. Consequently, </w:t>
            </w:r>
            <w:r>
              <w:rPr>
                <w:rFonts w:cstheme="minorHAnsi"/>
                <w:sz w:val="20"/>
                <w:szCs w:val="20"/>
              </w:rPr>
              <w:t>there has been a</w:t>
            </w:r>
            <w:r w:rsidRPr="00967769">
              <w:rPr>
                <w:rFonts w:cstheme="minorHAnsi"/>
                <w:sz w:val="20"/>
                <w:szCs w:val="20"/>
              </w:rPr>
              <w:t xml:space="preserve"> shift towards </w:t>
            </w:r>
            <w:r>
              <w:rPr>
                <w:rFonts w:cstheme="minorHAnsi"/>
                <w:sz w:val="20"/>
                <w:szCs w:val="20"/>
              </w:rPr>
              <w:t xml:space="preserve">the </w:t>
            </w:r>
            <w:r w:rsidRPr="00967769">
              <w:rPr>
                <w:rFonts w:cstheme="minorHAnsi"/>
                <w:sz w:val="20"/>
                <w:szCs w:val="20"/>
              </w:rPr>
              <w:t>us</w:t>
            </w:r>
            <w:r>
              <w:rPr>
                <w:rFonts w:cstheme="minorHAnsi"/>
                <w:sz w:val="20"/>
                <w:szCs w:val="20"/>
              </w:rPr>
              <w:t>e of</w:t>
            </w:r>
            <w:r w:rsidRPr="00967769">
              <w:rPr>
                <w:rFonts w:cstheme="minorHAnsi"/>
                <w:sz w:val="20"/>
                <w:szCs w:val="20"/>
              </w:rPr>
              <w:t xml:space="preserve"> less hazardous pesticides, </w:t>
            </w:r>
            <w:r>
              <w:rPr>
                <w:rFonts w:cstheme="minorHAnsi"/>
                <w:sz w:val="20"/>
                <w:szCs w:val="20"/>
              </w:rPr>
              <w:t>however</w:t>
            </w:r>
            <w:r w:rsidRPr="00967769">
              <w:rPr>
                <w:rFonts w:cstheme="minorHAnsi"/>
                <w:sz w:val="20"/>
                <w:szCs w:val="20"/>
              </w:rPr>
              <w:t xml:space="preserve"> the tax has only led to a slight reduction in overall pesticide use (</w:t>
            </w:r>
            <w:proofErr w:type="spellStart"/>
            <w:r w:rsidRPr="00967769">
              <w:rPr>
                <w:rFonts w:cstheme="minorHAnsi"/>
                <w:sz w:val="20"/>
                <w:szCs w:val="20"/>
              </w:rPr>
              <w:t>Kjäll</w:t>
            </w:r>
            <w:proofErr w:type="spellEnd"/>
            <w:r w:rsidRPr="00967769">
              <w:rPr>
                <w:rFonts w:cstheme="minorHAnsi"/>
                <w:sz w:val="20"/>
                <w:szCs w:val="20"/>
              </w:rPr>
              <w:t xml:space="preserve">, 2012). </w:t>
            </w:r>
            <w:r>
              <w:rPr>
                <w:rFonts w:cstheme="minorHAnsi"/>
                <w:sz w:val="20"/>
                <w:szCs w:val="20"/>
              </w:rPr>
              <w:t>Further</w:t>
            </w:r>
            <w:r w:rsidRPr="00967769">
              <w:rPr>
                <w:rFonts w:cstheme="minorHAnsi"/>
                <w:sz w:val="20"/>
                <w:szCs w:val="20"/>
              </w:rPr>
              <w:t xml:space="preserve"> assessments have </w:t>
            </w:r>
            <w:r>
              <w:rPr>
                <w:rFonts w:cstheme="minorHAnsi"/>
                <w:sz w:val="20"/>
                <w:szCs w:val="20"/>
              </w:rPr>
              <w:t>demonstrated</w:t>
            </w:r>
            <w:r w:rsidRPr="00967769">
              <w:rPr>
                <w:rFonts w:cstheme="minorHAnsi"/>
                <w:sz w:val="20"/>
                <w:szCs w:val="20"/>
              </w:rPr>
              <w:t xml:space="preserve"> reductions in both violations of maximum allowed water nutrient levels and the number of detected residues, but it is not clear whether the tax </w:t>
            </w:r>
            <w:r>
              <w:rPr>
                <w:rFonts w:cstheme="minorHAnsi"/>
                <w:sz w:val="20"/>
                <w:szCs w:val="20"/>
              </w:rPr>
              <w:t>played a role in</w:t>
            </w:r>
            <w:r w:rsidRPr="00967769">
              <w:rPr>
                <w:rFonts w:cstheme="minorHAnsi"/>
                <w:sz w:val="20"/>
                <w:szCs w:val="20"/>
              </w:rPr>
              <w:t xml:space="preserve"> this reduction (</w:t>
            </w:r>
            <w:proofErr w:type="spellStart"/>
            <w:r w:rsidRPr="00967769">
              <w:rPr>
                <w:rFonts w:cstheme="minorHAnsi"/>
                <w:sz w:val="20"/>
                <w:szCs w:val="20"/>
              </w:rPr>
              <w:t>Böcker</w:t>
            </w:r>
            <w:proofErr w:type="spellEnd"/>
            <w:r w:rsidRPr="00967769">
              <w:rPr>
                <w:rFonts w:cstheme="minorHAnsi"/>
                <w:sz w:val="20"/>
                <w:szCs w:val="20"/>
              </w:rPr>
              <w:t xml:space="preserve"> &amp; Finger, 2016).</w:t>
            </w:r>
            <w:r>
              <w:rPr>
                <w:rFonts w:cstheme="minorHAnsi"/>
                <w:sz w:val="20"/>
                <w:szCs w:val="20"/>
              </w:rPr>
              <w:t xml:space="preserve"> </w:t>
            </w:r>
            <w:r w:rsidRPr="004D0D89">
              <w:rPr>
                <w:rFonts w:cstheme="minorHAnsi"/>
                <w:sz w:val="20"/>
                <w:szCs w:val="20"/>
              </w:rPr>
              <w:t>The government estimate</w:t>
            </w:r>
            <w:r>
              <w:rPr>
                <w:rFonts w:cstheme="minorHAnsi"/>
                <w:sz w:val="20"/>
                <w:szCs w:val="20"/>
              </w:rPr>
              <w:t>s the tax generated</w:t>
            </w:r>
            <w:r w:rsidRPr="004D0D89">
              <w:rPr>
                <w:rFonts w:cstheme="minorHAnsi"/>
                <w:sz w:val="20"/>
                <w:szCs w:val="20"/>
              </w:rPr>
              <w:t xml:space="preserve"> about NOK 50 million (</w:t>
            </w:r>
            <w:r>
              <w:rPr>
                <w:rFonts w:cstheme="minorHAnsi"/>
                <w:sz w:val="20"/>
                <w:szCs w:val="20"/>
              </w:rPr>
              <w:t>EUR 6</w:t>
            </w:r>
            <w:r w:rsidRPr="004D0D89">
              <w:rPr>
                <w:rFonts w:cstheme="minorHAnsi"/>
                <w:sz w:val="20"/>
                <w:szCs w:val="20"/>
              </w:rPr>
              <w:t xml:space="preserve"> million)</w:t>
            </w:r>
            <w:r>
              <w:rPr>
                <w:rFonts w:cstheme="minorHAnsi"/>
                <w:sz w:val="20"/>
                <w:szCs w:val="20"/>
              </w:rPr>
              <w:t xml:space="preserve"> </w:t>
            </w:r>
            <w:r w:rsidRPr="004D0D89">
              <w:rPr>
                <w:rFonts w:cstheme="minorHAnsi"/>
                <w:sz w:val="20"/>
                <w:szCs w:val="20"/>
              </w:rPr>
              <w:t>in 2015</w:t>
            </w:r>
            <w:r>
              <w:rPr>
                <w:rFonts w:cstheme="minorHAnsi"/>
                <w:sz w:val="20"/>
                <w:szCs w:val="20"/>
              </w:rPr>
              <w:t>, noting these revenues were not earmarked for environmental purposes (</w:t>
            </w:r>
            <w:proofErr w:type="spellStart"/>
            <w:r w:rsidRPr="00967769">
              <w:rPr>
                <w:rFonts w:cstheme="minorHAnsi"/>
                <w:sz w:val="20"/>
                <w:szCs w:val="20"/>
              </w:rPr>
              <w:t>Böcker</w:t>
            </w:r>
            <w:proofErr w:type="spellEnd"/>
            <w:r w:rsidRPr="00967769">
              <w:rPr>
                <w:rFonts w:cstheme="minorHAnsi"/>
                <w:sz w:val="20"/>
                <w:szCs w:val="20"/>
              </w:rPr>
              <w:t xml:space="preserve"> &amp; Finger, 2016)</w:t>
            </w:r>
            <w:r>
              <w:rPr>
                <w:rFonts w:cstheme="minorHAnsi"/>
                <w:sz w:val="20"/>
                <w:szCs w:val="20"/>
              </w:rPr>
              <w:t>.</w:t>
            </w:r>
          </w:p>
        </w:tc>
      </w:tr>
    </w:tbl>
    <w:p w14:paraId="618B9A18" w14:textId="77777777" w:rsidR="00D255B4" w:rsidRDefault="00D255B4" w:rsidP="00D255B4">
      <w:pPr>
        <w:rPr>
          <w:rFonts w:cstheme="minorHAnsi"/>
          <w:b/>
          <w:bCs/>
        </w:rPr>
      </w:pPr>
    </w:p>
    <w:p w14:paraId="43A37B43" w14:textId="77777777" w:rsidR="00D255B4" w:rsidRDefault="00D255B4" w:rsidP="00D255B4">
      <w:pPr>
        <w:rPr>
          <w:rFonts w:cstheme="minorHAnsi"/>
          <w:b/>
          <w:bCs/>
        </w:rPr>
      </w:pPr>
    </w:p>
    <w:p w14:paraId="71BC8C6F" w14:textId="77777777" w:rsidR="00D255B4" w:rsidRDefault="00D255B4" w:rsidP="00D255B4">
      <w:pPr>
        <w:rPr>
          <w:rFonts w:cstheme="minorHAnsi"/>
          <w:b/>
          <w:bCs/>
        </w:rPr>
      </w:pPr>
    </w:p>
    <w:p w14:paraId="69646905" w14:textId="77777777" w:rsidR="00D255B4" w:rsidRDefault="00D255B4" w:rsidP="00D255B4">
      <w:pPr>
        <w:rPr>
          <w:rFonts w:cstheme="minorHAnsi"/>
          <w:b/>
          <w:bCs/>
        </w:rPr>
      </w:pPr>
    </w:p>
    <w:p w14:paraId="4C1DD7D5" w14:textId="77777777" w:rsidR="00D255B4" w:rsidRDefault="00D255B4" w:rsidP="00D255B4">
      <w:pPr>
        <w:rPr>
          <w:rFonts w:cstheme="minorHAnsi"/>
          <w:b/>
          <w:bCs/>
        </w:rPr>
      </w:pPr>
    </w:p>
    <w:p w14:paraId="4DD423B6" w14:textId="77777777" w:rsidR="00D935A3" w:rsidRDefault="00D935A3">
      <w:pPr>
        <w:rPr>
          <w:i/>
          <w:iCs/>
        </w:rPr>
      </w:pPr>
      <w:r>
        <w:rPr>
          <w:i/>
          <w:iCs/>
        </w:rPr>
        <w:br w:type="page"/>
      </w:r>
    </w:p>
    <w:p w14:paraId="2FEDD940" w14:textId="496BF649" w:rsidR="00D255B4" w:rsidRPr="004A40B1" w:rsidRDefault="00D255B4" w:rsidP="00D255B4">
      <w:pPr>
        <w:rPr>
          <w:i/>
          <w:iCs/>
        </w:rPr>
      </w:pPr>
      <w:r>
        <w:rPr>
          <w:i/>
          <w:iCs/>
        </w:rPr>
        <w:lastRenderedPageBreak/>
        <w:t>F</w:t>
      </w:r>
      <w:r w:rsidRPr="004A40B1">
        <w:rPr>
          <w:i/>
          <w:iCs/>
        </w:rPr>
        <w:t xml:space="preserve">ertilizers </w:t>
      </w:r>
    </w:p>
    <w:p w14:paraId="52B4420B" w14:textId="77777777" w:rsidR="00D255B4" w:rsidRDefault="00D255B4" w:rsidP="00D255B4">
      <w:pPr>
        <w:rPr>
          <w:rFonts w:cstheme="minorHAnsi"/>
          <w:b/>
          <w:bCs/>
        </w:rPr>
      </w:pPr>
    </w:p>
    <w:p w14:paraId="68567902" w14:textId="77777777" w:rsidR="00D255B4" w:rsidRPr="00DA15E2" w:rsidRDefault="00D255B4" w:rsidP="00D255B4">
      <w:pPr>
        <w:jc w:val="both"/>
        <w:rPr>
          <w:rFonts w:cstheme="minorHAnsi"/>
        </w:rPr>
      </w:pPr>
      <w:r w:rsidRPr="00DA15E2">
        <w:rPr>
          <w:rFonts w:cstheme="minorHAnsi"/>
        </w:rPr>
        <w:t xml:space="preserve">Several </w:t>
      </w:r>
      <w:r>
        <w:rPr>
          <w:rFonts w:cstheme="minorHAnsi"/>
        </w:rPr>
        <w:t>countries, including Austria, Belgium, Finland, Denmark, Netherlands, Norway and Sweden, have applied taxes on fertilizers based predominantly on the weights of nitrogen and phosphorus (</w:t>
      </w:r>
      <w:proofErr w:type="spellStart"/>
      <w:r>
        <w:rPr>
          <w:rFonts w:cstheme="minorHAnsi"/>
        </w:rPr>
        <w:t>Slunge</w:t>
      </w:r>
      <w:proofErr w:type="spellEnd"/>
      <w:r>
        <w:rPr>
          <w:rFonts w:cstheme="minorHAnsi"/>
        </w:rPr>
        <w:t xml:space="preserve"> &amp; </w:t>
      </w:r>
      <w:proofErr w:type="spellStart"/>
      <w:r>
        <w:rPr>
          <w:rFonts w:cstheme="minorHAnsi"/>
        </w:rPr>
        <w:t>Alpizar</w:t>
      </w:r>
      <w:proofErr w:type="spellEnd"/>
      <w:r>
        <w:rPr>
          <w:rFonts w:cstheme="minorHAnsi"/>
        </w:rPr>
        <w:t>, 2019).  However, many countries have abolished such fertilizer taxation schemes. For example, Austria and Finland abolished existing fertilizer tax schemes, arguing they had a negative impact on the competitiveness of their agricultural sector after they joined the EU in 1994. Sweden abandoned the tax in 2010 for the same reason (</w:t>
      </w:r>
      <w:proofErr w:type="spellStart"/>
      <w:r>
        <w:rPr>
          <w:rFonts w:cstheme="minorHAnsi"/>
        </w:rPr>
        <w:t>Slunge</w:t>
      </w:r>
      <w:proofErr w:type="spellEnd"/>
      <w:r>
        <w:rPr>
          <w:rFonts w:cstheme="minorHAnsi"/>
        </w:rPr>
        <w:t xml:space="preserve"> &amp; </w:t>
      </w:r>
      <w:proofErr w:type="spellStart"/>
      <w:r>
        <w:rPr>
          <w:rFonts w:cstheme="minorHAnsi"/>
        </w:rPr>
        <w:t>Alpizar</w:t>
      </w:r>
      <w:proofErr w:type="spellEnd"/>
      <w:r>
        <w:rPr>
          <w:rFonts w:cstheme="minorHAnsi"/>
        </w:rPr>
        <w:t xml:space="preserve">, 2019). </w:t>
      </w:r>
    </w:p>
    <w:p w14:paraId="586D39D6" w14:textId="77777777" w:rsidR="00D255B4" w:rsidRDefault="00D255B4" w:rsidP="00D255B4">
      <w:pPr>
        <w:rPr>
          <w:rFonts w:cstheme="minorHAnsi"/>
          <w:b/>
          <w:bCs/>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7FF5E805" w14:textId="77777777" w:rsidTr="00933F86">
        <w:tc>
          <w:tcPr>
            <w:tcW w:w="9350" w:type="dxa"/>
          </w:tcPr>
          <w:p w14:paraId="7150A719" w14:textId="77777777" w:rsidR="00D255B4" w:rsidRPr="00E03755" w:rsidRDefault="00D255B4" w:rsidP="00933F86">
            <w:pPr>
              <w:jc w:val="both"/>
              <w:rPr>
                <w:rFonts w:cstheme="minorHAnsi"/>
                <w:b/>
                <w:bCs/>
                <w:sz w:val="20"/>
                <w:szCs w:val="20"/>
              </w:rPr>
            </w:pPr>
            <w:r w:rsidRPr="00E03755">
              <w:rPr>
                <w:rFonts w:cstheme="minorHAnsi"/>
                <w:b/>
                <w:bCs/>
                <w:sz w:val="20"/>
                <w:szCs w:val="20"/>
              </w:rPr>
              <w:t xml:space="preserve">EXAMPLE 8: Tax to address cadmium contamination in fertilizer in Sweden </w:t>
            </w:r>
          </w:p>
          <w:p w14:paraId="3E275A8D" w14:textId="77777777" w:rsidR="00D255B4" w:rsidRDefault="00D255B4" w:rsidP="00933F86">
            <w:pPr>
              <w:jc w:val="both"/>
              <w:rPr>
                <w:rFonts w:cstheme="minorHAnsi"/>
                <w:sz w:val="20"/>
                <w:szCs w:val="20"/>
              </w:rPr>
            </w:pPr>
          </w:p>
          <w:p w14:paraId="06C99F6E" w14:textId="77777777" w:rsidR="00D255B4" w:rsidRPr="00494E2E" w:rsidRDefault="00D255B4" w:rsidP="00933F86">
            <w:pPr>
              <w:jc w:val="both"/>
              <w:rPr>
                <w:rFonts w:cstheme="minorHAnsi"/>
                <w:sz w:val="20"/>
                <w:szCs w:val="20"/>
              </w:rPr>
            </w:pPr>
            <w:r w:rsidRPr="00DE584E">
              <w:rPr>
                <w:rFonts w:cstheme="minorHAnsi"/>
                <w:sz w:val="20"/>
                <w:szCs w:val="20"/>
              </w:rPr>
              <w:t>In 1994, Sweden introduced a tax based on the cadmium content of fertilizers</w:t>
            </w:r>
            <w:r>
              <w:rPr>
                <w:rFonts w:cstheme="minorHAnsi"/>
                <w:sz w:val="20"/>
                <w:szCs w:val="20"/>
              </w:rPr>
              <w:t>. The aim was to</w:t>
            </w:r>
            <w:r w:rsidRPr="00DE584E">
              <w:rPr>
                <w:rFonts w:cstheme="minorHAnsi"/>
                <w:sz w:val="20"/>
                <w:szCs w:val="20"/>
              </w:rPr>
              <w:t xml:space="preserve"> </w:t>
            </w:r>
            <w:r>
              <w:rPr>
                <w:rFonts w:cstheme="minorHAnsi"/>
                <w:sz w:val="20"/>
                <w:szCs w:val="20"/>
              </w:rPr>
              <w:t xml:space="preserve">raise </w:t>
            </w:r>
            <w:r w:rsidRPr="00DE584E">
              <w:rPr>
                <w:rFonts w:cstheme="minorHAnsi"/>
                <w:sz w:val="20"/>
                <w:szCs w:val="20"/>
              </w:rPr>
              <w:t xml:space="preserve">the price of cadmium-containing fertilizers </w:t>
            </w:r>
            <w:r>
              <w:rPr>
                <w:rFonts w:cstheme="minorHAnsi"/>
                <w:sz w:val="20"/>
                <w:szCs w:val="20"/>
              </w:rPr>
              <w:t xml:space="preserve">so that they were in line with </w:t>
            </w:r>
            <w:r w:rsidRPr="00DE584E">
              <w:rPr>
                <w:rFonts w:cstheme="minorHAnsi"/>
                <w:sz w:val="20"/>
                <w:szCs w:val="20"/>
              </w:rPr>
              <w:t xml:space="preserve">the price of safer fertilizers. The goal of the tax was </w:t>
            </w:r>
            <w:r>
              <w:rPr>
                <w:rFonts w:cstheme="minorHAnsi"/>
                <w:sz w:val="20"/>
                <w:szCs w:val="20"/>
              </w:rPr>
              <w:t xml:space="preserve">also </w:t>
            </w:r>
            <w:r w:rsidRPr="00DE584E">
              <w:rPr>
                <w:rFonts w:cstheme="minorHAnsi"/>
                <w:sz w:val="20"/>
                <w:szCs w:val="20"/>
              </w:rPr>
              <w:t>to provide incentives for environmentally sound cultivation and to contribute to</w:t>
            </w:r>
            <w:r>
              <w:rPr>
                <w:rFonts w:cstheme="minorHAnsi"/>
                <w:sz w:val="20"/>
                <w:szCs w:val="20"/>
              </w:rPr>
              <w:t xml:space="preserve"> more rapid</w:t>
            </w:r>
            <w:r w:rsidRPr="00DE584E">
              <w:rPr>
                <w:rFonts w:cstheme="minorHAnsi"/>
                <w:sz w:val="20"/>
                <w:szCs w:val="20"/>
              </w:rPr>
              <w:t xml:space="preserve"> development of cleaner technolog</w:t>
            </w:r>
            <w:r>
              <w:rPr>
                <w:rFonts w:cstheme="minorHAnsi"/>
                <w:sz w:val="20"/>
                <w:szCs w:val="20"/>
              </w:rPr>
              <w:t>ies</w:t>
            </w:r>
            <w:r w:rsidRPr="00DE584E">
              <w:rPr>
                <w:rFonts w:cstheme="minorHAnsi"/>
                <w:sz w:val="20"/>
                <w:szCs w:val="20"/>
              </w:rPr>
              <w:t xml:space="preserve"> (S</w:t>
            </w:r>
            <w:r>
              <w:rPr>
                <w:rFonts w:cstheme="minorHAnsi"/>
                <w:sz w:val="20"/>
                <w:szCs w:val="20"/>
              </w:rPr>
              <w:t>OU</w:t>
            </w:r>
            <w:r w:rsidRPr="00DE584E">
              <w:rPr>
                <w:rFonts w:cstheme="minorHAnsi"/>
                <w:sz w:val="20"/>
                <w:szCs w:val="20"/>
              </w:rPr>
              <w:t>, 2017). The tax rate was set at SEK 30 per gram of cadmium in the fertilizer. The tax was found to be very effective</w:t>
            </w:r>
            <w:r>
              <w:rPr>
                <w:rFonts w:cstheme="minorHAnsi"/>
                <w:sz w:val="20"/>
                <w:szCs w:val="20"/>
              </w:rPr>
              <w:t xml:space="preserve"> because</w:t>
            </w:r>
            <w:r w:rsidRPr="00DE584E">
              <w:rPr>
                <w:rFonts w:cstheme="minorHAnsi"/>
                <w:sz w:val="20"/>
                <w:szCs w:val="20"/>
              </w:rPr>
              <w:t xml:space="preserve"> the average cadmium content per ton of phosphorus was reduced from 25 grams in 1995 to less than 10 grams in 2000 (SOU, 2003). Following the peak of world market prices for mineral fertilizers and the financial crisis </w:t>
            </w:r>
            <w:r>
              <w:rPr>
                <w:rFonts w:cstheme="minorHAnsi"/>
                <w:sz w:val="20"/>
                <w:szCs w:val="20"/>
              </w:rPr>
              <w:t>of</w:t>
            </w:r>
            <w:r w:rsidRPr="00DE584E">
              <w:rPr>
                <w:rFonts w:cstheme="minorHAnsi"/>
                <w:sz w:val="20"/>
                <w:szCs w:val="20"/>
              </w:rPr>
              <w:t xml:space="preserve"> 2008-2009, pressures from farmers </w:t>
            </w:r>
            <w:r>
              <w:rPr>
                <w:rFonts w:cstheme="minorHAnsi"/>
                <w:sz w:val="20"/>
                <w:szCs w:val="20"/>
              </w:rPr>
              <w:t xml:space="preserve">led to the </w:t>
            </w:r>
            <w:r w:rsidRPr="00DE584E">
              <w:rPr>
                <w:rFonts w:cstheme="minorHAnsi"/>
                <w:sz w:val="20"/>
                <w:szCs w:val="20"/>
              </w:rPr>
              <w:t>abolish</w:t>
            </w:r>
            <w:r>
              <w:rPr>
                <w:rFonts w:cstheme="minorHAnsi"/>
                <w:sz w:val="20"/>
                <w:szCs w:val="20"/>
              </w:rPr>
              <w:t>ment of</w:t>
            </w:r>
            <w:r w:rsidRPr="00DE584E">
              <w:rPr>
                <w:rFonts w:cstheme="minorHAnsi"/>
                <w:sz w:val="20"/>
                <w:szCs w:val="20"/>
              </w:rPr>
              <w:t xml:space="preserve"> the fertilizer tax </w:t>
            </w:r>
            <w:r>
              <w:rPr>
                <w:rFonts w:cstheme="minorHAnsi"/>
                <w:sz w:val="20"/>
                <w:szCs w:val="20"/>
              </w:rPr>
              <w:t xml:space="preserve">in 2010 </w:t>
            </w:r>
            <w:r w:rsidRPr="00DE584E">
              <w:rPr>
                <w:rFonts w:cstheme="minorHAnsi"/>
                <w:sz w:val="20"/>
                <w:szCs w:val="20"/>
              </w:rPr>
              <w:t xml:space="preserve">(Andersen, 2016). </w:t>
            </w:r>
            <w:r>
              <w:rPr>
                <w:rFonts w:cstheme="minorHAnsi"/>
                <w:sz w:val="20"/>
                <w:szCs w:val="20"/>
              </w:rPr>
              <w:t>P</w:t>
            </w:r>
            <w:r w:rsidRPr="00DE584E">
              <w:rPr>
                <w:rFonts w:cstheme="minorHAnsi"/>
                <w:sz w:val="20"/>
                <w:szCs w:val="20"/>
              </w:rPr>
              <w:t>roposals have been presented and discussed for its reintroduction</w:t>
            </w:r>
            <w:r>
              <w:rPr>
                <w:rFonts w:cstheme="minorHAnsi"/>
                <w:sz w:val="20"/>
                <w:szCs w:val="20"/>
              </w:rPr>
              <w:t>, but challenges remain</w:t>
            </w:r>
            <w:r w:rsidRPr="00DE584E">
              <w:rPr>
                <w:rFonts w:cstheme="minorHAnsi"/>
                <w:sz w:val="20"/>
                <w:szCs w:val="20"/>
              </w:rPr>
              <w:t xml:space="preserve"> (Andersen, 2016).  </w:t>
            </w:r>
          </w:p>
        </w:tc>
      </w:tr>
    </w:tbl>
    <w:p w14:paraId="17D2F657" w14:textId="77777777" w:rsidR="00D255B4" w:rsidRDefault="00D255B4" w:rsidP="00D255B4">
      <w:pPr>
        <w:jc w:val="both"/>
        <w:rPr>
          <w:rFonts w:cstheme="minorHAnsi"/>
          <w:b/>
          <w:bCs/>
        </w:rPr>
      </w:pPr>
    </w:p>
    <w:p w14:paraId="13411816" w14:textId="77777777" w:rsidR="00D255B4" w:rsidRDefault="00D255B4" w:rsidP="00D255B4">
      <w:pPr>
        <w:jc w:val="both"/>
        <w:rPr>
          <w:rFonts w:cstheme="minorHAnsi"/>
          <w:b/>
          <w:bCs/>
        </w:rPr>
      </w:pPr>
    </w:p>
    <w:p w14:paraId="4345CB79" w14:textId="77777777" w:rsidR="00D255B4" w:rsidRPr="004A40B1" w:rsidRDefault="00D255B4" w:rsidP="00D255B4">
      <w:pPr>
        <w:rPr>
          <w:i/>
          <w:iCs/>
        </w:rPr>
      </w:pPr>
      <w:r w:rsidRPr="004A40B1">
        <w:rPr>
          <w:i/>
          <w:iCs/>
        </w:rPr>
        <w:t xml:space="preserve">Lead </w:t>
      </w:r>
    </w:p>
    <w:p w14:paraId="679BC5BC" w14:textId="77777777" w:rsidR="00D255B4" w:rsidRDefault="00D255B4" w:rsidP="00D255B4">
      <w:pPr>
        <w:jc w:val="both"/>
        <w:rPr>
          <w:rFonts w:cstheme="minorHAnsi"/>
          <w:b/>
          <w:bCs/>
        </w:rPr>
      </w:pPr>
    </w:p>
    <w:p w14:paraId="5DFDA2E6" w14:textId="77777777" w:rsidR="00D255B4" w:rsidRPr="00437F96" w:rsidRDefault="00D255B4" w:rsidP="00D255B4">
      <w:pPr>
        <w:jc w:val="both"/>
        <w:rPr>
          <w:rFonts w:cstheme="minorHAnsi"/>
        </w:rPr>
      </w:pPr>
      <w:r w:rsidRPr="00D10D9D">
        <w:rPr>
          <w:rFonts w:cstheme="minorHAnsi"/>
          <w:color w:val="000000"/>
          <w:shd w:val="clear" w:color="auto" w:fill="FFFFFF"/>
        </w:rPr>
        <w:t>Arguably</w:t>
      </w:r>
      <w:r>
        <w:rPr>
          <w:rFonts w:cstheme="minorHAnsi"/>
          <w:color w:val="000000"/>
          <w:shd w:val="clear" w:color="auto" w:fill="FFFFFF"/>
        </w:rPr>
        <w:t xml:space="preserve"> one of the first and </w:t>
      </w:r>
      <w:r w:rsidRPr="00D10D9D">
        <w:rPr>
          <w:rFonts w:cstheme="minorHAnsi"/>
          <w:color w:val="000000"/>
          <w:shd w:val="clear" w:color="auto" w:fill="FFFFFF"/>
        </w:rPr>
        <w:t xml:space="preserve">most important global environmental health </w:t>
      </w:r>
      <w:r>
        <w:rPr>
          <w:rFonts w:cstheme="minorHAnsi"/>
          <w:color w:val="000000"/>
          <w:shd w:val="clear" w:color="auto" w:fill="FFFFFF"/>
        </w:rPr>
        <w:t>success stories</w:t>
      </w:r>
      <w:r w:rsidRPr="00D10D9D">
        <w:rPr>
          <w:rFonts w:cstheme="minorHAnsi"/>
          <w:color w:val="000000"/>
          <w:shd w:val="clear" w:color="auto" w:fill="FFFFFF"/>
        </w:rPr>
        <w:t xml:space="preserve"> to date has been the phase out of lead in gasoline. </w:t>
      </w:r>
      <w:r w:rsidRPr="00D10D9D">
        <w:rPr>
          <w:rFonts w:cstheme="minorHAnsi"/>
        </w:rPr>
        <w:t>The most expeditious policy for eliminating lead in gasoline is to ban it outright</w:t>
      </w:r>
      <w:r>
        <w:rPr>
          <w:rFonts w:cstheme="minorHAnsi"/>
        </w:rPr>
        <w:t xml:space="preserve"> </w:t>
      </w:r>
      <w:r w:rsidRPr="00D10D9D">
        <w:rPr>
          <w:rFonts w:cstheme="minorHAnsi"/>
        </w:rPr>
        <w:t>(OECD</w:t>
      </w:r>
      <w:r>
        <w:rPr>
          <w:rFonts w:cstheme="minorHAnsi"/>
        </w:rPr>
        <w:t xml:space="preserve"> &amp; UNEP 1999</w:t>
      </w:r>
      <w:r w:rsidRPr="00D10D9D">
        <w:rPr>
          <w:rFonts w:cstheme="minorHAnsi"/>
        </w:rPr>
        <w:t>). However, as an interim measure prior to taking that final step, many countries chose to adopt a tax policy that assured that the price of unleaded gasoline was lower than leaded</w:t>
      </w:r>
      <w:r>
        <w:rPr>
          <w:rFonts w:cstheme="minorHAnsi"/>
        </w:rPr>
        <w:t xml:space="preserve"> forms. This</w:t>
      </w:r>
      <w:r w:rsidRPr="00D10D9D">
        <w:rPr>
          <w:rFonts w:cstheme="minorHAnsi"/>
        </w:rPr>
        <w:t xml:space="preserve"> helped create a market </w:t>
      </w:r>
      <w:r>
        <w:rPr>
          <w:rFonts w:cstheme="minorHAnsi"/>
        </w:rPr>
        <w:t>drive, which</w:t>
      </w:r>
      <w:r w:rsidRPr="00D10D9D">
        <w:rPr>
          <w:rFonts w:cstheme="minorHAnsi"/>
        </w:rPr>
        <w:t xml:space="preserve"> stimulate</w:t>
      </w:r>
      <w:r>
        <w:rPr>
          <w:rFonts w:cstheme="minorHAnsi"/>
        </w:rPr>
        <w:t>d</w:t>
      </w:r>
      <w:r w:rsidRPr="00D10D9D">
        <w:rPr>
          <w:rFonts w:cstheme="minorHAnsi"/>
        </w:rPr>
        <w:t xml:space="preserve"> the rapid increase in production of unleaded gasoline (OECD</w:t>
      </w:r>
      <w:r>
        <w:rPr>
          <w:rFonts w:cstheme="minorHAnsi"/>
        </w:rPr>
        <w:t xml:space="preserve"> &amp; UNEP 1999</w:t>
      </w:r>
      <w:r w:rsidRPr="00D10D9D">
        <w:rPr>
          <w:rFonts w:cstheme="minorHAnsi"/>
        </w:rPr>
        <w:t xml:space="preserve">). </w:t>
      </w:r>
    </w:p>
    <w:p w14:paraId="665F3715" w14:textId="77777777" w:rsidR="00D255B4" w:rsidRDefault="00D255B4" w:rsidP="00D255B4">
      <w:pPr>
        <w:jc w:val="both"/>
        <w:rPr>
          <w:rFonts w:cstheme="minorHAnsi"/>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1FA27C97" w14:textId="77777777" w:rsidTr="00933F86">
        <w:tc>
          <w:tcPr>
            <w:tcW w:w="9350" w:type="dxa"/>
          </w:tcPr>
          <w:p w14:paraId="6DD0FF30" w14:textId="77777777" w:rsidR="00D255B4" w:rsidRPr="00E03755" w:rsidRDefault="00D255B4" w:rsidP="00933F86">
            <w:pPr>
              <w:jc w:val="both"/>
              <w:rPr>
                <w:rFonts w:cstheme="minorHAnsi"/>
                <w:b/>
                <w:bCs/>
                <w:sz w:val="20"/>
                <w:szCs w:val="20"/>
              </w:rPr>
            </w:pPr>
            <w:r w:rsidRPr="00E03755">
              <w:rPr>
                <w:rFonts w:cstheme="minorHAnsi"/>
                <w:b/>
                <w:bCs/>
                <w:sz w:val="20"/>
                <w:szCs w:val="20"/>
              </w:rPr>
              <w:t xml:space="preserve">EXAMPLE 9: Introduction of unleaded petrol in Singapore </w:t>
            </w:r>
          </w:p>
          <w:p w14:paraId="05DAB71F" w14:textId="77777777" w:rsidR="00D255B4" w:rsidRPr="002019D0" w:rsidRDefault="00D255B4" w:rsidP="00933F86">
            <w:pPr>
              <w:jc w:val="both"/>
              <w:rPr>
                <w:rFonts w:cstheme="minorHAnsi"/>
                <w:sz w:val="20"/>
                <w:szCs w:val="20"/>
              </w:rPr>
            </w:pPr>
          </w:p>
          <w:p w14:paraId="32AFDC48" w14:textId="77777777" w:rsidR="00D255B4" w:rsidRDefault="00D255B4" w:rsidP="00933F86">
            <w:pPr>
              <w:jc w:val="both"/>
              <w:rPr>
                <w:rFonts w:cstheme="minorHAnsi"/>
              </w:rPr>
            </w:pPr>
            <w:r w:rsidRPr="002019D0">
              <w:rPr>
                <w:rFonts w:cstheme="minorHAnsi"/>
                <w:sz w:val="20"/>
                <w:szCs w:val="20"/>
              </w:rPr>
              <w:t xml:space="preserve">Unleaded petrol was introduced in Singapore in 1991. Its use </w:t>
            </w:r>
            <w:r>
              <w:rPr>
                <w:rFonts w:cstheme="minorHAnsi"/>
                <w:sz w:val="20"/>
                <w:szCs w:val="20"/>
              </w:rPr>
              <w:t>was</w:t>
            </w:r>
            <w:r w:rsidRPr="002019D0">
              <w:rPr>
                <w:rFonts w:cstheme="minorHAnsi"/>
                <w:sz w:val="20"/>
                <w:szCs w:val="20"/>
              </w:rPr>
              <w:t xml:space="preserve"> encouraged through a differential tax system making unleaded petrol about 10 cents per liter cheaper than leaded petrol. </w:t>
            </w:r>
            <w:r>
              <w:rPr>
                <w:rFonts w:cstheme="minorHAnsi"/>
                <w:sz w:val="20"/>
                <w:szCs w:val="20"/>
              </w:rPr>
              <w:t>At</w:t>
            </w:r>
            <w:r w:rsidRPr="002019D0">
              <w:rPr>
                <w:rFonts w:cstheme="minorHAnsi"/>
                <w:sz w:val="20"/>
                <w:szCs w:val="20"/>
              </w:rPr>
              <w:t xml:space="preserve"> the end of 1997, the sale of unleaded petrol constituted about 75% of total petrol sales. Availability of unleaded petrol enabled Singapore to </w:t>
            </w:r>
            <w:r>
              <w:rPr>
                <w:rFonts w:cstheme="minorHAnsi"/>
                <w:sz w:val="20"/>
                <w:szCs w:val="20"/>
              </w:rPr>
              <w:t xml:space="preserve">rapidly adopt a </w:t>
            </w:r>
            <w:r w:rsidRPr="002019D0">
              <w:rPr>
                <w:rFonts w:cstheme="minorHAnsi"/>
                <w:sz w:val="20"/>
                <w:szCs w:val="20"/>
              </w:rPr>
              <w:t>more stringent exhaust emission standards for petrol-driven vehicles that require</w:t>
            </w:r>
            <w:r>
              <w:rPr>
                <w:rFonts w:cstheme="minorHAnsi"/>
                <w:sz w:val="20"/>
                <w:szCs w:val="20"/>
              </w:rPr>
              <w:t>d</w:t>
            </w:r>
            <w:r w:rsidRPr="002019D0">
              <w:rPr>
                <w:rFonts w:cstheme="minorHAnsi"/>
                <w:sz w:val="20"/>
                <w:szCs w:val="20"/>
              </w:rPr>
              <w:t xml:space="preserve"> the use of catalytic converters.  </w:t>
            </w:r>
            <w:r>
              <w:rPr>
                <w:rFonts w:cstheme="minorHAnsi"/>
                <w:sz w:val="20"/>
                <w:szCs w:val="20"/>
              </w:rPr>
              <w:t>O</w:t>
            </w:r>
            <w:r w:rsidRPr="002019D0">
              <w:rPr>
                <w:rFonts w:cstheme="minorHAnsi"/>
                <w:sz w:val="20"/>
                <w:szCs w:val="20"/>
              </w:rPr>
              <w:t>il companies voluntarily agreed to phase out leaded petrol by July 1998. (OECD &amp; UNEP, 1999)</w:t>
            </w:r>
            <w:r>
              <w:rPr>
                <w:rFonts w:cstheme="minorHAnsi"/>
                <w:sz w:val="20"/>
                <w:szCs w:val="20"/>
              </w:rPr>
              <w:t>.</w:t>
            </w:r>
          </w:p>
        </w:tc>
      </w:tr>
    </w:tbl>
    <w:p w14:paraId="37927CCE" w14:textId="77777777" w:rsidR="00D255B4" w:rsidRDefault="00D255B4" w:rsidP="00D255B4">
      <w:pPr>
        <w:jc w:val="both"/>
        <w:rPr>
          <w:rFonts w:cstheme="minorHAnsi"/>
        </w:rPr>
      </w:pPr>
    </w:p>
    <w:p w14:paraId="09CABD69" w14:textId="77777777" w:rsidR="00D255B4" w:rsidRDefault="00D255B4" w:rsidP="00D255B4">
      <w:pPr>
        <w:jc w:val="both"/>
        <w:rPr>
          <w:rFonts w:cstheme="minorHAnsi"/>
        </w:rPr>
      </w:pPr>
    </w:p>
    <w:p w14:paraId="41D11F10" w14:textId="77777777" w:rsidR="00D255B4" w:rsidRDefault="00D255B4" w:rsidP="00D255B4">
      <w:pPr>
        <w:jc w:val="both"/>
        <w:rPr>
          <w:rFonts w:cstheme="minorHAnsi"/>
        </w:rPr>
      </w:pPr>
    </w:p>
    <w:p w14:paraId="0EA19251" w14:textId="5E6AEB1C" w:rsidR="00D935A3" w:rsidRDefault="00D935A3">
      <w:pPr>
        <w:rPr>
          <w:rFonts w:cstheme="minorHAnsi"/>
        </w:rPr>
      </w:pPr>
      <w:r>
        <w:rPr>
          <w:rFonts w:cstheme="minorHAnsi"/>
        </w:rPr>
        <w:br w:type="page"/>
      </w:r>
    </w:p>
    <w:p w14:paraId="46CA83E3" w14:textId="77777777" w:rsidR="00D255B4" w:rsidRDefault="00D255B4" w:rsidP="00D255B4">
      <w:pPr>
        <w:jc w:val="both"/>
        <w:rPr>
          <w:rFonts w:cstheme="minorHAnsi"/>
        </w:rPr>
      </w:pPr>
    </w:p>
    <w:p w14:paraId="6776D74F" w14:textId="77777777" w:rsidR="00D255B4" w:rsidRDefault="00D255B4" w:rsidP="00D255B4">
      <w:pPr>
        <w:pStyle w:val="Heading2"/>
      </w:pPr>
      <w:bookmarkStart w:id="22" w:name="_Toc19213825"/>
      <w:r>
        <w:t>5.2 Subsidy removal</w:t>
      </w:r>
      <w:bookmarkEnd w:id="22"/>
      <w:r>
        <w:t xml:space="preserve">  </w:t>
      </w:r>
    </w:p>
    <w:p w14:paraId="552EE024" w14:textId="77777777" w:rsidR="00D255B4" w:rsidRPr="00DF57A5" w:rsidRDefault="00D255B4" w:rsidP="00D255B4">
      <w:pPr>
        <w:jc w:val="both"/>
        <w:rPr>
          <w:rFonts w:cstheme="minorHAnsi"/>
          <w:b/>
          <w:bCs/>
        </w:rPr>
      </w:pPr>
    </w:p>
    <w:p w14:paraId="0259BB3E" w14:textId="77777777" w:rsidR="00D255B4" w:rsidRPr="00DF57A5" w:rsidRDefault="00D255B4" w:rsidP="00D255B4">
      <w:pPr>
        <w:jc w:val="both"/>
        <w:rPr>
          <w:rFonts w:cstheme="minorHAnsi"/>
        </w:rPr>
      </w:pPr>
      <w:r w:rsidRPr="00DF57A5">
        <w:rPr>
          <w:rFonts w:cstheme="minorHAnsi"/>
        </w:rPr>
        <w:t xml:space="preserve">Subsidies </w:t>
      </w:r>
      <w:r>
        <w:rPr>
          <w:rFonts w:cstheme="minorHAnsi"/>
        </w:rPr>
        <w:t>which</w:t>
      </w:r>
      <w:r w:rsidRPr="00DF57A5">
        <w:rPr>
          <w:rFonts w:cstheme="minorHAnsi"/>
        </w:rPr>
        <w:t xml:space="preserve"> encourage </w:t>
      </w:r>
      <w:r>
        <w:rPr>
          <w:rFonts w:cstheme="minorHAnsi"/>
        </w:rPr>
        <w:t xml:space="preserve">the </w:t>
      </w:r>
      <w:r w:rsidRPr="00DF57A5">
        <w:rPr>
          <w:rFonts w:cstheme="minorHAnsi"/>
        </w:rPr>
        <w:t xml:space="preserve">unsound management of chemicals and waste form </w:t>
      </w:r>
      <w:r>
        <w:rPr>
          <w:rFonts w:cstheme="minorHAnsi"/>
        </w:rPr>
        <w:t>a</w:t>
      </w:r>
      <w:r w:rsidRPr="00DF57A5">
        <w:rPr>
          <w:rFonts w:cstheme="minorHAnsi"/>
        </w:rPr>
        <w:t xml:space="preserve"> category that should be addressed. </w:t>
      </w:r>
      <w:r>
        <w:rPr>
          <w:rFonts w:cstheme="minorHAnsi"/>
        </w:rPr>
        <w:t>Subsidies</w:t>
      </w:r>
      <w:r w:rsidRPr="00DF57A5">
        <w:rPr>
          <w:rFonts w:cstheme="minorHAnsi"/>
        </w:rPr>
        <w:t xml:space="preserve"> often emanate from unanticipated side-effects of policies designed to attain other objectives. Many countries </w:t>
      </w:r>
      <w:r>
        <w:rPr>
          <w:rFonts w:cstheme="minorHAnsi"/>
        </w:rPr>
        <w:t>heavily</w:t>
      </w:r>
      <w:r w:rsidRPr="00DF57A5">
        <w:rPr>
          <w:rFonts w:cstheme="minorHAnsi"/>
        </w:rPr>
        <w:t xml:space="preserve"> subsidi</w:t>
      </w:r>
      <w:r>
        <w:rPr>
          <w:rFonts w:cstheme="minorHAnsi"/>
        </w:rPr>
        <w:t xml:space="preserve">ze fertilizer and pesticide production and use </w:t>
      </w:r>
      <w:r w:rsidRPr="00DF57A5">
        <w:rPr>
          <w:rFonts w:cstheme="minorHAnsi"/>
        </w:rPr>
        <w:t>to promote agricultural production and increase food security (</w:t>
      </w:r>
      <w:proofErr w:type="spellStart"/>
      <w:r w:rsidRPr="00DF57A5">
        <w:rPr>
          <w:rFonts w:cstheme="minorHAnsi"/>
        </w:rPr>
        <w:t>Slunge</w:t>
      </w:r>
      <w:proofErr w:type="spellEnd"/>
      <w:r w:rsidRPr="00DF57A5">
        <w:rPr>
          <w:rFonts w:cstheme="minorHAnsi"/>
        </w:rPr>
        <w:t xml:space="preserve"> &amp; </w:t>
      </w:r>
      <w:proofErr w:type="spellStart"/>
      <w:r w:rsidRPr="00DF57A5">
        <w:rPr>
          <w:rFonts w:cstheme="minorHAnsi"/>
        </w:rPr>
        <w:t>Alpizar</w:t>
      </w:r>
      <w:proofErr w:type="spellEnd"/>
      <w:r w:rsidRPr="00DF57A5">
        <w:rPr>
          <w:rFonts w:cstheme="minorHAnsi"/>
        </w:rPr>
        <w:t xml:space="preserve">, 2019). However, these subsidies can have a severe negative environmental impact and </w:t>
      </w:r>
      <w:r>
        <w:rPr>
          <w:rFonts w:cstheme="minorHAnsi"/>
        </w:rPr>
        <w:t>have</w:t>
      </w:r>
      <w:r w:rsidRPr="00DF57A5">
        <w:rPr>
          <w:rFonts w:cstheme="minorHAnsi"/>
        </w:rPr>
        <w:t xml:space="preserve"> a high fiscal burden </w:t>
      </w:r>
      <w:r>
        <w:rPr>
          <w:rFonts w:cstheme="minorHAnsi"/>
        </w:rPr>
        <w:t>(</w:t>
      </w:r>
      <w:proofErr w:type="spellStart"/>
      <w:r w:rsidRPr="00DF57A5">
        <w:rPr>
          <w:rFonts w:cstheme="minorHAnsi"/>
        </w:rPr>
        <w:t>Slunge</w:t>
      </w:r>
      <w:proofErr w:type="spellEnd"/>
      <w:r w:rsidRPr="00DF57A5">
        <w:rPr>
          <w:rFonts w:cstheme="minorHAnsi"/>
        </w:rPr>
        <w:t xml:space="preserve"> &amp; </w:t>
      </w:r>
      <w:proofErr w:type="spellStart"/>
      <w:r w:rsidRPr="00DF57A5">
        <w:rPr>
          <w:rFonts w:cstheme="minorHAnsi"/>
        </w:rPr>
        <w:t>Alpizar</w:t>
      </w:r>
      <w:proofErr w:type="spellEnd"/>
      <w:r w:rsidRPr="00DF57A5">
        <w:rPr>
          <w:rFonts w:cstheme="minorHAnsi"/>
        </w:rPr>
        <w:t xml:space="preserve">, 2019). </w:t>
      </w:r>
      <w:r>
        <w:rPr>
          <w:rFonts w:cstheme="minorHAnsi"/>
        </w:rPr>
        <w:t xml:space="preserve">Particularly, </w:t>
      </w:r>
      <w:bookmarkStart w:id="23" w:name="_GoBack"/>
      <w:bookmarkEnd w:id="23"/>
      <w:r>
        <w:rPr>
          <w:rFonts w:cstheme="minorHAnsi"/>
        </w:rPr>
        <w:t xml:space="preserve">water </w:t>
      </w:r>
      <w:r w:rsidRPr="00DF57A5">
        <w:rPr>
          <w:rFonts w:cstheme="minorHAnsi"/>
          <w:shd w:val="clear" w:color="auto" w:fill="FFFFFF"/>
        </w:rPr>
        <w:t xml:space="preserve">quality </w:t>
      </w:r>
      <w:r>
        <w:rPr>
          <w:rFonts w:cstheme="minorHAnsi"/>
          <w:shd w:val="clear" w:color="auto" w:fill="FFFFFF"/>
        </w:rPr>
        <w:t>has deteriorat</w:t>
      </w:r>
      <w:r w:rsidRPr="00DF57A5">
        <w:rPr>
          <w:rFonts w:cstheme="minorHAnsi"/>
          <w:shd w:val="clear" w:color="auto" w:fill="FFFFFF"/>
        </w:rPr>
        <w:t xml:space="preserve">ed </w:t>
      </w:r>
      <w:r>
        <w:rPr>
          <w:rFonts w:cstheme="minorHAnsi"/>
          <w:shd w:val="clear" w:color="auto" w:fill="FFFFFF"/>
        </w:rPr>
        <w:t xml:space="preserve">due to excessive </w:t>
      </w:r>
      <w:r w:rsidRPr="00DF57A5">
        <w:rPr>
          <w:rFonts w:cstheme="minorHAnsi"/>
          <w:shd w:val="clear" w:color="auto" w:fill="FFFFFF"/>
        </w:rPr>
        <w:t>fertiliz</w:t>
      </w:r>
      <w:r>
        <w:rPr>
          <w:rFonts w:cstheme="minorHAnsi"/>
          <w:shd w:val="clear" w:color="auto" w:fill="FFFFFF"/>
        </w:rPr>
        <w:t xml:space="preserve">ation with nitrogen, which </w:t>
      </w:r>
      <w:r w:rsidRPr="00DF57A5">
        <w:rPr>
          <w:rFonts w:cstheme="minorHAnsi"/>
          <w:shd w:val="clear" w:color="auto" w:fill="FFFFFF"/>
        </w:rPr>
        <w:t xml:space="preserve">eventually </w:t>
      </w:r>
      <w:r>
        <w:rPr>
          <w:rFonts w:cstheme="minorHAnsi"/>
          <w:shd w:val="clear" w:color="auto" w:fill="FFFFFF"/>
        </w:rPr>
        <w:t xml:space="preserve">enters in </w:t>
      </w:r>
      <w:r w:rsidRPr="00DF57A5">
        <w:rPr>
          <w:rFonts w:cstheme="minorHAnsi"/>
          <w:shd w:val="clear" w:color="auto" w:fill="FFFFFF"/>
        </w:rPr>
        <w:t>water bodies where it transforms into nitrates</w:t>
      </w:r>
      <w:r>
        <w:rPr>
          <w:rFonts w:cstheme="minorHAnsi"/>
          <w:shd w:val="clear" w:color="auto" w:fill="FFFFFF"/>
        </w:rPr>
        <w:t xml:space="preserve"> causing serious consequences for </w:t>
      </w:r>
      <w:r w:rsidRPr="00DF57A5">
        <w:rPr>
          <w:rFonts w:cstheme="minorHAnsi"/>
          <w:shd w:val="clear" w:color="auto" w:fill="FFFFFF"/>
        </w:rPr>
        <w:t xml:space="preserve">growth and brain development of </w:t>
      </w:r>
      <w:r>
        <w:rPr>
          <w:rFonts w:cstheme="minorHAnsi"/>
          <w:shd w:val="clear" w:color="auto" w:fill="FFFFFF"/>
        </w:rPr>
        <w:t xml:space="preserve">exposed </w:t>
      </w:r>
      <w:r w:rsidRPr="00DF57A5">
        <w:rPr>
          <w:rFonts w:cstheme="minorHAnsi"/>
          <w:shd w:val="clear" w:color="auto" w:fill="FFFFFF"/>
        </w:rPr>
        <w:t>children</w:t>
      </w:r>
      <w:r>
        <w:rPr>
          <w:rFonts w:cstheme="minorHAnsi"/>
          <w:shd w:val="clear" w:color="auto" w:fill="FFFFFF"/>
        </w:rPr>
        <w:t xml:space="preserve"> (</w:t>
      </w:r>
      <w:proofErr w:type="spellStart"/>
      <w:r>
        <w:rPr>
          <w:rFonts w:cstheme="minorHAnsi"/>
          <w:shd w:val="clear" w:color="auto" w:fill="FFFFFF"/>
        </w:rPr>
        <w:t>Damania</w:t>
      </w:r>
      <w:proofErr w:type="spellEnd"/>
      <w:r>
        <w:rPr>
          <w:rFonts w:cstheme="minorHAnsi"/>
          <w:shd w:val="clear" w:color="auto" w:fill="FFFFFF"/>
        </w:rPr>
        <w:t xml:space="preserve"> et al., 2019)</w:t>
      </w:r>
      <w:r w:rsidRPr="00DF57A5">
        <w:rPr>
          <w:rFonts w:cstheme="minorHAnsi"/>
          <w:shd w:val="clear" w:color="auto" w:fill="FFFFFF"/>
        </w:rPr>
        <w:t xml:space="preserve">. </w:t>
      </w:r>
      <w:r>
        <w:rPr>
          <w:rFonts w:cstheme="minorHAnsi"/>
          <w:shd w:val="clear" w:color="auto" w:fill="FFFFFF"/>
        </w:rPr>
        <w:t>Excess nitrogen and phosphates applied to croplands also ends up in aquatic systems leading to eutrophication and largescale dead zones and thereby disrupting other key sectors such as tourism and fisheries</w:t>
      </w:r>
      <w:r w:rsidRPr="00DF57A5">
        <w:rPr>
          <w:rFonts w:cstheme="minorHAnsi"/>
          <w:shd w:val="clear" w:color="auto" w:fill="FFFFFF"/>
        </w:rPr>
        <w:t>.</w:t>
      </w:r>
    </w:p>
    <w:p w14:paraId="4770FE28" w14:textId="77777777" w:rsidR="00D255B4" w:rsidRDefault="00D255B4" w:rsidP="00D255B4">
      <w:pPr>
        <w:jc w:val="both"/>
        <w:rPr>
          <w:rFonts w:cstheme="minorHAnsi"/>
          <w:b/>
          <w:bCs/>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2F326FA2" w14:textId="77777777" w:rsidTr="00933F86">
        <w:tc>
          <w:tcPr>
            <w:tcW w:w="9350" w:type="dxa"/>
          </w:tcPr>
          <w:p w14:paraId="54D32D0F" w14:textId="77777777" w:rsidR="00D255B4" w:rsidRPr="00EF3CE0" w:rsidRDefault="00D255B4" w:rsidP="00933F86">
            <w:pPr>
              <w:jc w:val="both"/>
              <w:rPr>
                <w:rFonts w:cstheme="minorHAnsi"/>
                <w:b/>
                <w:bCs/>
                <w:sz w:val="20"/>
                <w:szCs w:val="20"/>
              </w:rPr>
            </w:pPr>
            <w:r w:rsidRPr="00EF3CE0">
              <w:rPr>
                <w:rFonts w:cstheme="minorHAnsi"/>
                <w:b/>
                <w:bCs/>
                <w:sz w:val="20"/>
                <w:szCs w:val="20"/>
              </w:rPr>
              <w:t xml:space="preserve">EXAMPLE 10: Reform of subsidy scheme for chemical fertilizer in India </w:t>
            </w:r>
          </w:p>
          <w:p w14:paraId="447471D7" w14:textId="77777777" w:rsidR="00D255B4" w:rsidRPr="003D30E6" w:rsidRDefault="00D255B4" w:rsidP="00933F86">
            <w:pPr>
              <w:jc w:val="both"/>
              <w:rPr>
                <w:rFonts w:cstheme="minorHAnsi"/>
                <w:b/>
                <w:bCs/>
                <w:i/>
                <w:iCs/>
                <w:sz w:val="20"/>
                <w:szCs w:val="20"/>
              </w:rPr>
            </w:pPr>
          </w:p>
          <w:p w14:paraId="42401355" w14:textId="77777777" w:rsidR="00D255B4" w:rsidRDefault="00D255B4" w:rsidP="00933F86">
            <w:pPr>
              <w:jc w:val="both"/>
              <w:rPr>
                <w:rFonts w:cstheme="minorHAnsi"/>
              </w:rPr>
            </w:pPr>
            <w:r w:rsidRPr="004C00A5">
              <w:rPr>
                <w:rFonts w:cstheme="minorHAnsi"/>
                <w:sz w:val="20"/>
                <w:szCs w:val="20"/>
              </w:rPr>
              <w:t xml:space="preserve">To increase agricultural production in India, the central government </w:t>
            </w:r>
            <w:r>
              <w:rPr>
                <w:rFonts w:cstheme="minorHAnsi"/>
                <w:sz w:val="20"/>
                <w:szCs w:val="20"/>
              </w:rPr>
              <w:t xml:space="preserve">began </w:t>
            </w:r>
            <w:r w:rsidRPr="004C00A5">
              <w:rPr>
                <w:rFonts w:cstheme="minorHAnsi"/>
                <w:sz w:val="20"/>
                <w:szCs w:val="20"/>
              </w:rPr>
              <w:t>subsidiz</w:t>
            </w:r>
            <w:r>
              <w:rPr>
                <w:rFonts w:cstheme="minorHAnsi"/>
                <w:sz w:val="20"/>
                <w:szCs w:val="20"/>
              </w:rPr>
              <w:t>ing</w:t>
            </w:r>
            <w:r w:rsidRPr="004C00A5">
              <w:rPr>
                <w:rFonts w:cstheme="minorHAnsi"/>
                <w:sz w:val="20"/>
                <w:szCs w:val="20"/>
              </w:rPr>
              <w:t xml:space="preserve"> the use of chemical fertilizers </w:t>
            </w:r>
            <w:r>
              <w:rPr>
                <w:rFonts w:cstheme="minorHAnsi"/>
                <w:sz w:val="20"/>
                <w:szCs w:val="20"/>
              </w:rPr>
              <w:t xml:space="preserve">in </w:t>
            </w:r>
            <w:r w:rsidRPr="004C00A5">
              <w:rPr>
                <w:rFonts w:cstheme="minorHAnsi"/>
                <w:sz w:val="20"/>
                <w:szCs w:val="20"/>
              </w:rPr>
              <w:t>197</w:t>
            </w:r>
            <w:r>
              <w:rPr>
                <w:rFonts w:cstheme="minorHAnsi"/>
                <w:sz w:val="20"/>
                <w:szCs w:val="20"/>
              </w:rPr>
              <w:t>7 (</w:t>
            </w:r>
            <w:proofErr w:type="spellStart"/>
            <w:r>
              <w:rPr>
                <w:rFonts w:cstheme="minorHAnsi"/>
                <w:sz w:val="20"/>
                <w:szCs w:val="20"/>
              </w:rPr>
              <w:t>Ravinutala</w:t>
            </w:r>
            <w:proofErr w:type="spellEnd"/>
            <w:r>
              <w:rPr>
                <w:rFonts w:cstheme="minorHAnsi"/>
                <w:sz w:val="20"/>
                <w:szCs w:val="20"/>
              </w:rPr>
              <w:t>, 2016)</w:t>
            </w:r>
            <w:r w:rsidRPr="004C00A5">
              <w:rPr>
                <w:rFonts w:cstheme="minorHAnsi"/>
                <w:sz w:val="20"/>
                <w:szCs w:val="20"/>
              </w:rPr>
              <w:t xml:space="preserve">. </w:t>
            </w:r>
            <w:r>
              <w:rPr>
                <w:rFonts w:cstheme="minorHAnsi"/>
                <w:sz w:val="20"/>
                <w:szCs w:val="20"/>
              </w:rPr>
              <w:t>I</w:t>
            </w:r>
            <w:r w:rsidRPr="004C00A5">
              <w:rPr>
                <w:rFonts w:cstheme="minorHAnsi"/>
                <w:sz w:val="20"/>
                <w:szCs w:val="20"/>
              </w:rPr>
              <w:t xml:space="preserve">n 2015, </w:t>
            </w:r>
            <w:r>
              <w:rPr>
                <w:rFonts w:cstheme="minorHAnsi"/>
                <w:sz w:val="20"/>
                <w:szCs w:val="20"/>
              </w:rPr>
              <w:t>the cost of fertilizer use in India was</w:t>
            </w:r>
            <w:r w:rsidRPr="004C00A5">
              <w:rPr>
                <w:rFonts w:cstheme="minorHAnsi"/>
                <w:sz w:val="20"/>
                <w:szCs w:val="20"/>
              </w:rPr>
              <w:t xml:space="preserve"> approximately USD 12 billion (</w:t>
            </w:r>
            <w:r w:rsidRPr="004C00A5">
              <w:rPr>
                <w:sz w:val="20"/>
                <w:szCs w:val="20"/>
              </w:rPr>
              <w:t>Gulati and Banerjee, 2015</w:t>
            </w:r>
            <w:r w:rsidRPr="004C00A5">
              <w:rPr>
                <w:rFonts w:cstheme="minorHAnsi"/>
                <w:sz w:val="20"/>
                <w:szCs w:val="20"/>
              </w:rPr>
              <w:t xml:space="preserve">). </w:t>
            </w:r>
            <w:r>
              <w:rPr>
                <w:rFonts w:cstheme="minorHAnsi"/>
                <w:sz w:val="20"/>
                <w:szCs w:val="20"/>
              </w:rPr>
              <w:t>L</w:t>
            </w:r>
            <w:r w:rsidRPr="004C00A5">
              <w:rPr>
                <w:rFonts w:cstheme="minorHAnsi"/>
                <w:sz w:val="20"/>
                <w:szCs w:val="20"/>
              </w:rPr>
              <w:t>arge areas of farmland</w:t>
            </w:r>
            <w:r>
              <w:rPr>
                <w:rFonts w:cstheme="minorHAnsi"/>
                <w:sz w:val="20"/>
                <w:szCs w:val="20"/>
              </w:rPr>
              <w:t xml:space="preserve"> applying nitrogen (N) rich urea based fertilizers</w:t>
            </w:r>
            <w:r w:rsidRPr="004C00A5">
              <w:rPr>
                <w:rFonts w:cstheme="minorHAnsi"/>
                <w:sz w:val="20"/>
                <w:szCs w:val="20"/>
              </w:rPr>
              <w:t xml:space="preserve"> </w:t>
            </w:r>
            <w:r>
              <w:rPr>
                <w:rFonts w:cstheme="minorHAnsi"/>
                <w:sz w:val="20"/>
                <w:szCs w:val="20"/>
              </w:rPr>
              <w:t xml:space="preserve">have significantly lost fertility </w:t>
            </w:r>
            <w:r w:rsidRPr="004C00A5">
              <w:rPr>
                <w:rFonts w:cstheme="minorHAnsi"/>
                <w:sz w:val="20"/>
                <w:szCs w:val="20"/>
              </w:rPr>
              <w:t xml:space="preserve">due to excessive fertilization with </w:t>
            </w:r>
            <w:proofErr w:type="gramStart"/>
            <w:r w:rsidRPr="004C00A5">
              <w:rPr>
                <w:rFonts w:cstheme="minorHAnsi"/>
                <w:sz w:val="20"/>
                <w:szCs w:val="20"/>
              </w:rPr>
              <w:t>urea(</w:t>
            </w:r>
            <w:proofErr w:type="gramEnd"/>
            <w:r w:rsidRPr="004C00A5">
              <w:rPr>
                <w:rFonts w:cstheme="minorHAnsi"/>
                <w:sz w:val="20"/>
                <w:szCs w:val="20"/>
              </w:rPr>
              <w:t>CBD, 2011). Reforms have been taken to balance the use of fertilizers</w:t>
            </w:r>
            <w:r>
              <w:rPr>
                <w:rFonts w:cstheme="minorHAnsi"/>
                <w:sz w:val="20"/>
                <w:szCs w:val="20"/>
              </w:rPr>
              <w:t xml:space="preserve">, including a 10 percent increase in the price of N rich </w:t>
            </w:r>
            <w:proofErr w:type="gramStart"/>
            <w:r>
              <w:rPr>
                <w:rFonts w:cstheme="minorHAnsi"/>
                <w:sz w:val="20"/>
                <w:szCs w:val="20"/>
              </w:rPr>
              <w:t>urea based</w:t>
            </w:r>
            <w:proofErr w:type="gramEnd"/>
            <w:r>
              <w:rPr>
                <w:rFonts w:cstheme="minorHAnsi"/>
                <w:sz w:val="20"/>
                <w:szCs w:val="20"/>
              </w:rPr>
              <w:t xml:space="preserve"> fertilizers</w:t>
            </w:r>
            <w:r w:rsidRPr="004C00A5">
              <w:rPr>
                <w:rFonts w:cstheme="minorHAnsi"/>
                <w:sz w:val="20"/>
                <w:szCs w:val="20"/>
              </w:rPr>
              <w:t xml:space="preserve">. In 2009, </w:t>
            </w:r>
            <w:r w:rsidRPr="004C00A5">
              <w:rPr>
                <w:sz w:val="20"/>
                <w:szCs w:val="20"/>
              </w:rPr>
              <w:t xml:space="preserve">the Indian Cabinet decided to relax controls on the prices of fertilizers, with the exception of </w:t>
            </w:r>
            <w:proofErr w:type="gramStart"/>
            <w:r w:rsidRPr="004C00A5">
              <w:rPr>
                <w:sz w:val="20"/>
                <w:szCs w:val="20"/>
              </w:rPr>
              <w:t>urea(</w:t>
            </w:r>
            <w:proofErr w:type="gramEnd"/>
            <w:r w:rsidRPr="004C00A5">
              <w:rPr>
                <w:sz w:val="20"/>
                <w:szCs w:val="20"/>
              </w:rPr>
              <w:t>CBD</w:t>
            </w:r>
            <w:r>
              <w:rPr>
                <w:sz w:val="20"/>
                <w:szCs w:val="20"/>
              </w:rPr>
              <w:t>,</w:t>
            </w:r>
            <w:r w:rsidRPr="004C00A5">
              <w:rPr>
                <w:sz w:val="20"/>
                <w:szCs w:val="20"/>
              </w:rPr>
              <w:t xml:space="preserve"> 2011). </w:t>
            </w:r>
            <w:r>
              <w:rPr>
                <w:sz w:val="20"/>
                <w:szCs w:val="20"/>
              </w:rPr>
              <w:t>It</w:t>
            </w:r>
            <w:r w:rsidRPr="004C00A5">
              <w:rPr>
                <w:rFonts w:cstheme="minorHAnsi"/>
                <w:sz w:val="20"/>
                <w:szCs w:val="20"/>
              </w:rPr>
              <w:t xml:space="preserve"> </w:t>
            </w:r>
            <w:r>
              <w:rPr>
                <w:rFonts w:cstheme="minorHAnsi"/>
                <w:sz w:val="20"/>
                <w:szCs w:val="20"/>
              </w:rPr>
              <w:t>was hoped this would</w:t>
            </w:r>
            <w:r w:rsidRPr="004C00A5">
              <w:rPr>
                <w:rFonts w:cstheme="minorHAnsi"/>
                <w:sz w:val="20"/>
                <w:szCs w:val="20"/>
              </w:rPr>
              <w:t xml:space="preserve"> favor the use of</w:t>
            </w:r>
            <w:r w:rsidRPr="004C00A5">
              <w:rPr>
                <w:sz w:val="20"/>
                <w:szCs w:val="20"/>
              </w:rPr>
              <w:t xml:space="preserve"> potassic (K) and phosphate (P) based fertilizers </w:t>
            </w:r>
            <w:r>
              <w:rPr>
                <w:sz w:val="20"/>
                <w:szCs w:val="20"/>
              </w:rPr>
              <w:t>in relation in place of N rich urea (CBD, 2011)</w:t>
            </w:r>
            <w:r w:rsidRPr="004C00A5">
              <w:rPr>
                <w:sz w:val="20"/>
                <w:szCs w:val="20"/>
              </w:rPr>
              <w:t xml:space="preserve">. </w:t>
            </w:r>
            <w:r w:rsidRPr="00561605">
              <w:rPr>
                <w:sz w:val="20"/>
                <w:szCs w:val="20"/>
              </w:rPr>
              <w:t xml:space="preserve">In 2018, the subsidy </w:t>
            </w:r>
            <w:proofErr w:type="spellStart"/>
            <w:r w:rsidRPr="00561605">
              <w:rPr>
                <w:sz w:val="20"/>
                <w:szCs w:val="20"/>
              </w:rPr>
              <w:t>progr</w:t>
            </w:r>
            <w:r>
              <w:rPr>
                <w:sz w:val="20"/>
                <w:szCs w:val="20"/>
              </w:rPr>
              <w:t>a</w:t>
            </w:r>
            <w:r w:rsidRPr="00561605">
              <w:rPr>
                <w:sz w:val="20"/>
                <w:szCs w:val="20"/>
              </w:rPr>
              <w:t>mme</w:t>
            </w:r>
            <w:proofErr w:type="spellEnd"/>
            <w:r w:rsidRPr="00561605">
              <w:rPr>
                <w:sz w:val="20"/>
                <w:szCs w:val="20"/>
              </w:rPr>
              <w:t xml:space="preserve"> was reformed </w:t>
            </w:r>
            <w:r>
              <w:rPr>
                <w:sz w:val="20"/>
                <w:szCs w:val="20"/>
              </w:rPr>
              <w:t xml:space="preserve">once </w:t>
            </w:r>
            <w:r w:rsidRPr="00561605">
              <w:rPr>
                <w:sz w:val="20"/>
                <w:szCs w:val="20"/>
              </w:rPr>
              <w:t>again to prevent overuse of fertilizers and reduce costs (</w:t>
            </w:r>
            <w:proofErr w:type="spellStart"/>
            <w:r w:rsidRPr="00561605">
              <w:rPr>
                <w:rFonts w:cstheme="minorHAnsi"/>
                <w:sz w:val="20"/>
                <w:szCs w:val="20"/>
              </w:rPr>
              <w:t>Slunge</w:t>
            </w:r>
            <w:proofErr w:type="spellEnd"/>
            <w:r w:rsidRPr="00561605">
              <w:rPr>
                <w:rFonts w:cstheme="minorHAnsi"/>
                <w:sz w:val="20"/>
                <w:szCs w:val="20"/>
              </w:rPr>
              <w:t xml:space="preserve"> &amp; </w:t>
            </w:r>
            <w:proofErr w:type="spellStart"/>
            <w:r w:rsidRPr="00561605">
              <w:rPr>
                <w:rFonts w:cstheme="minorHAnsi"/>
                <w:sz w:val="20"/>
                <w:szCs w:val="20"/>
              </w:rPr>
              <w:t>Alpizar</w:t>
            </w:r>
            <w:proofErr w:type="spellEnd"/>
            <w:r w:rsidRPr="00561605">
              <w:rPr>
                <w:rFonts w:cstheme="minorHAnsi"/>
                <w:sz w:val="20"/>
                <w:szCs w:val="20"/>
              </w:rPr>
              <w:t>, 2019).</w:t>
            </w:r>
            <w:r>
              <w:rPr>
                <w:rFonts w:cstheme="minorHAnsi"/>
                <w:sz w:val="20"/>
                <w:szCs w:val="20"/>
              </w:rPr>
              <w:t xml:space="preserve">  </w:t>
            </w:r>
          </w:p>
        </w:tc>
      </w:tr>
      <w:tr w:rsidR="00D255B4" w14:paraId="6E03D08B" w14:textId="77777777" w:rsidTr="00933F86">
        <w:trPr>
          <w:trHeight w:val="2726"/>
        </w:trPr>
        <w:tc>
          <w:tcPr>
            <w:tcW w:w="9350" w:type="dxa"/>
          </w:tcPr>
          <w:p w14:paraId="3CF165D4" w14:textId="77777777" w:rsidR="00D255B4" w:rsidRPr="00E03755" w:rsidRDefault="00D255B4" w:rsidP="00933F86">
            <w:pPr>
              <w:rPr>
                <w:rFonts w:cstheme="minorHAnsi"/>
                <w:b/>
                <w:bCs/>
                <w:sz w:val="20"/>
                <w:szCs w:val="20"/>
              </w:rPr>
            </w:pPr>
            <w:r w:rsidRPr="00E03755">
              <w:rPr>
                <w:rFonts w:cstheme="minorHAnsi"/>
                <w:b/>
                <w:bCs/>
                <w:sz w:val="20"/>
                <w:szCs w:val="20"/>
              </w:rPr>
              <w:t xml:space="preserve">EXAMPLE 11: Removal of pesticide subsidies in Indonesia </w:t>
            </w:r>
          </w:p>
          <w:p w14:paraId="13DC56E7" w14:textId="77777777" w:rsidR="00D255B4" w:rsidRDefault="00D255B4" w:rsidP="00933F86">
            <w:pPr>
              <w:rPr>
                <w:rFonts w:cstheme="minorHAnsi"/>
                <w:b/>
                <w:bCs/>
                <w:i/>
                <w:iCs/>
                <w:sz w:val="20"/>
                <w:szCs w:val="20"/>
              </w:rPr>
            </w:pPr>
          </w:p>
          <w:p w14:paraId="06FE8A14" w14:textId="77777777" w:rsidR="00D255B4" w:rsidRDefault="00D255B4" w:rsidP="00933F86">
            <w:pPr>
              <w:jc w:val="both"/>
              <w:rPr>
                <w:rFonts w:cstheme="minorHAnsi"/>
              </w:rPr>
            </w:pPr>
            <w:r w:rsidRPr="005E3D8E">
              <w:rPr>
                <w:sz w:val="20"/>
                <w:szCs w:val="20"/>
              </w:rPr>
              <w:t xml:space="preserve">In </w:t>
            </w:r>
            <w:r>
              <w:rPr>
                <w:sz w:val="20"/>
                <w:szCs w:val="20"/>
              </w:rPr>
              <w:t xml:space="preserve">the </w:t>
            </w:r>
            <w:r w:rsidRPr="005E3D8E">
              <w:rPr>
                <w:sz w:val="20"/>
                <w:szCs w:val="20"/>
              </w:rPr>
              <w:t>mid</w:t>
            </w:r>
            <w:r>
              <w:rPr>
                <w:sz w:val="20"/>
                <w:szCs w:val="20"/>
              </w:rPr>
              <w:t>-19</w:t>
            </w:r>
            <w:r w:rsidRPr="005E3D8E">
              <w:rPr>
                <w:sz w:val="20"/>
                <w:szCs w:val="20"/>
              </w:rPr>
              <w:t xml:space="preserve">80s, a decrease in rice production </w:t>
            </w:r>
            <w:r>
              <w:rPr>
                <w:sz w:val="20"/>
                <w:szCs w:val="20"/>
              </w:rPr>
              <w:t xml:space="preserve">was </w:t>
            </w:r>
            <w:r w:rsidRPr="005E3D8E">
              <w:rPr>
                <w:sz w:val="20"/>
                <w:szCs w:val="20"/>
              </w:rPr>
              <w:t xml:space="preserve">observed </w:t>
            </w:r>
            <w:r>
              <w:rPr>
                <w:sz w:val="20"/>
                <w:szCs w:val="20"/>
              </w:rPr>
              <w:t>in Indonesia as a result of</w:t>
            </w:r>
            <w:r w:rsidRPr="005E3D8E">
              <w:rPr>
                <w:sz w:val="20"/>
                <w:szCs w:val="20"/>
              </w:rPr>
              <w:t xml:space="preserve"> the overuse of pesticides</w:t>
            </w:r>
            <w:r>
              <w:rPr>
                <w:sz w:val="20"/>
                <w:szCs w:val="20"/>
              </w:rPr>
              <w:t xml:space="preserve">. Overuse </w:t>
            </w:r>
            <w:r w:rsidRPr="005E3D8E">
              <w:rPr>
                <w:sz w:val="20"/>
                <w:szCs w:val="20"/>
              </w:rPr>
              <w:t xml:space="preserve">had wiped out natural enemies of many pests, including the brown rice planthopper. </w:t>
            </w:r>
            <w:r>
              <w:rPr>
                <w:sz w:val="20"/>
                <w:szCs w:val="20"/>
              </w:rPr>
              <w:t xml:space="preserve">The economic loss </w:t>
            </w:r>
            <w:r w:rsidRPr="005E3D8E">
              <w:rPr>
                <w:sz w:val="20"/>
                <w:szCs w:val="20"/>
              </w:rPr>
              <w:t xml:space="preserve">to the rice sector from pest infestations </w:t>
            </w:r>
            <w:r>
              <w:rPr>
                <w:sz w:val="20"/>
                <w:szCs w:val="20"/>
              </w:rPr>
              <w:t xml:space="preserve">was estimated to be </w:t>
            </w:r>
            <w:r w:rsidRPr="005E3D8E">
              <w:rPr>
                <w:sz w:val="20"/>
                <w:szCs w:val="20"/>
              </w:rPr>
              <w:t xml:space="preserve">USD 1.5 billion. In 1986, </w:t>
            </w:r>
            <w:r>
              <w:rPr>
                <w:sz w:val="20"/>
                <w:szCs w:val="20"/>
              </w:rPr>
              <w:t xml:space="preserve">the Indonesian government removed </w:t>
            </w:r>
            <w:r w:rsidRPr="005E3D8E">
              <w:rPr>
                <w:sz w:val="20"/>
                <w:szCs w:val="20"/>
              </w:rPr>
              <w:t>pesticide subsidies</w:t>
            </w:r>
            <w:r>
              <w:rPr>
                <w:sz w:val="20"/>
                <w:szCs w:val="20"/>
              </w:rPr>
              <w:t>. This led to pesticide applications being halved and</w:t>
            </w:r>
            <w:r w:rsidRPr="005E3D8E">
              <w:rPr>
                <w:sz w:val="20"/>
                <w:szCs w:val="20"/>
              </w:rPr>
              <w:t xml:space="preserve"> </w:t>
            </w:r>
            <w:r>
              <w:rPr>
                <w:sz w:val="20"/>
                <w:szCs w:val="20"/>
              </w:rPr>
              <w:t xml:space="preserve">a growth in rice </w:t>
            </w:r>
            <w:r w:rsidRPr="005E3D8E">
              <w:rPr>
                <w:sz w:val="20"/>
                <w:szCs w:val="20"/>
              </w:rPr>
              <w:t xml:space="preserve">production </w:t>
            </w:r>
            <w:r>
              <w:rPr>
                <w:sz w:val="20"/>
                <w:szCs w:val="20"/>
              </w:rPr>
              <w:t xml:space="preserve">with </w:t>
            </w:r>
            <w:r w:rsidRPr="005E3D8E">
              <w:rPr>
                <w:sz w:val="20"/>
                <w:szCs w:val="20"/>
              </w:rPr>
              <w:t>three million tons over four years</w:t>
            </w:r>
            <w:r>
              <w:rPr>
                <w:sz w:val="20"/>
                <w:szCs w:val="20"/>
              </w:rPr>
              <w:t xml:space="preserve"> was observed</w:t>
            </w:r>
            <w:r w:rsidRPr="005E3D8E">
              <w:rPr>
                <w:sz w:val="20"/>
                <w:szCs w:val="20"/>
              </w:rPr>
              <w:t>. An additional benefit was the US</w:t>
            </w:r>
            <w:r>
              <w:rPr>
                <w:sz w:val="20"/>
                <w:szCs w:val="20"/>
              </w:rPr>
              <w:t xml:space="preserve">D </w:t>
            </w:r>
            <w:r w:rsidRPr="005E3D8E">
              <w:rPr>
                <w:sz w:val="20"/>
                <w:szCs w:val="20"/>
              </w:rPr>
              <w:t xml:space="preserve">100 million fiscal saving resulting from </w:t>
            </w:r>
            <w:r>
              <w:rPr>
                <w:sz w:val="20"/>
                <w:szCs w:val="20"/>
              </w:rPr>
              <w:t>the</w:t>
            </w:r>
            <w:r w:rsidRPr="005E3D8E">
              <w:rPr>
                <w:sz w:val="20"/>
                <w:szCs w:val="20"/>
              </w:rPr>
              <w:t xml:space="preserve"> elimination</w:t>
            </w:r>
            <w:r>
              <w:rPr>
                <w:sz w:val="20"/>
                <w:szCs w:val="20"/>
              </w:rPr>
              <w:t xml:space="preserve"> on these subsidies</w:t>
            </w:r>
            <w:r w:rsidRPr="005E3D8E">
              <w:rPr>
                <w:sz w:val="20"/>
                <w:szCs w:val="20"/>
              </w:rPr>
              <w:t xml:space="preserve">. </w:t>
            </w:r>
            <w:r>
              <w:rPr>
                <w:sz w:val="20"/>
                <w:szCs w:val="20"/>
              </w:rPr>
              <w:t>The p</w:t>
            </w:r>
            <w:r w:rsidRPr="00E85882">
              <w:rPr>
                <w:sz w:val="20"/>
                <w:szCs w:val="20"/>
              </w:rPr>
              <w:t xml:space="preserve">esticide subsidy removal occurred at the same time </w:t>
            </w:r>
            <w:r>
              <w:rPr>
                <w:sz w:val="20"/>
                <w:szCs w:val="20"/>
              </w:rPr>
              <w:t>with the</w:t>
            </w:r>
            <w:r w:rsidRPr="00E85882">
              <w:rPr>
                <w:sz w:val="20"/>
                <w:szCs w:val="20"/>
              </w:rPr>
              <w:t xml:space="preserve"> adoption of </w:t>
            </w:r>
            <w:r>
              <w:rPr>
                <w:sz w:val="20"/>
                <w:szCs w:val="20"/>
              </w:rPr>
              <w:t>i</w:t>
            </w:r>
            <w:r w:rsidRPr="00E85882">
              <w:rPr>
                <w:sz w:val="20"/>
                <w:szCs w:val="20"/>
              </w:rPr>
              <w:t xml:space="preserve">ntegrated </w:t>
            </w:r>
            <w:r>
              <w:rPr>
                <w:sz w:val="20"/>
                <w:szCs w:val="20"/>
              </w:rPr>
              <w:t>p</w:t>
            </w:r>
            <w:r w:rsidRPr="00E85882">
              <w:rPr>
                <w:sz w:val="20"/>
                <w:szCs w:val="20"/>
              </w:rPr>
              <w:t xml:space="preserve">est </w:t>
            </w:r>
            <w:r>
              <w:rPr>
                <w:sz w:val="20"/>
                <w:szCs w:val="20"/>
              </w:rPr>
              <w:t>m</w:t>
            </w:r>
            <w:r w:rsidRPr="00E85882">
              <w:rPr>
                <w:sz w:val="20"/>
                <w:szCs w:val="20"/>
              </w:rPr>
              <w:t xml:space="preserve">anagement </w:t>
            </w:r>
            <w:proofErr w:type="spellStart"/>
            <w:r>
              <w:rPr>
                <w:sz w:val="20"/>
                <w:szCs w:val="20"/>
              </w:rPr>
              <w:t>programme</w:t>
            </w:r>
            <w:proofErr w:type="spellEnd"/>
            <w:r>
              <w:rPr>
                <w:sz w:val="20"/>
                <w:szCs w:val="20"/>
              </w:rPr>
              <w:t xml:space="preserve"> </w:t>
            </w:r>
            <w:r w:rsidRPr="00E85882">
              <w:rPr>
                <w:sz w:val="20"/>
                <w:szCs w:val="20"/>
              </w:rPr>
              <w:t>and the decentralization of many government functions, including agricultural extension, which made i</w:t>
            </w:r>
            <w:r>
              <w:rPr>
                <w:sz w:val="20"/>
                <w:szCs w:val="20"/>
              </w:rPr>
              <w:t>t</w:t>
            </w:r>
            <w:r w:rsidRPr="00E85882">
              <w:rPr>
                <w:sz w:val="20"/>
                <w:szCs w:val="20"/>
              </w:rPr>
              <w:t xml:space="preserve"> more likely to succeed. Th</w:t>
            </w:r>
            <w:r>
              <w:rPr>
                <w:sz w:val="20"/>
                <w:szCs w:val="20"/>
              </w:rPr>
              <w:t>e</w:t>
            </w:r>
            <w:r w:rsidRPr="00E85882">
              <w:rPr>
                <w:sz w:val="20"/>
                <w:szCs w:val="20"/>
              </w:rPr>
              <w:t xml:space="preserve"> experience suggests that subsidy removal is feasible even when there is strong opposition from some stakeholders</w:t>
            </w:r>
            <w:r>
              <w:rPr>
                <w:sz w:val="20"/>
                <w:szCs w:val="20"/>
              </w:rPr>
              <w:t xml:space="preserve"> (CBD, 2011).</w:t>
            </w:r>
          </w:p>
        </w:tc>
      </w:tr>
    </w:tbl>
    <w:p w14:paraId="236455F1" w14:textId="77777777" w:rsidR="00D255B4" w:rsidRDefault="00D255B4" w:rsidP="00D255B4">
      <w:pPr>
        <w:rPr>
          <w:rFonts w:cstheme="minorHAnsi"/>
        </w:rPr>
      </w:pPr>
    </w:p>
    <w:p w14:paraId="5B41B253" w14:textId="77777777" w:rsidR="00D255B4" w:rsidRDefault="00D255B4" w:rsidP="00D255B4">
      <w:pPr>
        <w:jc w:val="both"/>
        <w:rPr>
          <w:rFonts w:cstheme="minorHAnsi"/>
          <w:b/>
          <w:bCs/>
        </w:rPr>
      </w:pPr>
    </w:p>
    <w:p w14:paraId="026307B4" w14:textId="77777777" w:rsidR="00D255B4" w:rsidRPr="000972EA" w:rsidRDefault="00D255B4" w:rsidP="00D255B4">
      <w:pPr>
        <w:pStyle w:val="Heading2"/>
      </w:pPr>
      <w:bookmarkStart w:id="24" w:name="_Toc19213826"/>
      <w:r>
        <w:t>5.3 Deposit-refund systems</w:t>
      </w:r>
      <w:bookmarkEnd w:id="24"/>
    </w:p>
    <w:p w14:paraId="2C2B26EF" w14:textId="77777777" w:rsidR="00D255B4" w:rsidRDefault="00D255B4" w:rsidP="00D255B4">
      <w:pPr>
        <w:jc w:val="both"/>
        <w:rPr>
          <w:rFonts w:cstheme="minorHAnsi"/>
          <w:b/>
          <w:bCs/>
        </w:rPr>
      </w:pPr>
    </w:p>
    <w:p w14:paraId="0E816E8E" w14:textId="77777777" w:rsidR="00D255B4" w:rsidRPr="007E1270" w:rsidRDefault="00D255B4" w:rsidP="00D255B4">
      <w:pPr>
        <w:jc w:val="both"/>
        <w:rPr>
          <w:rFonts w:cstheme="minorHAnsi"/>
        </w:rPr>
      </w:pPr>
      <w:r w:rsidRPr="007E1270">
        <w:rPr>
          <w:rFonts w:cstheme="minorHAnsi"/>
        </w:rPr>
        <w:t xml:space="preserve">Deposit-refund systems are market-based instruments </w:t>
      </w:r>
      <w:r>
        <w:rPr>
          <w:rFonts w:cstheme="minorHAnsi"/>
        </w:rPr>
        <w:t>that give consumers an incentive for correct disposal of their hazardous waste. In traditional deposit-refund systems, consumers pay a deposit on top pf the price of a new product and then receive a refund when turning in the end-of-life or consumed product (</w:t>
      </w:r>
      <w:proofErr w:type="spellStart"/>
      <w:r>
        <w:rPr>
          <w:rFonts w:cstheme="minorHAnsi"/>
        </w:rPr>
        <w:t>Slunge</w:t>
      </w:r>
      <w:proofErr w:type="spellEnd"/>
      <w:r>
        <w:rPr>
          <w:rFonts w:cstheme="minorHAnsi"/>
        </w:rPr>
        <w:t xml:space="preserve"> &amp; </w:t>
      </w:r>
      <w:proofErr w:type="spellStart"/>
      <w:r>
        <w:rPr>
          <w:rFonts w:cstheme="minorHAnsi"/>
        </w:rPr>
        <w:t>Alpizar</w:t>
      </w:r>
      <w:proofErr w:type="spellEnd"/>
      <w:r>
        <w:rPr>
          <w:rFonts w:cstheme="minorHAnsi"/>
        </w:rPr>
        <w:t xml:space="preserve">, 2019). </w:t>
      </w:r>
    </w:p>
    <w:p w14:paraId="167AEBE5" w14:textId="77777777" w:rsidR="00D255B4" w:rsidRDefault="00D255B4" w:rsidP="00D255B4">
      <w:pPr>
        <w:jc w:val="both"/>
        <w:rPr>
          <w:rFonts w:cstheme="minorHAnsi"/>
          <w:b/>
          <w:bCs/>
        </w:rPr>
      </w:pPr>
    </w:p>
    <w:p w14:paraId="04B86D69" w14:textId="77777777" w:rsidR="00D255B4" w:rsidRDefault="00D255B4" w:rsidP="00D255B4">
      <w:pPr>
        <w:jc w:val="both"/>
        <w:rPr>
          <w:rFonts w:cstheme="minorHAnsi"/>
          <w:b/>
          <w:bCs/>
        </w:rPr>
      </w:pPr>
    </w:p>
    <w:p w14:paraId="324A17FB" w14:textId="77777777" w:rsidR="00D255B4" w:rsidRPr="0095450C" w:rsidRDefault="00D255B4" w:rsidP="00D255B4">
      <w:pPr>
        <w:pStyle w:val="Heading2"/>
      </w:pPr>
      <w:bookmarkStart w:id="25" w:name="_Toc19213827"/>
      <w:r>
        <w:t>5.4 Trade permits</w:t>
      </w:r>
      <w:bookmarkEnd w:id="25"/>
      <w:r>
        <w:t xml:space="preserve"> </w:t>
      </w:r>
    </w:p>
    <w:p w14:paraId="5F86D2EC" w14:textId="77777777" w:rsidR="00D255B4" w:rsidRDefault="00D255B4" w:rsidP="00D255B4">
      <w:pPr>
        <w:jc w:val="both"/>
        <w:rPr>
          <w:rFonts w:cstheme="minorHAnsi"/>
          <w:b/>
          <w:bCs/>
        </w:rPr>
      </w:pPr>
    </w:p>
    <w:p w14:paraId="5256804C" w14:textId="77777777" w:rsidR="00D255B4" w:rsidRPr="00C53D3C" w:rsidRDefault="00D255B4" w:rsidP="00D255B4">
      <w:pPr>
        <w:jc w:val="both"/>
        <w:rPr>
          <w:rFonts w:cstheme="minorHAnsi"/>
          <w:i/>
          <w:iCs/>
        </w:rPr>
      </w:pPr>
      <w:r w:rsidRPr="008D605A">
        <w:rPr>
          <w:rFonts w:cstheme="minorHAnsi"/>
        </w:rPr>
        <w:t xml:space="preserve">Trade permits appear to </w:t>
      </w:r>
      <w:r>
        <w:rPr>
          <w:rFonts w:cstheme="minorHAnsi"/>
        </w:rPr>
        <w:t xml:space="preserve">have few </w:t>
      </w:r>
      <w:r w:rsidRPr="00C53D3C">
        <w:rPr>
          <w:rFonts w:cstheme="minorHAnsi"/>
        </w:rPr>
        <w:t>applications for promoting sound management of chemicals and waste compared to other categories. However, it can be considered as potentially powerful policy instrument to especially control agricultural pollution</w:t>
      </w:r>
      <w:r>
        <w:rPr>
          <w:rFonts w:cstheme="minorHAnsi"/>
        </w:rPr>
        <w:t xml:space="preserve"> (Slung &amp; </w:t>
      </w:r>
      <w:proofErr w:type="spellStart"/>
      <w:r>
        <w:rPr>
          <w:rFonts w:cstheme="minorHAnsi"/>
        </w:rPr>
        <w:t>Alpizar</w:t>
      </w:r>
      <w:proofErr w:type="spellEnd"/>
      <w:r>
        <w:rPr>
          <w:rFonts w:cstheme="minorHAnsi"/>
        </w:rPr>
        <w:t>, 2019)</w:t>
      </w:r>
      <w:r w:rsidRPr="00C53D3C">
        <w:rPr>
          <w:rFonts w:cstheme="minorHAnsi"/>
        </w:rPr>
        <w:t xml:space="preserve">. </w:t>
      </w:r>
    </w:p>
    <w:p w14:paraId="5B84D845" w14:textId="77777777" w:rsidR="00D255B4" w:rsidRDefault="00D255B4" w:rsidP="00D255B4">
      <w:pPr>
        <w:jc w:val="both"/>
        <w:rPr>
          <w:rFonts w:cstheme="minorHAnsi"/>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34B96CD6" w14:textId="77777777" w:rsidTr="00933F86">
        <w:trPr>
          <w:trHeight w:val="1700"/>
        </w:trPr>
        <w:tc>
          <w:tcPr>
            <w:tcW w:w="9350" w:type="dxa"/>
          </w:tcPr>
          <w:p w14:paraId="1269C827" w14:textId="77777777" w:rsidR="00D255B4" w:rsidRPr="00E03755" w:rsidRDefault="00D255B4" w:rsidP="00933F86">
            <w:pPr>
              <w:jc w:val="both"/>
              <w:rPr>
                <w:rFonts w:cstheme="minorHAnsi"/>
                <w:b/>
                <w:bCs/>
                <w:sz w:val="20"/>
                <w:szCs w:val="20"/>
              </w:rPr>
            </w:pPr>
            <w:r w:rsidRPr="00E03755">
              <w:rPr>
                <w:rFonts w:cstheme="minorHAnsi"/>
                <w:b/>
                <w:bCs/>
                <w:sz w:val="20"/>
                <w:szCs w:val="20"/>
              </w:rPr>
              <w:t xml:space="preserve">EXAMPLE 12: Regulating nitrogen pollution from Agriculture in New Zealand </w:t>
            </w:r>
          </w:p>
          <w:p w14:paraId="7F304805" w14:textId="77777777" w:rsidR="00D255B4" w:rsidRPr="00894597" w:rsidRDefault="00D255B4" w:rsidP="00933F86">
            <w:pPr>
              <w:jc w:val="both"/>
              <w:rPr>
                <w:rFonts w:cstheme="minorHAnsi"/>
                <w:b/>
                <w:bCs/>
                <w:i/>
                <w:iCs/>
                <w:sz w:val="20"/>
                <w:szCs w:val="20"/>
              </w:rPr>
            </w:pPr>
          </w:p>
          <w:p w14:paraId="7A47EF6F" w14:textId="77777777" w:rsidR="00D255B4" w:rsidRPr="007E1270" w:rsidRDefault="00D255B4" w:rsidP="00933F86">
            <w:pPr>
              <w:jc w:val="both"/>
              <w:rPr>
                <w:rFonts w:cstheme="minorHAnsi"/>
                <w:b/>
                <w:bCs/>
                <w:i/>
                <w:iCs/>
                <w:color w:val="FF0000"/>
                <w:sz w:val="20"/>
                <w:szCs w:val="20"/>
              </w:rPr>
            </w:pPr>
            <w:r>
              <w:rPr>
                <w:rFonts w:cstheme="minorHAnsi"/>
                <w:sz w:val="20"/>
                <w:szCs w:val="20"/>
              </w:rPr>
              <w:t xml:space="preserve">In 2010, the Waikato regional government established a limit for environmental nitrogen levels, aiming at a 20% reduction by 2020. A system of nitrogen emission quotas has been set in place, so that those who need to increase nitrogen emissions beyond their allotted quota need to buy quotas from other producers. The program has been somewhat successful as evidenced by 25 transfers of emissions rights, for a total of 150 </w:t>
            </w:r>
            <w:proofErr w:type="spellStart"/>
            <w:r>
              <w:rPr>
                <w:rFonts w:cstheme="minorHAnsi"/>
                <w:sz w:val="20"/>
                <w:szCs w:val="20"/>
              </w:rPr>
              <w:t>tonnes</w:t>
            </w:r>
            <w:proofErr w:type="spellEnd"/>
            <w:r>
              <w:rPr>
                <w:rFonts w:cstheme="minorHAnsi"/>
                <w:sz w:val="20"/>
                <w:szCs w:val="20"/>
              </w:rPr>
              <w:t xml:space="preserve"> nitrogen from 2009 to 2014. </w:t>
            </w:r>
          </w:p>
        </w:tc>
      </w:tr>
    </w:tbl>
    <w:p w14:paraId="48911CCB" w14:textId="77777777" w:rsidR="00D255B4" w:rsidRPr="008D605A" w:rsidRDefault="00D255B4" w:rsidP="00D255B4">
      <w:pPr>
        <w:jc w:val="both"/>
        <w:rPr>
          <w:rFonts w:cstheme="minorHAnsi"/>
        </w:rPr>
      </w:pPr>
    </w:p>
    <w:p w14:paraId="020A636E" w14:textId="77777777" w:rsidR="00D255B4" w:rsidRDefault="00D255B4" w:rsidP="00D255B4">
      <w:pPr>
        <w:jc w:val="both"/>
        <w:rPr>
          <w:rFonts w:cstheme="minorHAnsi"/>
          <w:b/>
          <w:bCs/>
        </w:rPr>
      </w:pPr>
    </w:p>
    <w:p w14:paraId="6395119B" w14:textId="77777777" w:rsidR="00D255B4" w:rsidRDefault="00D255B4" w:rsidP="00D255B4">
      <w:pPr>
        <w:pStyle w:val="Heading2"/>
      </w:pPr>
      <w:bookmarkStart w:id="26" w:name="_Toc19213828"/>
      <w:r>
        <w:t>5.5 Extended producer responsibility</w:t>
      </w:r>
      <w:bookmarkEnd w:id="26"/>
      <w:r>
        <w:t xml:space="preserve"> </w:t>
      </w:r>
    </w:p>
    <w:p w14:paraId="68D14C50" w14:textId="77777777" w:rsidR="00D255B4" w:rsidRDefault="00D255B4" w:rsidP="00D255B4">
      <w:pPr>
        <w:rPr>
          <w:rFonts w:cstheme="minorHAnsi"/>
        </w:rPr>
      </w:pPr>
    </w:p>
    <w:p w14:paraId="40698436" w14:textId="77777777" w:rsidR="00D255B4" w:rsidRDefault="00D255B4" w:rsidP="00D255B4">
      <w:pPr>
        <w:jc w:val="both"/>
        <w:rPr>
          <w:rFonts w:cstheme="minorHAnsi"/>
        </w:rPr>
      </w:pPr>
      <w:r>
        <w:rPr>
          <w:rFonts w:cstheme="minorHAnsi"/>
        </w:rPr>
        <w:t>The extended producer responsibility (EPR)—which extends manufacturers’ responsibility beyond the production process throughout the wider product cycle—can be considered an extension of the Polluter Pays Principle (</w:t>
      </w:r>
      <w:proofErr w:type="spellStart"/>
      <w:r>
        <w:rPr>
          <w:rFonts w:cstheme="minorHAnsi"/>
        </w:rPr>
        <w:t>Honkonen</w:t>
      </w:r>
      <w:proofErr w:type="spellEnd"/>
      <w:r>
        <w:rPr>
          <w:rFonts w:cstheme="minorHAnsi"/>
        </w:rPr>
        <w:t xml:space="preserve"> &amp; Khan, 2017). Under EPR, since the producer is responsible for organizing collection and recycling of waste, it encourages prevention of waste at source, promotes sustainable product design and supports the achievement of recycling and materials efficiency goals (OECD, 2001). Today, 400 EPR systems are in operation and l</w:t>
      </w:r>
      <w:r w:rsidRPr="00BD0A53">
        <w:rPr>
          <w:rFonts w:cstheme="minorHAnsi"/>
        </w:rPr>
        <w:t>egislation has been a key driver</w:t>
      </w:r>
      <w:r>
        <w:rPr>
          <w:rFonts w:cstheme="minorHAnsi"/>
        </w:rPr>
        <w:t xml:space="preserve"> for their development (OECD, 2016b). Most applications can be found in high-income countries: e.g. </w:t>
      </w:r>
      <w:r w:rsidRPr="00BD0A53">
        <w:t>45% of product and packaging waste within the EU is covered by an EPR scheme</w:t>
      </w:r>
      <w:r>
        <w:t xml:space="preserve"> (Zero Waste Europe, 2017). </w:t>
      </w:r>
      <w:r>
        <w:rPr>
          <w:rFonts w:cstheme="minorHAnsi"/>
        </w:rPr>
        <w:t xml:space="preserve"> In the last decade, several low- and middle-income countries have introduced EPR schemes (</w:t>
      </w:r>
      <w:proofErr w:type="spellStart"/>
      <w:r>
        <w:rPr>
          <w:rFonts w:cstheme="minorHAnsi"/>
        </w:rPr>
        <w:t>Slunge</w:t>
      </w:r>
      <w:proofErr w:type="spellEnd"/>
      <w:r>
        <w:rPr>
          <w:rFonts w:cstheme="minorHAnsi"/>
        </w:rPr>
        <w:t xml:space="preserve"> </w:t>
      </w:r>
      <w:proofErr w:type="spellStart"/>
      <w:r>
        <w:rPr>
          <w:rFonts w:cstheme="minorHAnsi"/>
        </w:rPr>
        <w:t>Alpizar</w:t>
      </w:r>
      <w:proofErr w:type="spellEnd"/>
      <w:r>
        <w:rPr>
          <w:rFonts w:cstheme="minorHAnsi"/>
        </w:rPr>
        <w:t xml:space="preserve">, 2019). For instance, both China and India have introduced EPR systems for electrical and electronic equipment (Gu et al., 2017; Awasthi &amp; Li, 2017). </w:t>
      </w:r>
    </w:p>
    <w:p w14:paraId="2B01DBB8" w14:textId="77777777" w:rsidR="00D255B4" w:rsidRDefault="00D255B4" w:rsidP="00D255B4">
      <w:pPr>
        <w:jc w:val="both"/>
        <w:rPr>
          <w:rFonts w:cstheme="minorHAnsi"/>
        </w:rPr>
      </w:pPr>
    </w:p>
    <w:p w14:paraId="0156DBFE" w14:textId="77777777" w:rsidR="00D255B4" w:rsidRPr="00FC188D" w:rsidRDefault="00D255B4" w:rsidP="00D255B4"/>
    <w:p w14:paraId="7C4250F3" w14:textId="77777777" w:rsidR="00D255B4" w:rsidRPr="00FC188D" w:rsidRDefault="00D255B4" w:rsidP="00D255B4">
      <w:pPr>
        <w:rPr>
          <w:i/>
          <w:iCs/>
        </w:rPr>
      </w:pPr>
      <w:r>
        <w:rPr>
          <w:i/>
          <w:iCs/>
        </w:rPr>
        <w:t xml:space="preserve">Agrochemicals and empty </w:t>
      </w:r>
      <w:r w:rsidRPr="00FC188D">
        <w:rPr>
          <w:i/>
          <w:iCs/>
        </w:rPr>
        <w:t xml:space="preserve">containers </w:t>
      </w:r>
    </w:p>
    <w:p w14:paraId="17286488" w14:textId="77777777" w:rsidR="00D255B4" w:rsidRDefault="00D255B4" w:rsidP="00D255B4">
      <w:pPr>
        <w:pStyle w:val="Default"/>
        <w:jc w:val="both"/>
        <w:rPr>
          <w:rFonts w:asciiTheme="minorHAnsi" w:eastAsiaTheme="minorHAnsi" w:hAnsiTheme="minorHAnsi" w:cstheme="minorHAnsi"/>
          <w:color w:val="auto"/>
          <w:lang w:eastAsia="en-US"/>
        </w:rPr>
      </w:pPr>
    </w:p>
    <w:p w14:paraId="03A563CA" w14:textId="77777777" w:rsidR="00D255B4" w:rsidRPr="00C769C1" w:rsidRDefault="00D255B4" w:rsidP="00D255B4">
      <w:pPr>
        <w:pStyle w:val="Default"/>
        <w:jc w:val="both"/>
        <w:rPr>
          <w:rFonts w:asciiTheme="minorHAnsi" w:eastAsiaTheme="minorHAnsi" w:hAnsiTheme="minorHAnsi" w:cstheme="minorHAnsi"/>
          <w:color w:val="auto"/>
          <w:lang w:eastAsia="en-US"/>
        </w:rPr>
      </w:pPr>
      <w:r>
        <w:rPr>
          <w:rFonts w:asciiTheme="minorHAnsi" w:eastAsiaTheme="minorHAnsi" w:hAnsiTheme="minorHAnsi" w:cstheme="minorHAnsi"/>
          <w:color w:val="auto"/>
          <w:lang w:eastAsia="en-US"/>
        </w:rPr>
        <w:t xml:space="preserve">Although some countries have introduced EPR schemes to ensure proper collection and recycling of </w:t>
      </w:r>
      <w:r w:rsidRPr="00C769C1">
        <w:rPr>
          <w:rFonts w:asciiTheme="minorHAnsi" w:eastAsiaTheme="minorHAnsi" w:hAnsiTheme="minorHAnsi" w:cstheme="minorHAnsi"/>
          <w:color w:val="auto"/>
          <w:lang w:eastAsia="en-US"/>
        </w:rPr>
        <w:t xml:space="preserve">used agrochemical containers and </w:t>
      </w:r>
      <w:r w:rsidRPr="00C769C1">
        <w:rPr>
          <w:rFonts w:asciiTheme="minorHAnsi" w:hAnsiTheme="minorHAnsi" w:cstheme="minorHAnsi"/>
          <w:color w:val="auto"/>
        </w:rPr>
        <w:t>obsolete, inherited and unknown agrochemicals</w:t>
      </w:r>
      <w:r>
        <w:rPr>
          <w:rFonts w:asciiTheme="minorHAnsi" w:hAnsiTheme="minorHAnsi" w:cstheme="minorHAnsi"/>
          <w:color w:val="auto"/>
        </w:rPr>
        <w:t>, this</w:t>
      </w:r>
      <w:r w:rsidRPr="00C769C1">
        <w:rPr>
          <w:rFonts w:asciiTheme="minorHAnsi" w:eastAsiaTheme="minorHAnsi" w:hAnsiTheme="minorHAnsi" w:cstheme="minorHAnsi"/>
          <w:color w:val="auto"/>
          <w:lang w:eastAsia="en-US"/>
        </w:rPr>
        <w:t xml:space="preserve"> </w:t>
      </w:r>
      <w:r>
        <w:rPr>
          <w:rFonts w:asciiTheme="minorHAnsi" w:eastAsiaTheme="minorHAnsi" w:hAnsiTheme="minorHAnsi" w:cstheme="minorHAnsi"/>
          <w:color w:val="auto"/>
          <w:lang w:eastAsia="en-US"/>
        </w:rPr>
        <w:t>remains</w:t>
      </w:r>
      <w:r w:rsidRPr="00C769C1">
        <w:rPr>
          <w:rFonts w:asciiTheme="minorHAnsi" w:eastAsiaTheme="minorHAnsi" w:hAnsiTheme="minorHAnsi" w:cstheme="minorHAnsi"/>
          <w:color w:val="auto"/>
          <w:lang w:eastAsia="en-US"/>
        </w:rPr>
        <w:t xml:space="preserve"> a </w:t>
      </w:r>
      <w:r>
        <w:rPr>
          <w:rFonts w:asciiTheme="minorHAnsi" w:eastAsiaTheme="minorHAnsi" w:hAnsiTheme="minorHAnsi" w:cstheme="minorHAnsi"/>
          <w:color w:val="auto"/>
          <w:lang w:eastAsia="en-US"/>
        </w:rPr>
        <w:t>significant</w:t>
      </w:r>
      <w:r w:rsidRPr="00C769C1">
        <w:rPr>
          <w:rFonts w:asciiTheme="minorHAnsi" w:eastAsiaTheme="minorHAnsi" w:hAnsiTheme="minorHAnsi" w:cstheme="minorHAnsi"/>
          <w:color w:val="auto"/>
          <w:lang w:eastAsia="en-US"/>
        </w:rPr>
        <w:t xml:space="preserve"> problem in </w:t>
      </w:r>
      <w:r>
        <w:rPr>
          <w:rFonts w:asciiTheme="minorHAnsi" w:eastAsiaTheme="minorHAnsi" w:hAnsiTheme="minorHAnsi" w:cstheme="minorHAnsi"/>
          <w:color w:val="auto"/>
          <w:lang w:eastAsia="en-US"/>
        </w:rPr>
        <w:t>most</w:t>
      </w:r>
      <w:r w:rsidRPr="00C769C1">
        <w:rPr>
          <w:rFonts w:asciiTheme="minorHAnsi" w:eastAsiaTheme="minorHAnsi" w:hAnsiTheme="minorHAnsi" w:cstheme="minorHAnsi"/>
          <w:color w:val="auto"/>
          <w:lang w:eastAsia="en-US"/>
        </w:rPr>
        <w:t xml:space="preserve"> countries. </w:t>
      </w:r>
      <w:r>
        <w:rPr>
          <w:rFonts w:asciiTheme="minorHAnsi" w:eastAsiaTheme="minorHAnsi" w:hAnsiTheme="minorHAnsi" w:cstheme="minorHAnsi"/>
          <w:color w:val="auto"/>
          <w:lang w:eastAsia="en-US"/>
        </w:rPr>
        <w:t xml:space="preserve"> An answer could be </w:t>
      </w:r>
      <w:r w:rsidRPr="00C769C1">
        <w:rPr>
          <w:rFonts w:asciiTheme="minorHAnsi" w:eastAsiaTheme="minorHAnsi" w:hAnsiTheme="minorHAnsi" w:cstheme="minorHAnsi"/>
          <w:color w:val="auto"/>
          <w:lang w:eastAsia="en-US"/>
        </w:rPr>
        <w:t>to facilitate the introduction</w:t>
      </w:r>
      <w:r>
        <w:rPr>
          <w:rFonts w:asciiTheme="minorHAnsi" w:eastAsiaTheme="minorHAnsi" w:hAnsiTheme="minorHAnsi" w:cstheme="minorHAnsi"/>
          <w:color w:val="auto"/>
          <w:lang w:eastAsia="en-US"/>
        </w:rPr>
        <w:t xml:space="preserve"> of</w:t>
      </w:r>
      <w:r w:rsidRPr="00C769C1">
        <w:rPr>
          <w:rFonts w:asciiTheme="minorHAnsi" w:eastAsiaTheme="minorHAnsi" w:hAnsiTheme="minorHAnsi" w:cstheme="minorHAnsi"/>
          <w:color w:val="auto"/>
          <w:lang w:eastAsia="en-US"/>
        </w:rPr>
        <w:t xml:space="preserve"> take-back system</w:t>
      </w:r>
      <w:r>
        <w:rPr>
          <w:rFonts w:asciiTheme="minorHAnsi" w:eastAsiaTheme="minorHAnsi" w:hAnsiTheme="minorHAnsi" w:cstheme="minorHAnsi"/>
          <w:color w:val="auto"/>
          <w:lang w:eastAsia="en-US"/>
        </w:rPr>
        <w:t>s</w:t>
      </w:r>
      <w:r w:rsidRPr="00C769C1">
        <w:rPr>
          <w:rFonts w:asciiTheme="minorHAnsi" w:eastAsiaTheme="minorHAnsi" w:hAnsiTheme="minorHAnsi" w:cstheme="minorHAnsi"/>
          <w:color w:val="auto"/>
          <w:lang w:eastAsia="en-US"/>
        </w:rPr>
        <w:t xml:space="preserve"> </w:t>
      </w:r>
      <w:r>
        <w:rPr>
          <w:rFonts w:asciiTheme="minorHAnsi" w:eastAsiaTheme="minorHAnsi" w:hAnsiTheme="minorHAnsi" w:cstheme="minorHAnsi"/>
          <w:color w:val="auto"/>
          <w:lang w:eastAsia="en-US"/>
        </w:rPr>
        <w:t>through</w:t>
      </w:r>
      <w:r w:rsidRPr="00C769C1">
        <w:rPr>
          <w:rFonts w:asciiTheme="minorHAnsi" w:eastAsiaTheme="minorHAnsi" w:hAnsiTheme="minorHAnsi" w:cstheme="minorHAnsi"/>
          <w:color w:val="auto"/>
          <w:lang w:eastAsia="en-US"/>
        </w:rPr>
        <w:t xml:space="preserve"> block-chain </w:t>
      </w:r>
      <w:r>
        <w:rPr>
          <w:rFonts w:asciiTheme="minorHAnsi" w:eastAsiaTheme="minorHAnsi" w:hAnsiTheme="minorHAnsi" w:cstheme="minorHAnsi"/>
          <w:color w:val="auto"/>
          <w:lang w:eastAsia="en-US"/>
        </w:rPr>
        <w:t>technologies or</w:t>
      </w:r>
      <w:r w:rsidRPr="00C769C1">
        <w:rPr>
          <w:rFonts w:asciiTheme="minorHAnsi" w:eastAsiaTheme="minorHAnsi" w:hAnsiTheme="minorHAnsi" w:cstheme="minorHAnsi"/>
          <w:color w:val="auto"/>
          <w:lang w:eastAsia="en-US"/>
        </w:rPr>
        <w:t xml:space="preserve"> levy</w:t>
      </w:r>
      <w:r>
        <w:rPr>
          <w:rFonts w:asciiTheme="minorHAnsi" w:eastAsiaTheme="minorHAnsi" w:hAnsiTheme="minorHAnsi" w:cstheme="minorHAnsi"/>
          <w:color w:val="auto"/>
          <w:lang w:eastAsia="en-US"/>
        </w:rPr>
        <w:t>ing</w:t>
      </w:r>
      <w:r w:rsidRPr="00C769C1">
        <w:rPr>
          <w:rFonts w:asciiTheme="minorHAnsi" w:eastAsiaTheme="minorHAnsi" w:hAnsiTheme="minorHAnsi" w:cstheme="minorHAnsi"/>
          <w:color w:val="auto"/>
          <w:lang w:eastAsia="en-US"/>
        </w:rPr>
        <w:t xml:space="preserve"> a small </w:t>
      </w:r>
      <w:r>
        <w:rPr>
          <w:rFonts w:asciiTheme="minorHAnsi" w:eastAsiaTheme="minorHAnsi" w:hAnsiTheme="minorHAnsi" w:cstheme="minorHAnsi"/>
          <w:color w:val="auto"/>
          <w:lang w:eastAsia="en-US"/>
        </w:rPr>
        <w:t xml:space="preserve">tax </w:t>
      </w:r>
      <w:r w:rsidRPr="00C769C1">
        <w:rPr>
          <w:rFonts w:asciiTheme="minorHAnsi" w:eastAsiaTheme="minorHAnsi" w:hAnsiTheme="minorHAnsi" w:cstheme="minorHAnsi"/>
          <w:color w:val="auto"/>
          <w:lang w:eastAsia="en-US"/>
        </w:rPr>
        <w:t>on containers</w:t>
      </w:r>
      <w:r>
        <w:rPr>
          <w:rFonts w:asciiTheme="minorHAnsi" w:eastAsiaTheme="minorHAnsi" w:hAnsiTheme="minorHAnsi" w:cstheme="minorHAnsi"/>
          <w:color w:val="auto"/>
          <w:lang w:eastAsia="en-US"/>
        </w:rPr>
        <w:t xml:space="preserve"> so that generated revenues</w:t>
      </w:r>
      <w:r w:rsidRPr="00C769C1">
        <w:rPr>
          <w:rFonts w:asciiTheme="minorHAnsi" w:eastAsiaTheme="minorHAnsi" w:hAnsiTheme="minorHAnsi" w:cstheme="minorHAnsi"/>
          <w:color w:val="auto"/>
          <w:lang w:eastAsia="en-US"/>
        </w:rPr>
        <w:t xml:space="preserve"> </w:t>
      </w:r>
      <w:r>
        <w:rPr>
          <w:rFonts w:asciiTheme="minorHAnsi" w:eastAsiaTheme="minorHAnsi" w:hAnsiTheme="minorHAnsi" w:cstheme="minorHAnsi"/>
          <w:color w:val="auto"/>
          <w:lang w:eastAsia="en-US"/>
        </w:rPr>
        <w:t>could be</w:t>
      </w:r>
      <w:r w:rsidRPr="00C769C1">
        <w:rPr>
          <w:rFonts w:asciiTheme="minorHAnsi" w:eastAsiaTheme="minorHAnsi" w:hAnsiTheme="minorHAnsi" w:cstheme="minorHAnsi"/>
          <w:color w:val="auto"/>
          <w:lang w:eastAsia="en-US"/>
        </w:rPr>
        <w:t xml:space="preserve"> channeled to fund </w:t>
      </w:r>
      <w:r>
        <w:rPr>
          <w:rFonts w:asciiTheme="minorHAnsi" w:eastAsiaTheme="minorHAnsi" w:hAnsiTheme="minorHAnsi" w:cstheme="minorHAnsi"/>
          <w:color w:val="auto"/>
          <w:lang w:eastAsia="en-US"/>
        </w:rPr>
        <w:t>proper collection and recycling</w:t>
      </w:r>
      <w:r w:rsidRPr="00C769C1">
        <w:rPr>
          <w:rFonts w:asciiTheme="minorHAnsi" w:eastAsiaTheme="minorHAnsi" w:hAnsiTheme="minorHAnsi" w:cstheme="minorHAnsi"/>
          <w:color w:val="auto"/>
          <w:lang w:eastAsia="en-US"/>
        </w:rPr>
        <w:t>.</w:t>
      </w:r>
    </w:p>
    <w:p w14:paraId="7AF20090" w14:textId="77777777" w:rsidR="00D255B4" w:rsidRPr="00FC188D" w:rsidRDefault="00D255B4" w:rsidP="00D255B4">
      <w:pPr>
        <w:pStyle w:val="Default"/>
        <w:jc w:val="both"/>
        <w:rPr>
          <w:rFonts w:asciiTheme="minorHAnsi" w:eastAsiaTheme="minorHAnsi" w:hAnsiTheme="minorHAnsi" w:cstheme="minorHAnsi"/>
          <w:color w:val="auto"/>
          <w:lang w:eastAsia="en-US"/>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153CAA7D" w14:textId="77777777" w:rsidTr="00933F86">
        <w:trPr>
          <w:trHeight w:val="1997"/>
        </w:trPr>
        <w:tc>
          <w:tcPr>
            <w:tcW w:w="9350" w:type="dxa"/>
          </w:tcPr>
          <w:p w14:paraId="310C9FC1" w14:textId="77777777" w:rsidR="00D255B4" w:rsidRPr="00E03755" w:rsidRDefault="00D255B4" w:rsidP="00933F86">
            <w:pPr>
              <w:rPr>
                <w:rFonts w:cstheme="minorHAnsi"/>
                <w:b/>
                <w:bCs/>
                <w:sz w:val="20"/>
                <w:szCs w:val="20"/>
              </w:rPr>
            </w:pPr>
            <w:r w:rsidRPr="00E03755">
              <w:rPr>
                <w:rFonts w:cstheme="minorHAnsi"/>
                <w:b/>
                <w:bCs/>
                <w:sz w:val="20"/>
                <w:szCs w:val="20"/>
              </w:rPr>
              <w:lastRenderedPageBreak/>
              <w:t xml:space="preserve">EXAMPLE 13: EPR scheme for </w:t>
            </w:r>
            <w:r w:rsidRPr="00E03755">
              <w:rPr>
                <w:rFonts w:cstheme="minorHAnsi"/>
                <w:b/>
                <w:bCs/>
                <w:color w:val="333333"/>
                <w:sz w:val="20"/>
                <w:szCs w:val="20"/>
                <w:shd w:val="clear" w:color="auto" w:fill="FFFFFF"/>
              </w:rPr>
              <w:t>empty agrochemical containers and obsolete agrochemicals in Australia</w:t>
            </w:r>
          </w:p>
          <w:p w14:paraId="4C598A4D" w14:textId="77777777" w:rsidR="00D255B4" w:rsidRPr="00E03755" w:rsidRDefault="00D255B4" w:rsidP="00933F86">
            <w:pPr>
              <w:pStyle w:val="Default"/>
              <w:rPr>
                <w:rFonts w:asciiTheme="minorHAnsi" w:eastAsiaTheme="minorHAnsi" w:hAnsiTheme="minorHAnsi" w:cstheme="minorHAnsi"/>
                <w:color w:val="FF0000"/>
                <w:sz w:val="20"/>
                <w:szCs w:val="20"/>
                <w:lang w:eastAsia="en-US"/>
              </w:rPr>
            </w:pPr>
          </w:p>
          <w:p w14:paraId="221B87FD" w14:textId="77777777" w:rsidR="00D255B4" w:rsidRDefault="00D255B4" w:rsidP="00933F86">
            <w:pPr>
              <w:pStyle w:val="Default"/>
              <w:jc w:val="both"/>
              <w:rPr>
                <w:rFonts w:cstheme="minorHAnsi"/>
                <w:b/>
                <w:bCs/>
              </w:rPr>
            </w:pPr>
            <w:r>
              <w:rPr>
                <w:rFonts w:asciiTheme="minorHAnsi" w:eastAsia="Times New Roman" w:hAnsiTheme="minorHAnsi" w:cstheme="minorHAnsi"/>
                <w:color w:val="auto"/>
                <w:sz w:val="20"/>
                <w:szCs w:val="20"/>
              </w:rPr>
              <w:t xml:space="preserve">In 1999, the </w:t>
            </w:r>
            <w:proofErr w:type="spellStart"/>
            <w:r>
              <w:rPr>
                <w:rFonts w:asciiTheme="minorHAnsi" w:eastAsia="Times New Roman" w:hAnsiTheme="minorHAnsi" w:cstheme="minorHAnsi"/>
                <w:color w:val="auto"/>
                <w:sz w:val="20"/>
                <w:szCs w:val="20"/>
              </w:rPr>
              <w:t>drumMUSTER</w:t>
            </w:r>
            <w:proofErr w:type="spellEnd"/>
            <w:r>
              <w:rPr>
                <w:rFonts w:asciiTheme="minorHAnsi" w:eastAsia="Times New Roman" w:hAnsiTheme="minorHAnsi" w:cstheme="minorHAnsi"/>
                <w:color w:val="auto"/>
                <w:sz w:val="20"/>
                <w:szCs w:val="20"/>
              </w:rPr>
              <w:t xml:space="preserve"> program was introduced in Australia to </w:t>
            </w:r>
            <w:r w:rsidRPr="00E5443E">
              <w:rPr>
                <w:rFonts w:asciiTheme="minorHAnsi" w:eastAsia="Times New Roman" w:hAnsiTheme="minorHAnsi" w:cstheme="minorHAnsi"/>
                <w:color w:val="auto"/>
                <w:sz w:val="20"/>
                <w:szCs w:val="20"/>
              </w:rPr>
              <w:t>collect empty agrochemical containers</w:t>
            </w:r>
            <w:r>
              <w:rPr>
                <w:rFonts w:asciiTheme="minorHAnsi" w:eastAsia="Times New Roman" w:hAnsiTheme="minorHAnsi" w:cstheme="minorHAnsi"/>
                <w:color w:val="auto"/>
                <w:sz w:val="20"/>
                <w:szCs w:val="20"/>
              </w:rPr>
              <w:t xml:space="preserve"> in rural areas. It has helped to recycle over 34 million chemical containers equivalent to 38.000 </w:t>
            </w:r>
            <w:proofErr w:type="spellStart"/>
            <w:r>
              <w:rPr>
                <w:rFonts w:asciiTheme="minorHAnsi" w:eastAsia="Times New Roman" w:hAnsiTheme="minorHAnsi" w:cstheme="minorHAnsi"/>
                <w:color w:val="auto"/>
                <w:sz w:val="20"/>
                <w:szCs w:val="20"/>
              </w:rPr>
              <w:t>tonnes</w:t>
            </w:r>
            <w:proofErr w:type="spellEnd"/>
            <w:r>
              <w:rPr>
                <w:rFonts w:asciiTheme="minorHAnsi" w:eastAsia="Times New Roman" w:hAnsiTheme="minorHAnsi" w:cstheme="minorHAnsi"/>
                <w:color w:val="auto"/>
                <w:sz w:val="20"/>
                <w:szCs w:val="20"/>
              </w:rPr>
              <w:t xml:space="preserve"> of waste, enabling savings of USD 33 million in landfill costs (</w:t>
            </w:r>
            <w:proofErr w:type="spellStart"/>
            <w:r>
              <w:rPr>
                <w:rFonts w:asciiTheme="minorHAnsi" w:eastAsia="Times New Roman" w:hAnsiTheme="minorHAnsi" w:cstheme="minorHAnsi"/>
                <w:color w:val="auto"/>
                <w:sz w:val="20"/>
                <w:szCs w:val="20"/>
              </w:rPr>
              <w:t>DrumMUSTER</w:t>
            </w:r>
            <w:proofErr w:type="spellEnd"/>
            <w:r>
              <w:rPr>
                <w:rFonts w:asciiTheme="minorHAnsi" w:eastAsia="Times New Roman" w:hAnsiTheme="minorHAnsi" w:cstheme="minorHAnsi"/>
                <w:color w:val="auto"/>
                <w:sz w:val="20"/>
                <w:szCs w:val="20"/>
              </w:rPr>
              <w:t xml:space="preserve">, 2019). In 2003, the </w:t>
            </w:r>
            <w:proofErr w:type="spellStart"/>
            <w:r>
              <w:rPr>
                <w:rFonts w:asciiTheme="minorHAnsi" w:eastAsia="Times New Roman" w:hAnsiTheme="minorHAnsi" w:cstheme="minorHAnsi"/>
                <w:color w:val="auto"/>
                <w:sz w:val="20"/>
                <w:szCs w:val="20"/>
              </w:rPr>
              <w:t>ChemClear</w:t>
            </w:r>
            <w:proofErr w:type="spellEnd"/>
            <w:r>
              <w:rPr>
                <w:rFonts w:asciiTheme="minorHAnsi" w:eastAsia="Times New Roman" w:hAnsiTheme="minorHAnsi" w:cstheme="minorHAnsi"/>
                <w:color w:val="auto"/>
                <w:sz w:val="20"/>
                <w:szCs w:val="20"/>
              </w:rPr>
              <w:t xml:space="preserve"> program was also initiated to prevent the storage of </w:t>
            </w:r>
            <w:r w:rsidRPr="00E45ADA">
              <w:rPr>
                <w:rFonts w:asciiTheme="minorHAnsi" w:hAnsiTheme="minorHAnsi" w:cstheme="minorHAnsi"/>
                <w:color w:val="auto"/>
                <w:sz w:val="20"/>
                <w:szCs w:val="20"/>
              </w:rPr>
              <w:t>obsolete, inherited and unknown agrochemicals</w:t>
            </w:r>
            <w:r>
              <w:rPr>
                <w:rFonts w:asciiTheme="minorHAnsi" w:hAnsiTheme="minorHAnsi" w:cstheme="minorHAnsi"/>
                <w:color w:val="auto"/>
                <w:sz w:val="20"/>
                <w:szCs w:val="20"/>
              </w:rPr>
              <w:t>. Thanks to this program</w:t>
            </w:r>
            <w:r>
              <w:rPr>
                <w:rFonts w:asciiTheme="minorHAnsi" w:eastAsia="Times New Roman" w:hAnsiTheme="minorHAnsi" w:cstheme="minorHAnsi"/>
                <w:color w:val="auto"/>
                <w:sz w:val="20"/>
                <w:szCs w:val="20"/>
              </w:rPr>
              <w:t xml:space="preserve"> collect, 667 </w:t>
            </w:r>
            <w:proofErr w:type="spellStart"/>
            <w:r>
              <w:rPr>
                <w:rFonts w:asciiTheme="minorHAnsi" w:eastAsia="Times New Roman" w:hAnsiTheme="minorHAnsi" w:cstheme="minorHAnsi"/>
                <w:color w:val="auto"/>
                <w:sz w:val="20"/>
                <w:szCs w:val="20"/>
              </w:rPr>
              <w:t>tonnes</w:t>
            </w:r>
            <w:proofErr w:type="spellEnd"/>
            <w:r>
              <w:rPr>
                <w:rFonts w:asciiTheme="minorHAnsi" w:eastAsia="Times New Roman" w:hAnsiTheme="minorHAnsi" w:cstheme="minorHAnsi"/>
                <w:color w:val="auto"/>
                <w:sz w:val="20"/>
                <w:szCs w:val="20"/>
              </w:rPr>
              <w:t xml:space="preserve"> of hazardous chemicals have been collected so far (</w:t>
            </w:r>
            <w:proofErr w:type="spellStart"/>
            <w:r>
              <w:rPr>
                <w:rFonts w:asciiTheme="minorHAnsi" w:eastAsia="Times New Roman" w:hAnsiTheme="minorHAnsi" w:cstheme="minorHAnsi"/>
                <w:color w:val="auto"/>
                <w:sz w:val="20"/>
                <w:szCs w:val="20"/>
              </w:rPr>
              <w:t>ChemClear</w:t>
            </w:r>
            <w:proofErr w:type="spellEnd"/>
            <w:r>
              <w:rPr>
                <w:rFonts w:asciiTheme="minorHAnsi" w:eastAsia="Times New Roman" w:hAnsiTheme="minorHAnsi" w:cstheme="minorHAnsi"/>
                <w:color w:val="auto"/>
                <w:sz w:val="20"/>
                <w:szCs w:val="20"/>
              </w:rPr>
              <w:t>, 2019). Both programs are</w:t>
            </w:r>
            <w:r w:rsidRPr="00C769C1">
              <w:rPr>
                <w:rFonts w:asciiTheme="minorHAnsi" w:eastAsia="Times New Roman" w:hAnsiTheme="minorHAnsi" w:cstheme="minorHAnsi"/>
                <w:color w:val="auto"/>
                <w:sz w:val="20"/>
                <w:szCs w:val="20"/>
              </w:rPr>
              <w:t xml:space="preserve"> f</w:t>
            </w:r>
            <w:r w:rsidRPr="00C769C1">
              <w:rPr>
                <w:rFonts w:asciiTheme="minorHAnsi" w:hAnsiTheme="minorHAnsi" w:cstheme="minorHAnsi"/>
                <w:color w:val="auto"/>
                <w:sz w:val="20"/>
                <w:szCs w:val="20"/>
              </w:rPr>
              <w:t xml:space="preserve">unded by a 6c per </w:t>
            </w:r>
            <w:proofErr w:type="spellStart"/>
            <w:r w:rsidRPr="00C769C1">
              <w:rPr>
                <w:rFonts w:asciiTheme="minorHAnsi" w:hAnsiTheme="minorHAnsi" w:cstheme="minorHAnsi"/>
                <w:color w:val="auto"/>
                <w:sz w:val="20"/>
                <w:szCs w:val="20"/>
              </w:rPr>
              <w:t>lt</w:t>
            </w:r>
            <w:proofErr w:type="spellEnd"/>
            <w:r w:rsidRPr="00C769C1">
              <w:rPr>
                <w:rFonts w:asciiTheme="minorHAnsi" w:hAnsiTheme="minorHAnsi" w:cstheme="minorHAnsi"/>
                <w:color w:val="auto"/>
                <w:sz w:val="20"/>
                <w:szCs w:val="20"/>
              </w:rPr>
              <w:t xml:space="preserve">/kg levy collected under </w:t>
            </w:r>
            <w:r>
              <w:rPr>
                <w:rFonts w:asciiTheme="minorHAnsi" w:hAnsiTheme="minorHAnsi" w:cstheme="minorHAnsi"/>
                <w:color w:val="auto"/>
                <w:sz w:val="20"/>
                <w:szCs w:val="20"/>
              </w:rPr>
              <w:t>a national</w:t>
            </w:r>
            <w:r w:rsidRPr="00C769C1">
              <w:rPr>
                <w:rFonts w:asciiTheme="minorHAnsi" w:hAnsiTheme="minorHAnsi" w:cstheme="minorHAnsi"/>
                <w:color w:val="auto"/>
                <w:sz w:val="20"/>
                <w:szCs w:val="20"/>
              </w:rPr>
              <w:t xml:space="preserve"> Industry Waste Reduction Scheme (IWRS). </w:t>
            </w:r>
          </w:p>
        </w:tc>
      </w:tr>
    </w:tbl>
    <w:p w14:paraId="53652C04" w14:textId="77777777" w:rsidR="00D255B4" w:rsidRDefault="00D255B4" w:rsidP="00D255B4">
      <w:pPr>
        <w:jc w:val="both"/>
        <w:rPr>
          <w:rFonts w:cstheme="minorHAnsi"/>
          <w:b/>
          <w:bCs/>
        </w:rPr>
      </w:pPr>
    </w:p>
    <w:p w14:paraId="6B566E8A" w14:textId="77777777" w:rsidR="00D255B4" w:rsidRDefault="00D255B4" w:rsidP="00D255B4">
      <w:pPr>
        <w:jc w:val="both"/>
        <w:rPr>
          <w:rFonts w:cstheme="minorHAnsi"/>
          <w:i/>
          <w:iCs/>
        </w:rPr>
      </w:pPr>
      <w:r w:rsidRPr="00FC188D">
        <w:rPr>
          <w:rFonts w:cstheme="minorHAnsi"/>
          <w:i/>
          <w:iCs/>
        </w:rPr>
        <w:t xml:space="preserve">Plastics </w:t>
      </w:r>
    </w:p>
    <w:p w14:paraId="6DDBA335" w14:textId="77777777" w:rsidR="00D255B4" w:rsidRPr="00FC188D" w:rsidRDefault="00D255B4" w:rsidP="00D255B4">
      <w:pPr>
        <w:jc w:val="both"/>
        <w:rPr>
          <w:rFonts w:cstheme="minorHAnsi"/>
          <w:i/>
          <w:iCs/>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005DDE45" w14:textId="77777777" w:rsidTr="00933F86">
        <w:trPr>
          <w:trHeight w:val="386"/>
        </w:trPr>
        <w:tc>
          <w:tcPr>
            <w:tcW w:w="9350" w:type="dxa"/>
          </w:tcPr>
          <w:p w14:paraId="1E112ADB" w14:textId="77777777" w:rsidR="00D255B4" w:rsidRPr="00E03755" w:rsidRDefault="00D255B4" w:rsidP="00933F86">
            <w:pPr>
              <w:rPr>
                <w:rFonts w:cstheme="minorHAnsi"/>
                <w:b/>
                <w:bCs/>
                <w:sz w:val="20"/>
                <w:szCs w:val="20"/>
              </w:rPr>
            </w:pPr>
            <w:r w:rsidRPr="00E03755">
              <w:rPr>
                <w:rFonts w:cstheme="minorHAnsi"/>
                <w:b/>
                <w:bCs/>
                <w:sz w:val="20"/>
                <w:szCs w:val="20"/>
              </w:rPr>
              <w:t>EXAMPLE 14: Single</w:t>
            </w:r>
            <w:r>
              <w:rPr>
                <w:rFonts w:cstheme="minorHAnsi"/>
                <w:b/>
                <w:bCs/>
                <w:sz w:val="20"/>
                <w:szCs w:val="20"/>
              </w:rPr>
              <w:t>-</w:t>
            </w:r>
            <w:r w:rsidRPr="00E03755">
              <w:rPr>
                <w:rFonts w:cstheme="minorHAnsi"/>
                <w:b/>
                <w:bCs/>
                <w:sz w:val="20"/>
                <w:szCs w:val="20"/>
              </w:rPr>
              <w:t xml:space="preserve">use plastics directive in EU </w:t>
            </w:r>
          </w:p>
          <w:p w14:paraId="13A5DE1E" w14:textId="77777777" w:rsidR="00D255B4" w:rsidRPr="00EB59E8" w:rsidRDefault="00D255B4" w:rsidP="00933F86">
            <w:pPr>
              <w:rPr>
                <w:rFonts w:cstheme="minorHAnsi"/>
                <w:sz w:val="20"/>
                <w:szCs w:val="20"/>
              </w:rPr>
            </w:pPr>
          </w:p>
          <w:p w14:paraId="5D46CE1C" w14:textId="77777777" w:rsidR="00D255B4" w:rsidRDefault="00D255B4" w:rsidP="00933F86">
            <w:pPr>
              <w:pStyle w:val="NormalWeb"/>
              <w:spacing w:before="0" w:beforeAutospacing="0" w:after="0" w:afterAutospacing="0"/>
              <w:jc w:val="both"/>
              <w:rPr>
                <w:rFonts w:cstheme="minorHAnsi"/>
                <w:b/>
                <w:bCs/>
              </w:rPr>
            </w:pPr>
            <w:r w:rsidRPr="00EB59E8">
              <w:rPr>
                <w:rFonts w:asciiTheme="minorHAnsi" w:hAnsiTheme="minorHAnsi" w:cstheme="minorHAnsi"/>
                <w:sz w:val="20"/>
                <w:szCs w:val="20"/>
              </w:rPr>
              <w:t xml:space="preserve">In January 2018, the EU adopted a European Plastic Strategy with </w:t>
            </w:r>
            <w:r>
              <w:rPr>
                <w:rFonts w:asciiTheme="minorHAnsi" w:hAnsiTheme="minorHAnsi" w:cstheme="minorHAnsi"/>
                <w:sz w:val="20"/>
                <w:szCs w:val="20"/>
              </w:rPr>
              <w:t xml:space="preserve">a </w:t>
            </w:r>
            <w:r w:rsidRPr="00EB59E8">
              <w:rPr>
                <w:rFonts w:asciiTheme="minorHAnsi" w:hAnsiTheme="minorHAnsi" w:cstheme="minorHAnsi"/>
                <w:sz w:val="20"/>
                <w:szCs w:val="20"/>
              </w:rPr>
              <w:t>m</w:t>
            </w:r>
            <w:r w:rsidRPr="00EB59E8">
              <w:rPr>
                <w:rFonts w:asciiTheme="minorHAnsi" w:hAnsiTheme="minorHAnsi" w:cstheme="minorHAnsi"/>
                <w:color w:val="000000"/>
                <w:sz w:val="20"/>
                <w:szCs w:val="20"/>
                <w:shd w:val="clear" w:color="auto" w:fill="FFFFFF"/>
              </w:rPr>
              <w:t xml:space="preserve">aterial-specific lifecycle approach to tackle plastic litter, including </w:t>
            </w:r>
            <w:r>
              <w:rPr>
                <w:rFonts w:asciiTheme="minorHAnsi" w:hAnsiTheme="minorHAnsi" w:cstheme="minorHAnsi"/>
                <w:color w:val="000000"/>
                <w:sz w:val="20"/>
                <w:szCs w:val="20"/>
                <w:shd w:val="clear" w:color="auto" w:fill="FFFFFF"/>
              </w:rPr>
              <w:t xml:space="preserve">promoting the use of </w:t>
            </w:r>
            <w:r w:rsidRPr="00EB59E8">
              <w:rPr>
                <w:rFonts w:asciiTheme="minorHAnsi" w:hAnsiTheme="minorHAnsi" w:cstheme="minorHAnsi"/>
                <w:sz w:val="20"/>
                <w:szCs w:val="20"/>
              </w:rPr>
              <w:t>EPR</w:t>
            </w:r>
            <w:r>
              <w:rPr>
                <w:rFonts w:asciiTheme="minorHAnsi" w:hAnsiTheme="minorHAnsi" w:cstheme="minorHAnsi"/>
                <w:sz w:val="20"/>
                <w:szCs w:val="20"/>
              </w:rPr>
              <w:t xml:space="preserve"> schemes </w:t>
            </w:r>
            <w:r w:rsidRPr="002C60D8">
              <w:rPr>
                <w:rFonts w:asciiTheme="minorHAnsi" w:hAnsiTheme="minorHAnsi" w:cstheme="minorHAnsi"/>
                <w:color w:val="000000"/>
                <w:sz w:val="20"/>
                <w:szCs w:val="20"/>
                <w:shd w:val="clear" w:color="auto" w:fill="FFFFFF"/>
              </w:rPr>
              <w:t xml:space="preserve">(EC, 2018c). </w:t>
            </w:r>
            <w:r w:rsidRPr="002C60D8">
              <w:rPr>
                <w:rFonts w:asciiTheme="minorHAnsi" w:hAnsiTheme="minorHAnsi" w:cstheme="minorHAnsi"/>
                <w:sz w:val="20"/>
                <w:szCs w:val="20"/>
              </w:rPr>
              <w:t xml:space="preserve">In June 2019, the EU adopted the Single-Use Plastics Directive that expands EPR </w:t>
            </w:r>
            <w:r w:rsidRPr="002C60D8">
              <w:rPr>
                <w:rStyle w:val="Strong"/>
                <w:rFonts w:asciiTheme="minorHAnsi" w:hAnsiTheme="minorHAnsi" w:cstheme="minorHAnsi"/>
                <w:color w:val="000000"/>
                <w:sz w:val="20"/>
                <w:szCs w:val="20"/>
                <w:bdr w:val="none" w:sz="0" w:space="0" w:color="auto" w:frame="1"/>
              </w:rPr>
              <w:t xml:space="preserve">schemes (by applying it to such products as tobacco filters and fishing gear) to </w:t>
            </w:r>
            <w:r w:rsidRPr="002C60D8">
              <w:rPr>
                <w:rFonts w:asciiTheme="minorHAnsi" w:hAnsiTheme="minorHAnsi" w:cstheme="minorHAnsi"/>
                <w:color w:val="000000"/>
                <w:sz w:val="20"/>
                <w:szCs w:val="20"/>
                <w:shd w:val="clear" w:color="auto" w:fill="FFFFFF"/>
              </w:rPr>
              <w:t xml:space="preserve">cover the cost of cleaning up litter </w:t>
            </w:r>
            <w:r w:rsidRPr="002C60D8">
              <w:rPr>
                <w:rFonts w:asciiTheme="minorHAnsi" w:hAnsiTheme="minorHAnsi" w:cstheme="minorHAnsi"/>
                <w:sz w:val="20"/>
                <w:szCs w:val="20"/>
              </w:rPr>
              <w:t>(EU, 2019)</w:t>
            </w:r>
            <w:r w:rsidRPr="002C60D8">
              <w:rPr>
                <w:rFonts w:asciiTheme="minorHAnsi" w:hAnsiTheme="minorHAnsi" w:cstheme="minorHAnsi"/>
                <w:color w:val="000000"/>
                <w:sz w:val="20"/>
                <w:szCs w:val="20"/>
                <w:shd w:val="clear" w:color="auto" w:fill="FFFFFF"/>
              </w:rPr>
              <w:t>. This means</w:t>
            </w:r>
            <w:r w:rsidRPr="00EB59E8">
              <w:rPr>
                <w:rFonts w:asciiTheme="minorHAnsi" w:hAnsiTheme="minorHAnsi" w:cstheme="minorHAnsi"/>
                <w:color w:val="000000"/>
                <w:sz w:val="20"/>
                <w:szCs w:val="20"/>
                <w:shd w:val="clear" w:color="auto" w:fill="FFFFFF"/>
              </w:rPr>
              <w:t xml:space="preserve"> that m</w:t>
            </w:r>
            <w:r w:rsidRPr="00EB59E8">
              <w:rPr>
                <w:rFonts w:asciiTheme="minorHAnsi" w:eastAsiaTheme="minorHAnsi" w:hAnsiTheme="minorHAnsi" w:cstheme="minorHAnsi"/>
                <w:sz w:val="20"/>
                <w:szCs w:val="20"/>
              </w:rPr>
              <w:t xml:space="preserve">anufacturers of fishing gear, for example, and not fishermen, will be required to bear the costs of collecting fishing nets lost at sea. The directive is expected to </w:t>
            </w:r>
            <w:r>
              <w:rPr>
                <w:rFonts w:asciiTheme="minorHAnsi" w:eastAsiaTheme="minorHAnsi" w:hAnsiTheme="minorHAnsi" w:cstheme="minorHAnsi"/>
                <w:sz w:val="20"/>
                <w:szCs w:val="20"/>
              </w:rPr>
              <w:t xml:space="preserve">bring about both </w:t>
            </w:r>
            <w:r w:rsidRPr="00EB59E8">
              <w:rPr>
                <w:rFonts w:asciiTheme="minorHAnsi" w:hAnsiTheme="minorHAnsi" w:cstheme="minorHAnsi"/>
                <w:color w:val="000000"/>
                <w:sz w:val="20"/>
                <w:szCs w:val="20"/>
              </w:rPr>
              <w:t xml:space="preserve">environmental and economic benefits, </w:t>
            </w:r>
            <w:r>
              <w:rPr>
                <w:rFonts w:asciiTheme="minorHAnsi" w:hAnsiTheme="minorHAnsi" w:cstheme="minorHAnsi"/>
                <w:color w:val="000000"/>
                <w:sz w:val="20"/>
                <w:szCs w:val="20"/>
              </w:rPr>
              <w:t>by</w:t>
            </w:r>
            <w:r w:rsidRPr="00EB59E8">
              <w:rPr>
                <w:rFonts w:asciiTheme="minorHAnsi" w:hAnsiTheme="minorHAnsi" w:cstheme="minorHAnsi"/>
                <w:color w:val="000000"/>
                <w:sz w:val="20"/>
                <w:szCs w:val="20"/>
              </w:rPr>
              <w:t xml:space="preserve"> avoid</w:t>
            </w:r>
            <w:r>
              <w:rPr>
                <w:rFonts w:asciiTheme="minorHAnsi" w:hAnsiTheme="minorHAnsi" w:cstheme="minorHAnsi"/>
                <w:color w:val="000000"/>
                <w:sz w:val="20"/>
                <w:szCs w:val="20"/>
              </w:rPr>
              <w:t>ing</w:t>
            </w:r>
            <w:r w:rsidRPr="00EB59E8">
              <w:rPr>
                <w:rFonts w:asciiTheme="minorHAnsi" w:hAnsiTheme="minorHAnsi" w:cstheme="minorHAnsi"/>
                <w:color w:val="000000"/>
                <w:sz w:val="20"/>
                <w:szCs w:val="20"/>
              </w:rPr>
              <w:t xml:space="preserve"> environmental damages which would cost the equivalent of </w:t>
            </w:r>
            <w:r>
              <w:rPr>
                <w:rFonts w:asciiTheme="minorHAnsi" w:hAnsiTheme="minorHAnsi" w:cstheme="minorHAnsi"/>
                <w:color w:val="000000"/>
                <w:sz w:val="20"/>
                <w:szCs w:val="20"/>
              </w:rPr>
              <w:t xml:space="preserve">EUR </w:t>
            </w:r>
            <w:r w:rsidRPr="00EB59E8">
              <w:rPr>
                <w:rFonts w:asciiTheme="minorHAnsi" w:hAnsiTheme="minorHAnsi" w:cstheme="minorHAnsi"/>
                <w:color w:val="000000"/>
                <w:sz w:val="20"/>
                <w:szCs w:val="20"/>
              </w:rPr>
              <w:t xml:space="preserve">22 billion by 2030 and save consumers a projected </w:t>
            </w:r>
            <w:r>
              <w:rPr>
                <w:rFonts w:asciiTheme="minorHAnsi" w:hAnsiTheme="minorHAnsi" w:cstheme="minorHAnsi"/>
                <w:color w:val="000000"/>
                <w:sz w:val="20"/>
                <w:szCs w:val="20"/>
              </w:rPr>
              <w:t xml:space="preserve">EUR </w:t>
            </w:r>
            <w:r w:rsidRPr="00EB59E8">
              <w:rPr>
                <w:rFonts w:asciiTheme="minorHAnsi" w:hAnsiTheme="minorHAnsi" w:cstheme="minorHAnsi"/>
                <w:color w:val="000000"/>
                <w:sz w:val="20"/>
                <w:szCs w:val="20"/>
              </w:rPr>
              <w:t>6.5 billion</w:t>
            </w:r>
            <w:r>
              <w:rPr>
                <w:rFonts w:asciiTheme="minorHAnsi" w:hAnsiTheme="minorHAnsi" w:cstheme="minorHAnsi"/>
                <w:color w:val="000000"/>
                <w:sz w:val="20"/>
                <w:szCs w:val="20"/>
              </w:rPr>
              <w:t xml:space="preserve"> (EC, 2018d). </w:t>
            </w:r>
          </w:p>
        </w:tc>
      </w:tr>
    </w:tbl>
    <w:p w14:paraId="2C24A53B" w14:textId="77777777" w:rsidR="00D255B4" w:rsidRDefault="00D255B4" w:rsidP="00D255B4">
      <w:pPr>
        <w:jc w:val="both"/>
        <w:rPr>
          <w:rFonts w:cstheme="minorHAnsi"/>
          <w:b/>
          <w:bCs/>
        </w:rPr>
      </w:pPr>
    </w:p>
    <w:p w14:paraId="14E389B3" w14:textId="77777777" w:rsidR="00D255B4" w:rsidRDefault="00D255B4" w:rsidP="00D255B4">
      <w:pPr>
        <w:jc w:val="both"/>
        <w:rPr>
          <w:rFonts w:cstheme="minorHAnsi"/>
          <w:b/>
          <w:bCs/>
        </w:rPr>
      </w:pPr>
    </w:p>
    <w:p w14:paraId="782661E7" w14:textId="77777777" w:rsidR="00D255B4" w:rsidRDefault="00D255B4" w:rsidP="00D255B4">
      <w:pPr>
        <w:jc w:val="both"/>
        <w:rPr>
          <w:rFonts w:cstheme="minorHAnsi"/>
          <w:b/>
          <w:bCs/>
        </w:rPr>
      </w:pPr>
    </w:p>
    <w:p w14:paraId="7386DEDD" w14:textId="77777777" w:rsidR="00D255B4" w:rsidRDefault="00D255B4" w:rsidP="00D255B4">
      <w:pPr>
        <w:jc w:val="both"/>
        <w:rPr>
          <w:rFonts w:cstheme="minorHAnsi"/>
          <w:b/>
          <w:bCs/>
        </w:rPr>
      </w:pPr>
    </w:p>
    <w:p w14:paraId="1820BF8C" w14:textId="77777777" w:rsidR="00D255B4" w:rsidRDefault="00D255B4" w:rsidP="00D255B4">
      <w:pPr>
        <w:jc w:val="both"/>
        <w:rPr>
          <w:rFonts w:cstheme="minorHAnsi"/>
          <w:b/>
          <w:bCs/>
        </w:rPr>
      </w:pPr>
    </w:p>
    <w:p w14:paraId="3B6109B1" w14:textId="77777777" w:rsidR="00D255B4" w:rsidRDefault="00D255B4" w:rsidP="00D255B4">
      <w:pPr>
        <w:jc w:val="both"/>
        <w:rPr>
          <w:rFonts w:cstheme="minorHAnsi"/>
          <w:b/>
          <w:bCs/>
        </w:rPr>
      </w:pPr>
    </w:p>
    <w:p w14:paraId="14BDAF1C" w14:textId="77777777" w:rsidR="00D255B4" w:rsidRDefault="00D255B4" w:rsidP="00D255B4">
      <w:pPr>
        <w:jc w:val="both"/>
        <w:rPr>
          <w:rFonts w:cstheme="minorHAnsi"/>
          <w:b/>
          <w:bCs/>
        </w:rPr>
      </w:pPr>
    </w:p>
    <w:p w14:paraId="4BF3768D" w14:textId="591A3620" w:rsidR="00D935A3" w:rsidRDefault="00D935A3">
      <w:pPr>
        <w:rPr>
          <w:rFonts w:cstheme="minorHAnsi"/>
          <w:b/>
          <w:bCs/>
        </w:rPr>
      </w:pPr>
      <w:r>
        <w:rPr>
          <w:rFonts w:cstheme="minorHAnsi"/>
          <w:b/>
          <w:bCs/>
        </w:rPr>
        <w:br w:type="page"/>
      </w:r>
    </w:p>
    <w:p w14:paraId="6BAD21DA" w14:textId="77777777" w:rsidR="00D255B4" w:rsidRDefault="00D255B4" w:rsidP="00D255B4">
      <w:pPr>
        <w:pStyle w:val="Heading1"/>
      </w:pPr>
      <w:bookmarkStart w:id="27" w:name="_Toc19213829"/>
      <w:r>
        <w:lastRenderedPageBreak/>
        <w:t>6. Examples from other areas</w:t>
      </w:r>
      <w:bookmarkEnd w:id="27"/>
      <w:r>
        <w:t xml:space="preserve"> </w:t>
      </w:r>
    </w:p>
    <w:p w14:paraId="6BF89823" w14:textId="77777777" w:rsidR="00D255B4" w:rsidRDefault="00D255B4" w:rsidP="00D255B4"/>
    <w:p w14:paraId="3AF15EF1" w14:textId="77777777" w:rsidR="00D255B4" w:rsidRDefault="00D255B4" w:rsidP="00D255B4">
      <w:r>
        <w:t xml:space="preserve">This section provides a short overview of the use of economic instruments in other areas, including pollution charges, biodiversity incentives and innovative market-based instruments. </w:t>
      </w:r>
    </w:p>
    <w:p w14:paraId="58D41080" w14:textId="77777777" w:rsidR="00D255B4" w:rsidRDefault="00D255B4" w:rsidP="00D255B4">
      <w:r>
        <w:t xml:space="preserve"> </w:t>
      </w:r>
    </w:p>
    <w:p w14:paraId="5A89ED3E" w14:textId="77777777" w:rsidR="00D255B4" w:rsidRDefault="00D255B4" w:rsidP="00D255B4"/>
    <w:p w14:paraId="785F4F31" w14:textId="77777777" w:rsidR="00D255B4" w:rsidRPr="00DB5EAB" w:rsidRDefault="00D255B4" w:rsidP="00D255B4">
      <w:pPr>
        <w:pStyle w:val="Heading2"/>
      </w:pPr>
      <w:bookmarkStart w:id="28" w:name="_Toc19213830"/>
      <w:r>
        <w:t>6.1 Pollution charges</w:t>
      </w:r>
      <w:bookmarkEnd w:id="28"/>
      <w:r>
        <w:t xml:space="preserve"> </w:t>
      </w:r>
    </w:p>
    <w:p w14:paraId="7B6E0BAD" w14:textId="77777777" w:rsidR="00D255B4" w:rsidRDefault="00D255B4" w:rsidP="00D255B4">
      <w:pPr>
        <w:jc w:val="both"/>
        <w:rPr>
          <w:rFonts w:cstheme="minorHAnsi"/>
          <w:b/>
          <w:bCs/>
        </w:rPr>
      </w:pPr>
    </w:p>
    <w:p w14:paraId="47C2D5DF" w14:textId="77777777" w:rsidR="00D255B4" w:rsidRDefault="00D255B4" w:rsidP="00D255B4">
      <w:pPr>
        <w:jc w:val="both"/>
        <w:rPr>
          <w:rFonts w:cstheme="minorHAnsi"/>
          <w:color w:val="222222"/>
          <w:shd w:val="clear" w:color="auto" w:fill="FFFFFF"/>
        </w:rPr>
      </w:pPr>
      <w:r>
        <w:rPr>
          <w:rFonts w:cstheme="minorHAnsi"/>
        </w:rPr>
        <w:t>P</w:t>
      </w:r>
      <w:r w:rsidRPr="00DB5EAB">
        <w:rPr>
          <w:rFonts w:cstheme="minorHAnsi"/>
        </w:rPr>
        <w:t>ollution charges</w:t>
      </w:r>
      <w:r>
        <w:rPr>
          <w:rFonts w:cstheme="minorHAnsi"/>
        </w:rPr>
        <w:t xml:space="preserve"> provide a useful reference to understand economic instruments’ potential in the context of chemicals and waste</w:t>
      </w:r>
      <w:r w:rsidRPr="00DB5EAB">
        <w:rPr>
          <w:rFonts w:cstheme="minorHAnsi"/>
        </w:rPr>
        <w:t xml:space="preserve">. </w:t>
      </w:r>
      <w:r>
        <w:rPr>
          <w:rFonts w:cstheme="minorHAnsi"/>
        </w:rPr>
        <w:t>Three main types of p</w:t>
      </w:r>
      <w:r w:rsidRPr="00DB5EAB">
        <w:rPr>
          <w:rFonts w:cstheme="minorHAnsi"/>
          <w:color w:val="222222"/>
          <w:shd w:val="clear" w:color="auto" w:fill="FFFFFF"/>
        </w:rPr>
        <w:t xml:space="preserve">ollution charges </w:t>
      </w:r>
      <w:r>
        <w:rPr>
          <w:rFonts w:cstheme="minorHAnsi"/>
          <w:color w:val="222222"/>
          <w:shd w:val="clear" w:color="auto" w:fill="FFFFFF"/>
        </w:rPr>
        <w:t xml:space="preserve">are </w:t>
      </w:r>
      <w:r>
        <w:rPr>
          <w:rFonts w:cstheme="minorHAnsi"/>
        </w:rPr>
        <w:t>(World Bank, 1999)</w:t>
      </w:r>
      <w:r>
        <w:rPr>
          <w:rFonts w:cstheme="minorHAnsi"/>
          <w:color w:val="222222"/>
          <w:shd w:val="clear" w:color="auto" w:fill="FFFFFF"/>
        </w:rPr>
        <w:t>:</w:t>
      </w:r>
    </w:p>
    <w:p w14:paraId="1893A6C1" w14:textId="77777777" w:rsidR="00D255B4" w:rsidRPr="00DB5EAB" w:rsidRDefault="00D255B4" w:rsidP="00D255B4">
      <w:pPr>
        <w:jc w:val="both"/>
        <w:rPr>
          <w:rFonts w:cstheme="minorHAnsi"/>
          <w:color w:val="222222"/>
          <w:shd w:val="clear" w:color="auto" w:fill="FFFFFF"/>
        </w:rPr>
      </w:pPr>
      <w:r w:rsidRPr="00DB5EAB">
        <w:rPr>
          <w:rFonts w:cstheme="minorHAnsi"/>
          <w:color w:val="222222"/>
          <w:shd w:val="clear" w:color="auto" w:fill="FFFFFF"/>
        </w:rPr>
        <w:t xml:space="preserve"> </w:t>
      </w:r>
    </w:p>
    <w:p w14:paraId="7370EC50" w14:textId="77777777" w:rsidR="00D255B4" w:rsidRDefault="00D255B4" w:rsidP="00D54D68">
      <w:pPr>
        <w:pStyle w:val="ListParagraph"/>
        <w:numPr>
          <w:ilvl w:val="0"/>
          <w:numId w:val="3"/>
        </w:numPr>
        <w:spacing w:line="259" w:lineRule="auto"/>
        <w:jc w:val="both"/>
        <w:rPr>
          <w:rFonts w:cstheme="minorHAnsi"/>
          <w:color w:val="222222"/>
          <w:shd w:val="clear" w:color="auto" w:fill="FFFFFF"/>
        </w:rPr>
      </w:pPr>
      <w:r w:rsidRPr="008C041A">
        <w:rPr>
          <w:rFonts w:cstheme="minorHAnsi"/>
          <w:b/>
          <w:bCs/>
          <w:color w:val="222222"/>
          <w:shd w:val="clear" w:color="auto" w:fill="FFFFFF"/>
        </w:rPr>
        <w:t>Emission</w:t>
      </w:r>
      <w:r>
        <w:rPr>
          <w:rFonts w:cstheme="minorHAnsi"/>
          <w:b/>
          <w:bCs/>
          <w:color w:val="222222"/>
          <w:shd w:val="clear" w:color="auto" w:fill="FFFFFF"/>
        </w:rPr>
        <w:t xml:space="preserve"> </w:t>
      </w:r>
      <w:r w:rsidRPr="008C041A">
        <w:rPr>
          <w:rFonts w:cstheme="minorHAnsi"/>
          <w:b/>
          <w:bCs/>
          <w:color w:val="222222"/>
          <w:shd w:val="clear" w:color="auto" w:fill="FFFFFF"/>
        </w:rPr>
        <w:t>charges</w:t>
      </w:r>
      <w:r>
        <w:rPr>
          <w:rFonts w:cstheme="minorHAnsi"/>
          <w:color w:val="222222"/>
          <w:shd w:val="clear" w:color="auto" w:fill="FFFFFF"/>
        </w:rPr>
        <w:t>:</w:t>
      </w:r>
      <w:r w:rsidRPr="008C041A">
        <w:rPr>
          <w:rFonts w:cstheme="minorHAnsi"/>
          <w:color w:val="222222"/>
          <w:shd w:val="clear" w:color="auto" w:fill="FFFFFF"/>
        </w:rPr>
        <w:t xml:space="preserve"> charges on emissions </w:t>
      </w:r>
      <w:r>
        <w:rPr>
          <w:rFonts w:cstheme="minorHAnsi"/>
          <w:color w:val="222222"/>
          <w:shd w:val="clear" w:color="auto" w:fill="FFFFFF"/>
        </w:rPr>
        <w:t>in</w:t>
      </w:r>
      <w:r w:rsidRPr="008C041A">
        <w:rPr>
          <w:rFonts w:cstheme="minorHAnsi"/>
          <w:color w:val="222222"/>
          <w:shd w:val="clear" w:color="auto" w:fill="FFFFFF"/>
        </w:rPr>
        <w:t>to the environment (air, water, or soil)</w:t>
      </w:r>
      <w:r>
        <w:rPr>
          <w:rFonts w:cstheme="minorHAnsi"/>
          <w:color w:val="222222"/>
          <w:shd w:val="clear" w:color="auto" w:fill="FFFFFF"/>
        </w:rPr>
        <w:t xml:space="preserve"> </w:t>
      </w:r>
      <w:r w:rsidRPr="008C041A">
        <w:rPr>
          <w:rFonts w:cstheme="minorHAnsi"/>
          <w:color w:val="222222"/>
          <w:shd w:val="clear" w:color="auto" w:fill="FFFFFF"/>
        </w:rPr>
        <w:t>based on the quantity and toxicity of discharged pollutants</w:t>
      </w:r>
    </w:p>
    <w:p w14:paraId="4E26ADBA" w14:textId="77777777" w:rsidR="00D255B4" w:rsidRPr="00B92B61" w:rsidRDefault="00D255B4" w:rsidP="00D54D68">
      <w:pPr>
        <w:pStyle w:val="ListParagraph"/>
        <w:numPr>
          <w:ilvl w:val="0"/>
          <w:numId w:val="3"/>
        </w:numPr>
        <w:spacing w:line="259" w:lineRule="auto"/>
        <w:jc w:val="both"/>
        <w:rPr>
          <w:rFonts w:cstheme="minorHAnsi"/>
          <w:color w:val="222222"/>
          <w:shd w:val="clear" w:color="auto" w:fill="FFFFFF"/>
        </w:rPr>
      </w:pPr>
      <w:r w:rsidRPr="008C041A">
        <w:rPr>
          <w:rFonts w:cstheme="minorHAnsi"/>
          <w:b/>
          <w:bCs/>
          <w:color w:val="222222"/>
          <w:shd w:val="clear" w:color="auto" w:fill="FFFFFF"/>
        </w:rPr>
        <w:t>User charges</w:t>
      </w:r>
      <w:r>
        <w:rPr>
          <w:rFonts w:cstheme="minorHAnsi"/>
          <w:b/>
          <w:bCs/>
          <w:color w:val="222222"/>
          <w:shd w:val="clear" w:color="auto" w:fill="FFFFFF"/>
        </w:rPr>
        <w:t>:</w:t>
      </w:r>
      <w:r w:rsidRPr="008C041A">
        <w:rPr>
          <w:rFonts w:cstheme="minorHAnsi"/>
          <w:color w:val="222222"/>
          <w:shd w:val="clear" w:color="auto" w:fill="FFFFFF"/>
        </w:rPr>
        <w:t xml:space="preserve"> payments for the costs of collective or public treatment of effluents—are one form of emissions charges </w:t>
      </w:r>
    </w:p>
    <w:p w14:paraId="3CE38B5E" w14:textId="77777777" w:rsidR="00D255B4" w:rsidRPr="00C9759F" w:rsidRDefault="00D255B4" w:rsidP="00D54D68">
      <w:pPr>
        <w:pStyle w:val="ListParagraph"/>
        <w:numPr>
          <w:ilvl w:val="0"/>
          <w:numId w:val="3"/>
        </w:numPr>
        <w:spacing w:line="259" w:lineRule="auto"/>
        <w:jc w:val="both"/>
        <w:rPr>
          <w:rFonts w:cstheme="minorHAnsi"/>
        </w:rPr>
      </w:pPr>
      <w:r w:rsidRPr="00C9759F">
        <w:rPr>
          <w:rFonts w:cstheme="minorHAnsi"/>
          <w:b/>
          <w:bCs/>
          <w:color w:val="222222"/>
          <w:shd w:val="clear" w:color="auto" w:fill="FFFFFF"/>
        </w:rPr>
        <w:t>Product charges</w:t>
      </w:r>
      <w:r>
        <w:rPr>
          <w:rFonts w:cstheme="minorHAnsi"/>
          <w:b/>
          <w:bCs/>
          <w:color w:val="222222"/>
          <w:shd w:val="clear" w:color="auto" w:fill="FFFFFF"/>
        </w:rPr>
        <w:t>:</w:t>
      </w:r>
      <w:r w:rsidRPr="00C9759F">
        <w:rPr>
          <w:rFonts w:cstheme="minorHAnsi"/>
          <w:color w:val="222222"/>
          <w:shd w:val="clear" w:color="auto" w:fill="FFFFFF"/>
        </w:rPr>
        <w:t xml:space="preserve"> charges or taxes on products that are polluting in the manufacturing, consumption, or disposal phase </w:t>
      </w:r>
    </w:p>
    <w:p w14:paraId="006663FA" w14:textId="77777777" w:rsidR="00D255B4" w:rsidRPr="00C9759F" w:rsidRDefault="00D255B4" w:rsidP="00D255B4">
      <w:pPr>
        <w:pStyle w:val="ListParagraph"/>
        <w:ind w:left="630"/>
        <w:jc w:val="both"/>
        <w:rPr>
          <w:rFonts w:cstheme="minorHAnsi"/>
        </w:rPr>
      </w:pPr>
    </w:p>
    <w:p w14:paraId="73162497" w14:textId="77777777" w:rsidR="00D255B4" w:rsidRPr="00DA71F3" w:rsidRDefault="00D255B4" w:rsidP="00D255B4">
      <w:pPr>
        <w:jc w:val="both"/>
        <w:rPr>
          <w:rFonts w:cstheme="minorHAnsi"/>
        </w:rPr>
      </w:pPr>
      <w:r w:rsidRPr="005A5977">
        <w:rPr>
          <w:rFonts w:cstheme="minorHAnsi"/>
        </w:rPr>
        <w:t>Nordic countries have pioneered the use of</w:t>
      </w:r>
      <w:r>
        <w:rPr>
          <w:rFonts w:cstheme="minorHAnsi"/>
        </w:rPr>
        <w:t xml:space="preserve"> pollution charges</w:t>
      </w:r>
      <w:r w:rsidRPr="005A5977">
        <w:rPr>
          <w:rFonts w:cstheme="minorHAnsi"/>
        </w:rPr>
        <w:t xml:space="preserve">, particularly on emissions of </w:t>
      </w:r>
      <w:proofErr w:type="spellStart"/>
      <w:r w:rsidRPr="005A5977">
        <w:rPr>
          <w:rFonts w:cstheme="minorHAnsi"/>
        </w:rPr>
        <w:t>sulphur</w:t>
      </w:r>
      <w:proofErr w:type="spellEnd"/>
      <w:r w:rsidRPr="005A5977">
        <w:rPr>
          <w:rFonts w:cstheme="minorHAnsi"/>
        </w:rPr>
        <w:t xml:space="preserve"> dioxide and nitrogen oxides, which ha</w:t>
      </w:r>
      <w:r>
        <w:rPr>
          <w:rFonts w:cstheme="minorHAnsi"/>
        </w:rPr>
        <w:t>ve</w:t>
      </w:r>
      <w:r w:rsidRPr="005A5977">
        <w:rPr>
          <w:rFonts w:cstheme="minorHAnsi"/>
        </w:rPr>
        <w:t xml:space="preserve"> since expanded to </w:t>
      </w:r>
      <w:r>
        <w:rPr>
          <w:rFonts w:cstheme="minorHAnsi"/>
        </w:rPr>
        <w:t xml:space="preserve">many </w:t>
      </w:r>
      <w:r w:rsidRPr="005A5977">
        <w:rPr>
          <w:rFonts w:cstheme="minorHAnsi"/>
        </w:rPr>
        <w:t xml:space="preserve">other countries and </w:t>
      </w:r>
      <w:r>
        <w:rPr>
          <w:rFonts w:cstheme="minorHAnsi"/>
        </w:rPr>
        <w:t xml:space="preserve">have </w:t>
      </w:r>
      <w:r w:rsidRPr="005A5977">
        <w:rPr>
          <w:rFonts w:cstheme="minorHAnsi"/>
        </w:rPr>
        <w:t>proven to be successful in mitigating emissions (OECD, 2017).</w:t>
      </w:r>
      <w:r w:rsidRPr="00180386">
        <w:rPr>
          <w:rFonts w:cstheme="minorHAnsi"/>
        </w:rPr>
        <w:t xml:space="preserve"> </w:t>
      </w:r>
      <w:r w:rsidRPr="00DE1A35">
        <w:rPr>
          <w:rFonts w:cstheme="minorHAnsi"/>
        </w:rPr>
        <w:t>The role of national</w:t>
      </w:r>
      <w:r>
        <w:rPr>
          <w:rFonts w:cstheme="minorHAnsi"/>
        </w:rPr>
        <w:t xml:space="preserve"> commissions mandated to oversee the development of economic instruments has been pivotal for driving new policies in many countries. For instance, Sweden’s </w:t>
      </w:r>
      <w:r w:rsidRPr="00203E8A">
        <w:t xml:space="preserve">Environmental Charges Commission (ECC) </w:t>
      </w:r>
      <w:r>
        <w:t xml:space="preserve">(initially </w:t>
      </w:r>
      <w:r w:rsidRPr="00203E8A">
        <w:t>appointed in 1987</w:t>
      </w:r>
      <w:r>
        <w:t>)</w:t>
      </w:r>
      <w:r w:rsidRPr="00203E8A">
        <w:t xml:space="preserve"> </w:t>
      </w:r>
      <w:r>
        <w:t>have</w:t>
      </w:r>
      <w:r w:rsidRPr="00203E8A">
        <w:t xml:space="preserve"> resulted in the introduction of a number of new economic instruments</w:t>
      </w:r>
      <w:r>
        <w:t xml:space="preserve">, including taxes on </w:t>
      </w:r>
      <w:bookmarkStart w:id="29" w:name="_Hlk17643718"/>
      <w:proofErr w:type="spellStart"/>
      <w:r w:rsidRPr="005A5977">
        <w:rPr>
          <w:rFonts w:cstheme="minorHAnsi"/>
        </w:rPr>
        <w:t>sulphur</w:t>
      </w:r>
      <w:proofErr w:type="spellEnd"/>
      <w:r w:rsidRPr="005A5977">
        <w:rPr>
          <w:rFonts w:cstheme="minorHAnsi"/>
        </w:rPr>
        <w:t xml:space="preserve"> dioxide</w:t>
      </w:r>
      <w:r>
        <w:rPr>
          <w:rFonts w:cstheme="minorHAnsi"/>
        </w:rPr>
        <w:t>,</w:t>
      </w:r>
      <w:r w:rsidRPr="005A5977">
        <w:rPr>
          <w:rFonts w:cstheme="minorHAnsi"/>
        </w:rPr>
        <w:t xml:space="preserve"> nitrogen oxides</w:t>
      </w:r>
      <w:r>
        <w:rPr>
          <w:rFonts w:cstheme="minorHAnsi"/>
        </w:rPr>
        <w:t xml:space="preserve"> and carbon dioxide </w:t>
      </w:r>
      <w:bookmarkEnd w:id="29"/>
      <w:r w:rsidRPr="00203E8A">
        <w:t xml:space="preserve">(OECD, 2013). </w:t>
      </w:r>
    </w:p>
    <w:p w14:paraId="3386AC98" w14:textId="77777777" w:rsidR="00D255B4" w:rsidRDefault="00D255B4" w:rsidP="00D255B4">
      <w:pPr>
        <w:jc w:val="both"/>
        <w:rPr>
          <w:rFonts w:cstheme="minorHAnsi"/>
        </w:rPr>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9308"/>
      </w:tblGrid>
      <w:tr w:rsidR="00D255B4" w14:paraId="01C43F42" w14:textId="77777777" w:rsidTr="00933F86">
        <w:tc>
          <w:tcPr>
            <w:tcW w:w="9350" w:type="dxa"/>
          </w:tcPr>
          <w:p w14:paraId="50980F1F" w14:textId="77777777" w:rsidR="00D255B4" w:rsidRPr="00E03755" w:rsidRDefault="00D255B4" w:rsidP="00933F86">
            <w:pPr>
              <w:jc w:val="both"/>
              <w:rPr>
                <w:b/>
                <w:bCs/>
                <w:sz w:val="20"/>
                <w:szCs w:val="20"/>
              </w:rPr>
            </w:pPr>
            <w:r w:rsidRPr="00E03755">
              <w:rPr>
                <w:b/>
                <w:bCs/>
                <w:sz w:val="20"/>
                <w:szCs w:val="20"/>
              </w:rPr>
              <w:t xml:space="preserve">EXAMPLE 15: Pollution charges for nitrogen oxide emissions in Sweden </w:t>
            </w:r>
          </w:p>
          <w:p w14:paraId="7488F22C" w14:textId="77777777" w:rsidR="00D255B4" w:rsidRDefault="00D255B4" w:rsidP="00933F86">
            <w:pPr>
              <w:jc w:val="both"/>
              <w:rPr>
                <w:sz w:val="20"/>
                <w:szCs w:val="20"/>
              </w:rPr>
            </w:pPr>
          </w:p>
          <w:p w14:paraId="44BF80FD" w14:textId="77777777" w:rsidR="00D255B4" w:rsidRDefault="00D255B4" w:rsidP="00933F86">
            <w:pPr>
              <w:jc w:val="both"/>
              <w:rPr>
                <w:rFonts w:cstheme="minorHAnsi"/>
              </w:rPr>
            </w:pPr>
            <w:r w:rsidRPr="00EC6FB6">
              <w:rPr>
                <w:sz w:val="20"/>
                <w:szCs w:val="20"/>
              </w:rPr>
              <w:t xml:space="preserve">In the </w:t>
            </w:r>
            <w:r>
              <w:rPr>
                <w:sz w:val="20"/>
                <w:szCs w:val="20"/>
              </w:rPr>
              <w:t>mid-19</w:t>
            </w:r>
            <w:r w:rsidRPr="00EC6FB6">
              <w:rPr>
                <w:sz w:val="20"/>
                <w:szCs w:val="20"/>
              </w:rPr>
              <w:t xml:space="preserve">80s, </w:t>
            </w:r>
            <w:r>
              <w:rPr>
                <w:sz w:val="20"/>
                <w:szCs w:val="20"/>
              </w:rPr>
              <w:t xml:space="preserve">forests and freshwater ecosystems dying from acid rain caused by industrial emissions promoted rapid action in many countries. </w:t>
            </w:r>
            <w:r w:rsidRPr="00265A34">
              <w:rPr>
                <w:sz w:val="20"/>
                <w:szCs w:val="20"/>
              </w:rPr>
              <w:t>In 1992, Sweden introduced a tax on nitrogen oxides</w:t>
            </w:r>
            <w:r>
              <w:rPr>
                <w:sz w:val="20"/>
                <w:szCs w:val="20"/>
              </w:rPr>
              <w:t xml:space="preserve"> emitted</w:t>
            </w:r>
            <w:r w:rsidRPr="00265A34">
              <w:rPr>
                <w:sz w:val="20"/>
                <w:szCs w:val="20"/>
              </w:rPr>
              <w:t xml:space="preserve"> from large combustion sources (e.g. power plants, industrial plants, waste incinerators). The tax was accompanied by a refund according to the amount of energy generated</w:t>
            </w:r>
            <w:r>
              <w:rPr>
                <w:sz w:val="20"/>
                <w:szCs w:val="20"/>
              </w:rPr>
              <w:t xml:space="preserve"> to </w:t>
            </w:r>
            <w:r w:rsidRPr="00265A34">
              <w:rPr>
                <w:sz w:val="20"/>
                <w:szCs w:val="20"/>
              </w:rPr>
              <w:t xml:space="preserve">ensure that facilities with low nitrogen oxide emission intensities are net beneficiaries of the scheme. The tax was designed to accelerate and stimulate investment in advanced combustion and pollution-abatement technologies. </w:t>
            </w:r>
            <w:r>
              <w:rPr>
                <w:sz w:val="20"/>
                <w:szCs w:val="20"/>
              </w:rPr>
              <w:t>Once the tax was implemented, a</w:t>
            </w:r>
            <w:r w:rsidRPr="00265A34">
              <w:rPr>
                <w:sz w:val="20"/>
                <w:szCs w:val="20"/>
              </w:rPr>
              <w:t xml:space="preserve"> 35% reduction in nitrogen oxide emission</w:t>
            </w:r>
            <w:r>
              <w:rPr>
                <w:sz w:val="20"/>
                <w:szCs w:val="20"/>
              </w:rPr>
              <w:t>s</w:t>
            </w:r>
            <w:r w:rsidRPr="00265A34">
              <w:rPr>
                <w:sz w:val="20"/>
                <w:szCs w:val="20"/>
              </w:rPr>
              <w:t xml:space="preserve"> </w:t>
            </w:r>
            <w:r>
              <w:rPr>
                <w:sz w:val="20"/>
                <w:szCs w:val="20"/>
              </w:rPr>
              <w:t xml:space="preserve">was observed </w:t>
            </w:r>
            <w:r w:rsidRPr="00265A34">
              <w:rPr>
                <w:sz w:val="20"/>
                <w:szCs w:val="20"/>
              </w:rPr>
              <w:t>within 20 months</w:t>
            </w:r>
            <w:r>
              <w:rPr>
                <w:sz w:val="20"/>
                <w:szCs w:val="20"/>
              </w:rPr>
              <w:t xml:space="preserve"> because </w:t>
            </w:r>
            <w:r w:rsidRPr="00265A34">
              <w:rPr>
                <w:sz w:val="20"/>
                <w:szCs w:val="20"/>
              </w:rPr>
              <w:t xml:space="preserve">industry was </w:t>
            </w:r>
            <w:r>
              <w:rPr>
                <w:sz w:val="20"/>
                <w:szCs w:val="20"/>
              </w:rPr>
              <w:t>incentiviz</w:t>
            </w:r>
            <w:r w:rsidRPr="00265A34">
              <w:rPr>
                <w:sz w:val="20"/>
                <w:szCs w:val="20"/>
              </w:rPr>
              <w:t>ed to develop cheaper, more efficient technologies</w:t>
            </w:r>
            <w:r>
              <w:rPr>
                <w:sz w:val="20"/>
                <w:szCs w:val="20"/>
              </w:rPr>
              <w:t xml:space="preserve"> (OECD 2013).</w:t>
            </w:r>
          </w:p>
        </w:tc>
      </w:tr>
    </w:tbl>
    <w:p w14:paraId="60BB762E" w14:textId="77777777" w:rsidR="00D255B4" w:rsidRDefault="00D255B4" w:rsidP="00D255B4">
      <w:pPr>
        <w:jc w:val="both"/>
        <w:rPr>
          <w:rFonts w:cstheme="minorHAnsi"/>
        </w:rPr>
      </w:pPr>
    </w:p>
    <w:p w14:paraId="12B1AD31" w14:textId="77777777" w:rsidR="00D255B4" w:rsidRDefault="00D255B4" w:rsidP="00D255B4">
      <w:pPr>
        <w:jc w:val="both"/>
        <w:rPr>
          <w:rFonts w:cstheme="minorHAnsi"/>
        </w:rPr>
      </w:pPr>
      <w:r>
        <w:rPr>
          <w:rFonts w:cstheme="minorHAnsi"/>
        </w:rPr>
        <w:t>Th</w:t>
      </w:r>
      <w:r w:rsidRPr="005A5977">
        <w:rPr>
          <w:rFonts w:cstheme="minorHAnsi"/>
        </w:rPr>
        <w:t xml:space="preserve">e first carbon tax </w:t>
      </w:r>
      <w:r>
        <w:rPr>
          <w:rFonts w:cstheme="minorHAnsi"/>
        </w:rPr>
        <w:t xml:space="preserve">was </w:t>
      </w:r>
      <w:r w:rsidRPr="005A5977">
        <w:rPr>
          <w:rFonts w:cstheme="minorHAnsi"/>
        </w:rPr>
        <w:t xml:space="preserve">introduced in Finland, in 1990, followed by Norway, Sweden (both in 1991) and Denmark (1994) (OECD, 2017). </w:t>
      </w:r>
      <w:r>
        <w:rPr>
          <w:rFonts w:cstheme="minorHAnsi"/>
        </w:rPr>
        <w:t xml:space="preserve">As of April 2019, </w:t>
      </w:r>
      <w:r>
        <w:rPr>
          <w:rFonts w:cstheme="minorHAnsi"/>
          <w:shd w:val="clear" w:color="auto" w:fill="FFFFFF"/>
        </w:rPr>
        <w:t>46</w:t>
      </w:r>
      <w:r w:rsidRPr="005A5977">
        <w:rPr>
          <w:rFonts w:cstheme="minorHAnsi"/>
          <w:shd w:val="clear" w:color="auto" w:fill="FFFFFF"/>
        </w:rPr>
        <w:t xml:space="preserve"> </w:t>
      </w:r>
      <w:r>
        <w:rPr>
          <w:rFonts w:cstheme="minorHAnsi"/>
          <w:shd w:val="clear" w:color="auto" w:fill="FFFFFF"/>
        </w:rPr>
        <w:t xml:space="preserve">national and 28 subnational jurisdictions are </w:t>
      </w:r>
      <w:r w:rsidRPr="005A5977">
        <w:rPr>
          <w:rFonts w:cstheme="minorHAnsi"/>
          <w:shd w:val="clear" w:color="auto" w:fill="FFFFFF"/>
        </w:rPr>
        <w:t>pricing</w:t>
      </w:r>
      <w:r>
        <w:rPr>
          <w:rFonts w:cstheme="minorHAnsi"/>
          <w:shd w:val="clear" w:color="auto" w:fill="FFFFFF"/>
        </w:rPr>
        <w:t xml:space="preserve"> carbon within a price range of USD 1-127 / tCO</w:t>
      </w:r>
      <w:r w:rsidRPr="008804A4">
        <w:rPr>
          <w:rFonts w:cstheme="minorHAnsi"/>
          <w:shd w:val="clear" w:color="auto" w:fill="FFFFFF"/>
          <w:vertAlign w:val="subscript"/>
        </w:rPr>
        <w:t>2</w:t>
      </w:r>
      <w:r>
        <w:rPr>
          <w:rFonts w:cstheme="minorHAnsi"/>
          <w:shd w:val="clear" w:color="auto" w:fill="FFFFFF"/>
        </w:rPr>
        <w:t xml:space="preserve"> </w:t>
      </w:r>
      <w:r w:rsidRPr="005A5977">
        <w:rPr>
          <w:rFonts w:cstheme="minorHAnsi"/>
          <w:shd w:val="clear" w:color="auto" w:fill="FFFFFF"/>
        </w:rPr>
        <w:t>(</w:t>
      </w:r>
      <w:r>
        <w:rPr>
          <w:rFonts w:cstheme="minorHAnsi"/>
          <w:shd w:val="clear" w:color="auto" w:fill="FFFFFF"/>
        </w:rPr>
        <w:t>World Bank</w:t>
      </w:r>
      <w:r w:rsidRPr="005A5977">
        <w:rPr>
          <w:rFonts w:cstheme="minorHAnsi"/>
          <w:shd w:val="clear" w:color="auto" w:fill="FFFFFF"/>
        </w:rPr>
        <w:t>, 2019)</w:t>
      </w:r>
      <w:r>
        <w:rPr>
          <w:rFonts w:cstheme="minorHAnsi"/>
          <w:shd w:val="clear" w:color="auto" w:fill="FFFFFF"/>
        </w:rPr>
        <w:t xml:space="preserve">. This includes many low- and middle-income countries, such as </w:t>
      </w:r>
      <w:r w:rsidRPr="005A5977">
        <w:rPr>
          <w:rFonts w:cstheme="minorHAnsi"/>
          <w:shd w:val="clear" w:color="auto" w:fill="FFFFFF"/>
        </w:rPr>
        <w:t>South-Africa, Colombia, Argentina and Costa Rica.</w:t>
      </w:r>
      <w:r>
        <w:rPr>
          <w:rFonts w:cstheme="minorHAnsi"/>
          <w:shd w:val="clear" w:color="auto" w:fill="FFFFFF"/>
        </w:rPr>
        <w:t xml:space="preserve"> </w:t>
      </w:r>
      <w:r w:rsidRPr="005A5977">
        <w:rPr>
          <w:rFonts w:cstheme="minorHAnsi"/>
          <w:shd w:val="clear" w:color="auto" w:fill="FFFFFF"/>
        </w:rPr>
        <w:t xml:space="preserve">Research shows that </w:t>
      </w:r>
      <w:r>
        <w:rPr>
          <w:rFonts w:cstheme="minorHAnsi"/>
          <w:shd w:val="clear" w:color="auto" w:fill="FFFFFF"/>
        </w:rPr>
        <w:t xml:space="preserve">carbon dioxide </w:t>
      </w:r>
      <w:r w:rsidRPr="005A5977">
        <w:rPr>
          <w:rFonts w:cstheme="minorHAnsi"/>
          <w:shd w:val="clear" w:color="auto" w:fill="FFFFFF"/>
        </w:rPr>
        <w:t xml:space="preserve">emissions have declined in </w:t>
      </w:r>
      <w:r w:rsidRPr="005A5977">
        <w:rPr>
          <w:rFonts w:cstheme="minorHAnsi"/>
          <w:shd w:val="clear" w:color="auto" w:fill="FFFFFF"/>
        </w:rPr>
        <w:lastRenderedPageBreak/>
        <w:t>Finland, Denmark, Sweden and the Netherlands relative to those in other 13 European countries in which carbon taxes are not in place (</w:t>
      </w:r>
      <w:proofErr w:type="spellStart"/>
      <w:r w:rsidRPr="005A5977">
        <w:rPr>
          <w:rFonts w:cstheme="minorHAnsi"/>
          <w:shd w:val="clear" w:color="auto" w:fill="FFFFFF"/>
        </w:rPr>
        <w:t>Boqiang</w:t>
      </w:r>
      <w:proofErr w:type="spellEnd"/>
      <w:r w:rsidRPr="005A5977">
        <w:rPr>
          <w:rFonts w:cstheme="minorHAnsi"/>
          <w:shd w:val="clear" w:color="auto" w:fill="FFFFFF"/>
        </w:rPr>
        <w:t xml:space="preserve"> &amp; </w:t>
      </w:r>
      <w:proofErr w:type="spellStart"/>
      <w:r w:rsidRPr="005A5977">
        <w:rPr>
          <w:rFonts w:cstheme="minorHAnsi"/>
          <w:shd w:val="clear" w:color="auto" w:fill="FFFFFF"/>
        </w:rPr>
        <w:t>Xuehui</w:t>
      </w:r>
      <w:proofErr w:type="spellEnd"/>
      <w:r w:rsidRPr="005A5977">
        <w:rPr>
          <w:rFonts w:cstheme="minorHAnsi"/>
          <w:shd w:val="clear" w:color="auto" w:fill="FFFFFF"/>
        </w:rPr>
        <w:t>, 2011).</w:t>
      </w:r>
      <w:r>
        <w:rPr>
          <w:rFonts w:cstheme="minorHAnsi"/>
          <w:shd w:val="clear" w:color="auto" w:fill="FFFFFF"/>
        </w:rPr>
        <w:t xml:space="preserve"> </w:t>
      </w:r>
    </w:p>
    <w:p w14:paraId="454DD930" w14:textId="77777777" w:rsidR="00D255B4" w:rsidRDefault="00D255B4" w:rsidP="00D255B4">
      <w:pPr>
        <w:jc w:val="both"/>
        <w:rPr>
          <w:rFonts w:cstheme="minorHAnsi"/>
        </w:rPr>
      </w:pPr>
    </w:p>
    <w:p w14:paraId="5691DC9B" w14:textId="77777777" w:rsidR="00D255B4" w:rsidRDefault="00D255B4" w:rsidP="00D255B4">
      <w:pPr>
        <w:jc w:val="both"/>
        <w:rPr>
          <w:rFonts w:cstheme="minorHAnsi"/>
        </w:rPr>
      </w:pPr>
    </w:p>
    <w:p w14:paraId="34C8FBCE" w14:textId="77777777" w:rsidR="00D255B4" w:rsidRPr="00DB5EAB" w:rsidRDefault="00D255B4" w:rsidP="00D255B4">
      <w:pPr>
        <w:pStyle w:val="Heading2"/>
      </w:pPr>
      <w:bookmarkStart w:id="30" w:name="_Toc19213831"/>
      <w:r>
        <w:t>6.2 Biodiversity incentives</w:t>
      </w:r>
      <w:bookmarkEnd w:id="30"/>
      <w:r>
        <w:t xml:space="preserve"> </w:t>
      </w:r>
    </w:p>
    <w:p w14:paraId="1D70CAFB" w14:textId="77777777" w:rsidR="00D255B4" w:rsidRDefault="00D255B4" w:rsidP="00D255B4">
      <w:pPr>
        <w:jc w:val="both"/>
        <w:rPr>
          <w:rFonts w:cstheme="minorHAnsi"/>
        </w:rPr>
      </w:pPr>
    </w:p>
    <w:p w14:paraId="0B27BB0E" w14:textId="77777777" w:rsidR="00D255B4" w:rsidRDefault="00D255B4" w:rsidP="00D255B4">
      <w:pPr>
        <w:jc w:val="both"/>
        <w:rPr>
          <w:rFonts w:cstheme="minorHAnsi"/>
        </w:rPr>
      </w:pPr>
      <w:r w:rsidRPr="00E1184F">
        <w:rPr>
          <w:rFonts w:cstheme="minorHAnsi"/>
        </w:rPr>
        <w:t>Economic instruments are increasingly recognized as having an important role to play in the implementation of many multilateral environmental agreements (MEAs)</w:t>
      </w:r>
      <w:r>
        <w:rPr>
          <w:rFonts w:cstheme="minorHAnsi"/>
        </w:rPr>
        <w:t xml:space="preserve"> (UNEP, 2004). The </w:t>
      </w:r>
      <w:r w:rsidRPr="009446D9">
        <w:rPr>
          <w:rFonts w:cstheme="minorHAnsi"/>
        </w:rPr>
        <w:t>Convention on Biological Diversity</w:t>
      </w:r>
      <w:r>
        <w:rPr>
          <w:rFonts w:cstheme="minorHAnsi"/>
        </w:rPr>
        <w:t xml:space="preserve"> (CBD) </w:t>
      </w:r>
      <w:r w:rsidRPr="00A110E6">
        <w:rPr>
          <w:rFonts w:cstheme="minorHAnsi"/>
        </w:rPr>
        <w:t xml:space="preserve">provides a useful </w:t>
      </w:r>
      <w:r>
        <w:rPr>
          <w:rFonts w:cstheme="minorHAnsi"/>
        </w:rPr>
        <w:t xml:space="preserve">example, since the role of economic instruments (referred to as incentives in the CBD) has gradually evolved over the past two decades and is now prominently featured in the work of the convention. For instance, the monitoring of the strategy for resource mobilization for the convention </w:t>
      </w:r>
      <w:proofErr w:type="gramStart"/>
      <w:r>
        <w:rPr>
          <w:rFonts w:cstheme="minorHAnsi"/>
        </w:rPr>
        <w:t>takes into account</w:t>
      </w:r>
      <w:proofErr w:type="gramEnd"/>
      <w:r>
        <w:rPr>
          <w:rFonts w:cstheme="minorHAnsi"/>
        </w:rPr>
        <w:t xml:space="preserve"> the use of incentives (CBD, 2010a). The types of incentives used by the CBD are illustrated in Figure 2. </w:t>
      </w:r>
    </w:p>
    <w:p w14:paraId="0E3FC096" w14:textId="77777777" w:rsidR="00D255B4" w:rsidRDefault="00D255B4" w:rsidP="00D255B4">
      <w:pPr>
        <w:jc w:val="both"/>
        <w:rPr>
          <w:rFonts w:cstheme="minorHAnsi"/>
        </w:rPr>
      </w:pPr>
      <w:r>
        <w:rPr>
          <w:noProof/>
        </w:rPr>
        <w:drawing>
          <wp:inline distT="0" distB="0" distL="0" distR="0" wp14:anchorId="1A223F47" wp14:editId="2EE25206">
            <wp:extent cx="5897033" cy="3200400"/>
            <wp:effectExtent l="0" t="0" r="2794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CBEC52" w14:textId="77777777" w:rsidR="00D255B4" w:rsidRDefault="00D255B4" w:rsidP="00D255B4">
      <w:pPr>
        <w:jc w:val="both"/>
        <w:rPr>
          <w:rFonts w:cstheme="minorHAnsi"/>
        </w:rPr>
      </w:pPr>
      <w:r>
        <w:rPr>
          <w:rFonts w:cstheme="minorHAnsi"/>
          <w:b/>
          <w:bCs/>
        </w:rPr>
        <w:t>Figure</w:t>
      </w:r>
      <w:r w:rsidRPr="00885655">
        <w:rPr>
          <w:rFonts w:cstheme="minorHAnsi"/>
          <w:b/>
          <w:bCs/>
        </w:rPr>
        <w:t xml:space="preserve"> </w:t>
      </w:r>
      <w:r>
        <w:rPr>
          <w:rFonts w:cstheme="minorHAnsi"/>
          <w:b/>
          <w:bCs/>
        </w:rPr>
        <w:t>2</w:t>
      </w:r>
      <w:r w:rsidRPr="00885655">
        <w:rPr>
          <w:rFonts w:cstheme="minorHAnsi"/>
          <w:b/>
          <w:bCs/>
        </w:rPr>
        <w:t>.</w:t>
      </w:r>
      <w:r>
        <w:rPr>
          <w:rFonts w:cstheme="minorHAnsi"/>
        </w:rPr>
        <w:t xml:space="preserve"> Categories of economic incentives in the CBD (CBD, 2019). </w:t>
      </w:r>
    </w:p>
    <w:p w14:paraId="3035D79D" w14:textId="77777777" w:rsidR="00D255B4" w:rsidRDefault="00D255B4" w:rsidP="00D255B4">
      <w:pPr>
        <w:jc w:val="both"/>
      </w:pPr>
    </w:p>
    <w:p w14:paraId="1C9D6300" w14:textId="77777777" w:rsidR="00D255B4" w:rsidRPr="00885655" w:rsidRDefault="00D255B4" w:rsidP="00D255B4">
      <w:pPr>
        <w:jc w:val="both"/>
        <w:rPr>
          <w:rFonts w:cstheme="minorHAnsi"/>
        </w:rPr>
      </w:pPr>
      <w:r>
        <w:rPr>
          <w:rFonts w:cstheme="minorHAnsi"/>
        </w:rPr>
        <w:t xml:space="preserve">In 2010, the CBD adopted the Strategic Plan for Biodiversity 2011-2020, which includes 20 timebound Aichi Biodiversity Targets, including Target 3 specifically addressing the use of incentives (CBD, 2010b). Table 3 shows the indicators developed by the CBD to monitor the implementation of Target 3. </w:t>
      </w:r>
      <w:r>
        <w:t>From the chemicals and waste perspective it is worth noting that b</w:t>
      </w:r>
      <w:r w:rsidRPr="00885655">
        <w:t xml:space="preserve">iodiversity-relevant </w:t>
      </w:r>
      <w:r>
        <w:t xml:space="preserve">negative incentives </w:t>
      </w:r>
      <w:r w:rsidRPr="00885655">
        <w:t xml:space="preserve">include taxes on </w:t>
      </w:r>
      <w:r>
        <w:t xml:space="preserve">pesticides and </w:t>
      </w:r>
      <w:r w:rsidRPr="00885655">
        <w:t>fertilizers</w:t>
      </w:r>
      <w:r>
        <w:t>, whereas, b</w:t>
      </w:r>
      <w:r w:rsidRPr="00B017BB">
        <w:t xml:space="preserve">iodiversity-relevant </w:t>
      </w:r>
      <w:r>
        <w:t>positive incentives (direct)</w:t>
      </w:r>
      <w:r w:rsidRPr="00B017BB">
        <w:t xml:space="preserve"> include subsidies for pesticide-free cultivation</w:t>
      </w:r>
      <w:r>
        <w:t>. In 2017, the OECD included biodiversity i</w:t>
      </w:r>
      <w:r w:rsidRPr="009446D9">
        <w:t>n</w:t>
      </w:r>
      <w:r>
        <w:t xml:space="preserve"> the list of environmental domains, which has helped to track the use of incentives: OECD data shows that b</w:t>
      </w:r>
      <w:r w:rsidRPr="009446D9">
        <w:t>iodiversity-</w:t>
      </w:r>
      <w:r>
        <w:t>specific</w:t>
      </w:r>
      <w:r w:rsidRPr="009446D9">
        <w:t xml:space="preserve"> taxes </w:t>
      </w:r>
      <w:r>
        <w:t xml:space="preserve">alone </w:t>
      </w:r>
      <w:r w:rsidRPr="009446D9">
        <w:t>generat</w:t>
      </w:r>
      <w:r>
        <w:t>e</w:t>
      </w:r>
      <w:r w:rsidRPr="009446D9">
        <w:t xml:space="preserve"> USD 7.4 billion a year in revenue</w:t>
      </w:r>
      <w:r>
        <w:t xml:space="preserve"> (</w:t>
      </w:r>
      <w:r w:rsidRPr="009446D9">
        <w:t>OECD, 201</w:t>
      </w:r>
      <w:r>
        <w:t>7)</w:t>
      </w:r>
      <w:r w:rsidRPr="009446D9">
        <w:t xml:space="preserve">. </w:t>
      </w:r>
    </w:p>
    <w:p w14:paraId="5CEBBCFB" w14:textId="77777777" w:rsidR="00D255B4" w:rsidRDefault="00D255B4" w:rsidP="00D255B4">
      <w:pPr>
        <w:jc w:val="both"/>
        <w:rPr>
          <w:rFonts w:cstheme="minorHAnsi"/>
        </w:rPr>
      </w:pPr>
      <w:r>
        <w:t xml:space="preserve"> </w:t>
      </w:r>
    </w:p>
    <w:p w14:paraId="4AA976D9" w14:textId="77777777" w:rsidR="00F4278F" w:rsidRDefault="00F4278F">
      <w:pPr>
        <w:rPr>
          <w:rFonts w:cstheme="minorHAnsi"/>
          <w:b/>
          <w:bCs/>
        </w:rPr>
      </w:pPr>
      <w:r>
        <w:rPr>
          <w:rFonts w:cstheme="minorHAnsi"/>
          <w:b/>
          <w:bCs/>
        </w:rPr>
        <w:br w:type="page"/>
      </w:r>
    </w:p>
    <w:p w14:paraId="5ABDDC0C" w14:textId="5C9E943B" w:rsidR="00D255B4" w:rsidRPr="00F30A2E" w:rsidRDefault="00D255B4" w:rsidP="00D255B4">
      <w:pPr>
        <w:spacing w:after="60"/>
        <w:jc w:val="both"/>
        <w:rPr>
          <w:rFonts w:cstheme="minorHAnsi"/>
          <w:b/>
          <w:bCs/>
        </w:rPr>
      </w:pPr>
      <w:r w:rsidRPr="00F30A2E">
        <w:rPr>
          <w:rFonts w:cstheme="minorHAnsi"/>
          <w:b/>
          <w:bCs/>
        </w:rPr>
        <w:lastRenderedPageBreak/>
        <w:t xml:space="preserve">Table </w:t>
      </w:r>
      <w:r>
        <w:rPr>
          <w:rFonts w:cstheme="minorHAnsi"/>
          <w:b/>
          <w:bCs/>
        </w:rPr>
        <w:t>3</w:t>
      </w:r>
      <w:r w:rsidRPr="00F30A2E">
        <w:rPr>
          <w:rFonts w:cstheme="minorHAnsi"/>
          <w:b/>
          <w:bCs/>
        </w:rPr>
        <w:t xml:space="preserve">. </w:t>
      </w:r>
      <w:r>
        <w:rPr>
          <w:rFonts w:cstheme="minorHAnsi"/>
        </w:rPr>
        <w:t>Indicators used to monitor the use Aichi Biodiversity Target 3 that concerns the use of economic instruments (CBD, 2016).</w:t>
      </w:r>
    </w:p>
    <w:tbl>
      <w:tblPr>
        <w:tblStyle w:val="TableGrid"/>
        <w:tblW w:w="0" w:type="auto"/>
        <w:tblCellMar>
          <w:top w:w="58" w:type="dxa"/>
          <w:left w:w="58" w:type="dxa"/>
          <w:bottom w:w="58" w:type="dxa"/>
          <w:right w:w="58" w:type="dxa"/>
        </w:tblCellMar>
        <w:tblLook w:val="04A0" w:firstRow="1" w:lastRow="0" w:firstColumn="1" w:lastColumn="0" w:noHBand="0" w:noVBand="1"/>
      </w:tblPr>
      <w:tblGrid>
        <w:gridCol w:w="2204"/>
        <w:gridCol w:w="1949"/>
        <w:gridCol w:w="4983"/>
      </w:tblGrid>
      <w:tr w:rsidR="00D255B4" w:rsidRPr="00AE07B3" w14:paraId="2850EDD8" w14:textId="77777777" w:rsidTr="00933F86">
        <w:tc>
          <w:tcPr>
            <w:tcW w:w="2245" w:type="dxa"/>
            <w:shd w:val="clear" w:color="auto" w:fill="B4C6E7" w:themeFill="accent1" w:themeFillTint="66"/>
          </w:tcPr>
          <w:p w14:paraId="40AFA3A8" w14:textId="77777777" w:rsidR="00D255B4" w:rsidRPr="00B8114C" w:rsidRDefault="00D255B4" w:rsidP="00933F86">
            <w:pPr>
              <w:jc w:val="both"/>
              <w:rPr>
                <w:rFonts w:cstheme="minorHAnsi"/>
                <w:b/>
                <w:bCs/>
                <w:sz w:val="18"/>
                <w:szCs w:val="18"/>
              </w:rPr>
            </w:pPr>
            <w:r w:rsidRPr="00B8114C">
              <w:rPr>
                <w:rFonts w:cstheme="minorHAnsi"/>
                <w:b/>
                <w:bCs/>
                <w:sz w:val="18"/>
                <w:szCs w:val="18"/>
              </w:rPr>
              <w:t xml:space="preserve">Aichi Biodiversity Target </w:t>
            </w:r>
          </w:p>
        </w:tc>
        <w:tc>
          <w:tcPr>
            <w:tcW w:w="1980" w:type="dxa"/>
            <w:shd w:val="clear" w:color="auto" w:fill="B4C6E7" w:themeFill="accent1" w:themeFillTint="66"/>
          </w:tcPr>
          <w:p w14:paraId="2D264211" w14:textId="77777777" w:rsidR="00D255B4" w:rsidRPr="00B8114C" w:rsidRDefault="00D255B4" w:rsidP="00933F86">
            <w:pPr>
              <w:jc w:val="both"/>
              <w:rPr>
                <w:rFonts w:cstheme="minorHAnsi"/>
                <w:b/>
                <w:bCs/>
                <w:sz w:val="18"/>
                <w:szCs w:val="18"/>
              </w:rPr>
            </w:pPr>
            <w:r w:rsidRPr="00B8114C">
              <w:rPr>
                <w:rFonts w:cstheme="minorHAnsi"/>
                <w:b/>
                <w:bCs/>
                <w:sz w:val="18"/>
                <w:szCs w:val="18"/>
              </w:rPr>
              <w:t xml:space="preserve">Generic indicator </w:t>
            </w:r>
          </w:p>
        </w:tc>
        <w:tc>
          <w:tcPr>
            <w:tcW w:w="5125" w:type="dxa"/>
            <w:shd w:val="clear" w:color="auto" w:fill="B4C6E7" w:themeFill="accent1" w:themeFillTint="66"/>
          </w:tcPr>
          <w:p w14:paraId="2FC15E71" w14:textId="77777777" w:rsidR="00D255B4" w:rsidRPr="00B8114C" w:rsidRDefault="00D255B4" w:rsidP="00933F86">
            <w:pPr>
              <w:jc w:val="both"/>
              <w:rPr>
                <w:rFonts w:cstheme="minorHAnsi"/>
                <w:b/>
                <w:bCs/>
                <w:sz w:val="18"/>
                <w:szCs w:val="18"/>
              </w:rPr>
            </w:pPr>
            <w:r w:rsidRPr="00B8114C">
              <w:rPr>
                <w:rFonts w:cstheme="minorHAnsi"/>
                <w:b/>
                <w:bCs/>
                <w:sz w:val="18"/>
                <w:szCs w:val="18"/>
              </w:rPr>
              <w:t xml:space="preserve">Specific indicator </w:t>
            </w:r>
          </w:p>
        </w:tc>
      </w:tr>
      <w:tr w:rsidR="00D255B4" w:rsidRPr="00AE07B3" w14:paraId="6C394BAC" w14:textId="77777777" w:rsidTr="00933F86">
        <w:tc>
          <w:tcPr>
            <w:tcW w:w="2245" w:type="dxa"/>
            <w:vMerge w:val="restart"/>
          </w:tcPr>
          <w:p w14:paraId="43C13450" w14:textId="77777777" w:rsidR="00D255B4" w:rsidRPr="00AE07B3" w:rsidRDefault="00D255B4" w:rsidP="00933F86">
            <w:pPr>
              <w:rPr>
                <w:rFonts w:cstheme="minorHAnsi"/>
                <w:sz w:val="18"/>
                <w:szCs w:val="18"/>
              </w:rPr>
            </w:pPr>
            <w:r w:rsidRPr="00B8114C">
              <w:rPr>
                <w:rFonts w:eastAsia="MS Mincho" w:cstheme="minorHAnsi"/>
                <w:b/>
                <w:bCs/>
                <w:snapToGrid w:val="0"/>
                <w:kern w:val="20"/>
                <w:sz w:val="18"/>
                <w:szCs w:val="18"/>
              </w:rPr>
              <w:t>Target 3</w:t>
            </w:r>
            <w:r w:rsidRPr="00AE07B3">
              <w:rPr>
                <w:rFonts w:eastAsia="MS Mincho" w:cstheme="minorHAnsi"/>
                <w:snapToGrid w:val="0"/>
                <w:kern w:val="20"/>
                <w:sz w:val="18"/>
                <w:szCs w:val="18"/>
              </w:rPr>
              <w:t xml:space="preserve"> - By 2020, at the latest, incentives</w:t>
            </w:r>
            <w:r>
              <w:rPr>
                <w:rFonts w:eastAsia="MS Mincho" w:cstheme="minorHAnsi"/>
                <w:snapToGrid w:val="0"/>
                <w:kern w:val="20"/>
                <w:sz w:val="18"/>
                <w:szCs w:val="18"/>
              </w:rPr>
              <w:t>—</w:t>
            </w:r>
            <w:r w:rsidRPr="00AE07B3">
              <w:rPr>
                <w:rFonts w:eastAsia="MS Mincho" w:cstheme="minorHAnsi"/>
                <w:snapToGrid w:val="0"/>
                <w:kern w:val="20"/>
                <w:sz w:val="18"/>
                <w:szCs w:val="18"/>
              </w:rPr>
              <w:t>including subsidies</w:t>
            </w:r>
            <w:r>
              <w:rPr>
                <w:rFonts w:eastAsia="MS Mincho" w:cstheme="minorHAnsi"/>
                <w:snapToGrid w:val="0"/>
                <w:kern w:val="20"/>
                <w:sz w:val="18"/>
                <w:szCs w:val="18"/>
              </w:rPr>
              <w:t xml:space="preserve">—that are </w:t>
            </w:r>
            <w:r w:rsidRPr="00AE07B3">
              <w:rPr>
                <w:rFonts w:eastAsia="MS Mincho" w:cstheme="minorHAnsi"/>
                <w:snapToGrid w:val="0"/>
                <w:kern w:val="20"/>
                <w:sz w:val="18"/>
                <w:szCs w:val="18"/>
              </w:rPr>
              <w:t>harmful to biodiversity are eliminated, phased out or reformed in order to minimize or avoid negative impacts, and positive incentives for the conservation and sustainable use of biodiversity are developed and applied</w:t>
            </w:r>
          </w:p>
        </w:tc>
        <w:tc>
          <w:tcPr>
            <w:tcW w:w="1980" w:type="dxa"/>
            <w:vMerge w:val="restart"/>
          </w:tcPr>
          <w:p w14:paraId="6600A76B" w14:textId="77777777" w:rsidR="00D255B4" w:rsidRPr="00AE07B3" w:rsidRDefault="00D255B4" w:rsidP="00933F86">
            <w:pPr>
              <w:rPr>
                <w:rFonts w:cstheme="minorHAnsi"/>
                <w:sz w:val="18"/>
                <w:szCs w:val="18"/>
              </w:rPr>
            </w:pPr>
            <w:r w:rsidRPr="00AE07B3">
              <w:rPr>
                <w:rFonts w:eastAsia="MS Mincho" w:cstheme="minorHAnsi"/>
                <w:snapToGrid w:val="0"/>
                <w:kern w:val="20"/>
                <w:sz w:val="18"/>
                <w:szCs w:val="18"/>
              </w:rPr>
              <w:t>Trends in the number and value of incentives, including subsidies, harmful to biodiversity, removed, reformed or phased out</w:t>
            </w:r>
          </w:p>
        </w:tc>
        <w:tc>
          <w:tcPr>
            <w:tcW w:w="5125" w:type="dxa"/>
          </w:tcPr>
          <w:p w14:paraId="4223A337" w14:textId="77777777" w:rsidR="00D255B4" w:rsidRPr="00AE07B3" w:rsidRDefault="00D255B4" w:rsidP="00933F86">
            <w:pPr>
              <w:rPr>
                <w:rFonts w:cstheme="minorHAnsi"/>
                <w:sz w:val="18"/>
                <w:szCs w:val="18"/>
              </w:rPr>
            </w:pPr>
            <w:r w:rsidRPr="00AE07B3">
              <w:rPr>
                <w:rFonts w:eastAsia="MS Mincho" w:cstheme="minorHAnsi"/>
                <w:snapToGrid w:val="0"/>
                <w:kern w:val="20"/>
                <w:sz w:val="18"/>
                <w:szCs w:val="18"/>
              </w:rPr>
              <w:t xml:space="preserve">Trends in potentially harmful elements of government support to agriculture </w:t>
            </w:r>
          </w:p>
        </w:tc>
      </w:tr>
      <w:tr w:rsidR="00D255B4" w:rsidRPr="00AE07B3" w14:paraId="66B3B097" w14:textId="77777777" w:rsidTr="00933F86">
        <w:tc>
          <w:tcPr>
            <w:tcW w:w="2245" w:type="dxa"/>
            <w:vMerge/>
          </w:tcPr>
          <w:p w14:paraId="6D18E564" w14:textId="77777777" w:rsidR="00D255B4" w:rsidRPr="00AE07B3" w:rsidRDefault="00D255B4" w:rsidP="00933F86">
            <w:pPr>
              <w:rPr>
                <w:rFonts w:cstheme="minorHAnsi"/>
                <w:sz w:val="18"/>
                <w:szCs w:val="18"/>
              </w:rPr>
            </w:pPr>
          </w:p>
        </w:tc>
        <w:tc>
          <w:tcPr>
            <w:tcW w:w="1980" w:type="dxa"/>
            <w:vMerge/>
          </w:tcPr>
          <w:p w14:paraId="6F251A59" w14:textId="77777777" w:rsidR="00D255B4" w:rsidRPr="00AE07B3" w:rsidRDefault="00D255B4" w:rsidP="00933F86">
            <w:pPr>
              <w:rPr>
                <w:rFonts w:cstheme="minorHAnsi"/>
                <w:sz w:val="18"/>
                <w:szCs w:val="18"/>
              </w:rPr>
            </w:pPr>
          </w:p>
        </w:tc>
        <w:tc>
          <w:tcPr>
            <w:tcW w:w="5125" w:type="dxa"/>
          </w:tcPr>
          <w:p w14:paraId="7D70AD42" w14:textId="77777777" w:rsidR="00D255B4" w:rsidRPr="00AE07B3" w:rsidRDefault="00D255B4" w:rsidP="00933F86">
            <w:pPr>
              <w:rPr>
                <w:rFonts w:cstheme="minorHAnsi"/>
                <w:sz w:val="18"/>
                <w:szCs w:val="18"/>
              </w:rPr>
            </w:pPr>
            <w:r w:rsidRPr="00AE07B3">
              <w:rPr>
                <w:rFonts w:eastAsia="MS Mincho" w:cstheme="minorHAnsi"/>
                <w:snapToGrid w:val="0"/>
                <w:kern w:val="20"/>
                <w:sz w:val="18"/>
                <w:szCs w:val="18"/>
              </w:rPr>
              <w:t>Trends in potentially harmful elements of government support to fisheries</w:t>
            </w:r>
          </w:p>
        </w:tc>
      </w:tr>
      <w:tr w:rsidR="00D255B4" w:rsidRPr="00AE07B3" w14:paraId="00AE3D78" w14:textId="77777777" w:rsidTr="00933F86">
        <w:tc>
          <w:tcPr>
            <w:tcW w:w="2245" w:type="dxa"/>
            <w:vMerge/>
          </w:tcPr>
          <w:p w14:paraId="168A7530" w14:textId="77777777" w:rsidR="00D255B4" w:rsidRPr="00AE07B3" w:rsidRDefault="00D255B4" w:rsidP="00933F86">
            <w:pPr>
              <w:rPr>
                <w:rFonts w:cstheme="minorHAnsi"/>
                <w:sz w:val="18"/>
                <w:szCs w:val="18"/>
              </w:rPr>
            </w:pPr>
          </w:p>
        </w:tc>
        <w:tc>
          <w:tcPr>
            <w:tcW w:w="1980" w:type="dxa"/>
            <w:vMerge/>
          </w:tcPr>
          <w:p w14:paraId="58BE6E3B" w14:textId="77777777" w:rsidR="00D255B4" w:rsidRPr="00AE07B3" w:rsidRDefault="00D255B4" w:rsidP="00933F86">
            <w:pPr>
              <w:rPr>
                <w:rFonts w:cstheme="minorHAnsi"/>
                <w:sz w:val="18"/>
                <w:szCs w:val="18"/>
              </w:rPr>
            </w:pPr>
          </w:p>
        </w:tc>
        <w:tc>
          <w:tcPr>
            <w:tcW w:w="5125" w:type="dxa"/>
          </w:tcPr>
          <w:p w14:paraId="1C97A554" w14:textId="77777777" w:rsidR="00D255B4" w:rsidRPr="00AE07B3" w:rsidRDefault="00D255B4" w:rsidP="00933F86">
            <w:pPr>
              <w:rPr>
                <w:rFonts w:cstheme="minorHAnsi"/>
                <w:sz w:val="18"/>
                <w:szCs w:val="18"/>
              </w:rPr>
            </w:pPr>
            <w:r w:rsidRPr="00AE07B3">
              <w:rPr>
                <w:rFonts w:cstheme="minorHAnsi"/>
                <w:snapToGrid w:val="0"/>
                <w:kern w:val="20"/>
                <w:sz w:val="18"/>
                <w:szCs w:val="18"/>
              </w:rPr>
              <w:t xml:space="preserve">Agricultural export subsidies </w:t>
            </w:r>
            <w:r w:rsidRPr="00AE07B3">
              <w:rPr>
                <w:rFonts w:eastAsia="MS Mincho" w:cstheme="minorHAnsi"/>
                <w:snapToGrid w:val="0"/>
                <w:kern w:val="20"/>
                <w:sz w:val="18"/>
                <w:szCs w:val="18"/>
              </w:rPr>
              <w:t>(indicator for SDG target 2.b)</w:t>
            </w:r>
          </w:p>
        </w:tc>
      </w:tr>
      <w:tr w:rsidR="00D255B4" w:rsidRPr="00AE07B3" w14:paraId="53823974" w14:textId="77777777" w:rsidTr="00933F86">
        <w:tc>
          <w:tcPr>
            <w:tcW w:w="2245" w:type="dxa"/>
            <w:vMerge/>
          </w:tcPr>
          <w:p w14:paraId="3778CFAE" w14:textId="77777777" w:rsidR="00D255B4" w:rsidRPr="00AE07B3" w:rsidRDefault="00D255B4" w:rsidP="00933F86">
            <w:pPr>
              <w:rPr>
                <w:rFonts w:cstheme="minorHAnsi"/>
                <w:sz w:val="18"/>
                <w:szCs w:val="18"/>
              </w:rPr>
            </w:pPr>
          </w:p>
        </w:tc>
        <w:tc>
          <w:tcPr>
            <w:tcW w:w="1980" w:type="dxa"/>
            <w:vMerge w:val="restart"/>
          </w:tcPr>
          <w:p w14:paraId="30C40AB3" w14:textId="77777777" w:rsidR="00D255B4" w:rsidRPr="00AE07B3" w:rsidRDefault="00D255B4" w:rsidP="00933F86">
            <w:pPr>
              <w:rPr>
                <w:rFonts w:cstheme="minorHAnsi"/>
                <w:sz w:val="18"/>
                <w:szCs w:val="18"/>
              </w:rPr>
            </w:pPr>
            <w:r w:rsidRPr="00AE07B3">
              <w:rPr>
                <w:rFonts w:eastAsia="MS Mincho" w:cstheme="minorHAnsi"/>
                <w:snapToGrid w:val="0"/>
                <w:kern w:val="20"/>
                <w:sz w:val="18"/>
                <w:szCs w:val="18"/>
              </w:rPr>
              <w:t>Trends in development and application of incentives that promote biodiversity conservation and sustainable use</w:t>
            </w:r>
          </w:p>
        </w:tc>
        <w:tc>
          <w:tcPr>
            <w:tcW w:w="5125" w:type="dxa"/>
          </w:tcPr>
          <w:p w14:paraId="6BDB34B7" w14:textId="77777777" w:rsidR="00D255B4" w:rsidRPr="00AE07B3" w:rsidRDefault="00D255B4" w:rsidP="00933F86">
            <w:pPr>
              <w:rPr>
                <w:rFonts w:cstheme="minorHAnsi"/>
                <w:sz w:val="18"/>
                <w:szCs w:val="18"/>
              </w:rPr>
            </w:pPr>
            <w:r>
              <w:rPr>
                <w:rFonts w:eastAsia="MS Mincho" w:cstheme="minorHAnsi"/>
                <w:snapToGrid w:val="0"/>
                <w:kern w:val="20"/>
                <w:sz w:val="18"/>
                <w:szCs w:val="18"/>
              </w:rPr>
              <w:t>No.</w:t>
            </w:r>
            <w:r w:rsidRPr="00AE07B3">
              <w:rPr>
                <w:rFonts w:eastAsia="MS Mincho" w:cstheme="minorHAnsi"/>
                <w:snapToGrid w:val="0"/>
                <w:kern w:val="20"/>
                <w:sz w:val="18"/>
                <w:szCs w:val="18"/>
              </w:rPr>
              <w:t xml:space="preserve"> of countries with national instruments on biodiversity-relevant taxes, charges and fees</w:t>
            </w:r>
          </w:p>
        </w:tc>
      </w:tr>
      <w:tr w:rsidR="00D255B4" w:rsidRPr="00AE07B3" w14:paraId="0E161A63" w14:textId="77777777" w:rsidTr="00933F86">
        <w:tc>
          <w:tcPr>
            <w:tcW w:w="2245" w:type="dxa"/>
            <w:vMerge/>
          </w:tcPr>
          <w:p w14:paraId="45E30369" w14:textId="77777777" w:rsidR="00D255B4" w:rsidRPr="00AE07B3" w:rsidRDefault="00D255B4" w:rsidP="00933F86">
            <w:pPr>
              <w:rPr>
                <w:rFonts w:cstheme="minorHAnsi"/>
                <w:sz w:val="18"/>
                <w:szCs w:val="18"/>
              </w:rPr>
            </w:pPr>
          </w:p>
        </w:tc>
        <w:tc>
          <w:tcPr>
            <w:tcW w:w="1980" w:type="dxa"/>
            <w:vMerge/>
          </w:tcPr>
          <w:p w14:paraId="3106BF0B" w14:textId="77777777" w:rsidR="00D255B4" w:rsidRPr="00AE07B3" w:rsidRDefault="00D255B4" w:rsidP="00933F86">
            <w:pPr>
              <w:rPr>
                <w:rFonts w:cstheme="minorHAnsi"/>
                <w:sz w:val="18"/>
                <w:szCs w:val="18"/>
              </w:rPr>
            </w:pPr>
          </w:p>
        </w:tc>
        <w:tc>
          <w:tcPr>
            <w:tcW w:w="5125" w:type="dxa"/>
          </w:tcPr>
          <w:p w14:paraId="6ADBD20D" w14:textId="77777777" w:rsidR="00D255B4" w:rsidRPr="00AE07B3" w:rsidRDefault="00D255B4" w:rsidP="00933F86">
            <w:pPr>
              <w:rPr>
                <w:rFonts w:cstheme="minorHAnsi"/>
                <w:sz w:val="18"/>
                <w:szCs w:val="18"/>
              </w:rPr>
            </w:pPr>
            <w:r>
              <w:rPr>
                <w:rFonts w:eastAsia="MS Mincho" w:cstheme="minorHAnsi"/>
                <w:snapToGrid w:val="0"/>
                <w:kern w:val="20"/>
                <w:sz w:val="18"/>
                <w:szCs w:val="18"/>
              </w:rPr>
              <w:t>No.</w:t>
            </w:r>
            <w:r w:rsidRPr="00AE07B3">
              <w:rPr>
                <w:rFonts w:eastAsia="MS Mincho" w:cstheme="minorHAnsi"/>
                <w:snapToGrid w:val="0"/>
                <w:kern w:val="20"/>
                <w:sz w:val="18"/>
                <w:szCs w:val="18"/>
              </w:rPr>
              <w:t xml:space="preserve"> of countries with national instruments on REDD plus schemes</w:t>
            </w:r>
          </w:p>
        </w:tc>
      </w:tr>
      <w:tr w:rsidR="00D255B4" w:rsidRPr="00AE07B3" w14:paraId="76143DF2" w14:textId="77777777" w:rsidTr="00933F86">
        <w:tc>
          <w:tcPr>
            <w:tcW w:w="2245" w:type="dxa"/>
            <w:vMerge/>
          </w:tcPr>
          <w:p w14:paraId="00FEFD8B" w14:textId="77777777" w:rsidR="00D255B4" w:rsidRPr="00AE07B3" w:rsidRDefault="00D255B4" w:rsidP="00933F86">
            <w:pPr>
              <w:rPr>
                <w:rFonts w:cstheme="minorHAnsi"/>
                <w:sz w:val="18"/>
                <w:szCs w:val="18"/>
              </w:rPr>
            </w:pPr>
          </w:p>
        </w:tc>
        <w:tc>
          <w:tcPr>
            <w:tcW w:w="1980" w:type="dxa"/>
            <w:vMerge/>
          </w:tcPr>
          <w:p w14:paraId="51516C1A" w14:textId="77777777" w:rsidR="00D255B4" w:rsidRPr="00AE07B3" w:rsidRDefault="00D255B4" w:rsidP="00933F86">
            <w:pPr>
              <w:rPr>
                <w:rFonts w:cstheme="minorHAnsi"/>
                <w:sz w:val="18"/>
                <w:szCs w:val="18"/>
              </w:rPr>
            </w:pPr>
          </w:p>
        </w:tc>
        <w:tc>
          <w:tcPr>
            <w:tcW w:w="5125" w:type="dxa"/>
          </w:tcPr>
          <w:p w14:paraId="3BACFA89" w14:textId="77777777" w:rsidR="00D255B4" w:rsidRPr="00AE07B3" w:rsidRDefault="00D255B4" w:rsidP="00933F86">
            <w:pPr>
              <w:rPr>
                <w:rFonts w:cstheme="minorHAnsi"/>
                <w:sz w:val="18"/>
                <w:szCs w:val="18"/>
              </w:rPr>
            </w:pPr>
            <w:r w:rsidRPr="00AE07B3">
              <w:rPr>
                <w:rFonts w:eastAsia="MS Mincho" w:cstheme="minorHAnsi"/>
                <w:snapToGrid w:val="0"/>
                <w:kern w:val="20"/>
                <w:sz w:val="18"/>
                <w:szCs w:val="18"/>
              </w:rPr>
              <w:t>N</w:t>
            </w:r>
            <w:r>
              <w:rPr>
                <w:rFonts w:eastAsia="MS Mincho" w:cstheme="minorHAnsi"/>
                <w:snapToGrid w:val="0"/>
                <w:kern w:val="20"/>
                <w:sz w:val="18"/>
                <w:szCs w:val="18"/>
              </w:rPr>
              <w:t>o.</w:t>
            </w:r>
            <w:r w:rsidRPr="00AE07B3">
              <w:rPr>
                <w:rFonts w:eastAsia="MS Mincho" w:cstheme="minorHAnsi"/>
                <w:snapToGrid w:val="0"/>
                <w:kern w:val="20"/>
                <w:sz w:val="18"/>
                <w:szCs w:val="18"/>
              </w:rPr>
              <w:t xml:space="preserve"> of countries with national instruments on biodiversity relevant tradable permit schemes</w:t>
            </w:r>
          </w:p>
        </w:tc>
      </w:tr>
    </w:tbl>
    <w:p w14:paraId="01996780" w14:textId="77777777" w:rsidR="00D255B4" w:rsidRDefault="00D255B4" w:rsidP="00D255B4">
      <w:pPr>
        <w:jc w:val="both"/>
        <w:rPr>
          <w:rFonts w:cstheme="minorHAnsi"/>
        </w:rPr>
      </w:pPr>
    </w:p>
    <w:p w14:paraId="75245344" w14:textId="77777777" w:rsidR="00D255B4" w:rsidRDefault="00D255B4" w:rsidP="00D255B4">
      <w:pPr>
        <w:jc w:val="both"/>
        <w:rPr>
          <w:rFonts w:cstheme="minorHAnsi"/>
        </w:rPr>
      </w:pPr>
    </w:p>
    <w:p w14:paraId="0D9B59A2" w14:textId="77777777" w:rsidR="00D255B4" w:rsidRDefault="00D255B4" w:rsidP="00D255B4">
      <w:pPr>
        <w:pStyle w:val="Heading2"/>
      </w:pPr>
      <w:bookmarkStart w:id="31" w:name="_Toc19213832"/>
      <w:r>
        <w:t>6.3 Innovative market-based mechanisms</w:t>
      </w:r>
      <w:bookmarkEnd w:id="31"/>
      <w:r>
        <w:t xml:space="preserve"> </w:t>
      </w:r>
    </w:p>
    <w:p w14:paraId="1BCA5985" w14:textId="77777777" w:rsidR="00D255B4" w:rsidRDefault="00D255B4" w:rsidP="00D255B4">
      <w:pPr>
        <w:jc w:val="both"/>
        <w:rPr>
          <w:rFonts w:cstheme="minorHAnsi"/>
          <w:b/>
          <w:bCs/>
        </w:rPr>
      </w:pPr>
    </w:p>
    <w:p w14:paraId="3CD9099A" w14:textId="77777777" w:rsidR="00D255B4" w:rsidRDefault="00D255B4" w:rsidP="00D255B4">
      <w:pPr>
        <w:rPr>
          <w:b/>
          <w:bCs/>
          <w:i/>
          <w:iCs/>
        </w:rPr>
      </w:pPr>
    </w:p>
    <w:p w14:paraId="6D521AF4" w14:textId="77777777" w:rsidR="00D255B4" w:rsidRPr="008A04AC" w:rsidRDefault="00D255B4" w:rsidP="00D255B4">
      <w:pPr>
        <w:rPr>
          <w:rFonts w:cstheme="minorHAnsi"/>
          <w:i/>
          <w:iCs/>
        </w:rPr>
      </w:pPr>
      <w:r>
        <w:rPr>
          <w:rFonts w:cstheme="minorHAnsi"/>
          <w:i/>
          <w:iCs/>
        </w:rPr>
        <w:t>Aviation s</w:t>
      </w:r>
      <w:r w:rsidRPr="008A04AC">
        <w:rPr>
          <w:rFonts w:cstheme="minorHAnsi"/>
          <w:i/>
          <w:iCs/>
        </w:rPr>
        <w:t xml:space="preserve">olidarity tax </w:t>
      </w:r>
    </w:p>
    <w:p w14:paraId="01E103D2" w14:textId="77777777" w:rsidR="00D255B4" w:rsidRPr="008A04AC" w:rsidRDefault="00D255B4" w:rsidP="00D255B4">
      <w:pPr>
        <w:rPr>
          <w:rFonts w:cstheme="minorHAnsi"/>
        </w:rPr>
      </w:pPr>
    </w:p>
    <w:p w14:paraId="305C4876" w14:textId="77777777" w:rsidR="00D255B4" w:rsidRPr="009F166D" w:rsidRDefault="00D255B4" w:rsidP="00D255B4">
      <w:pPr>
        <w:jc w:val="both"/>
        <w:rPr>
          <w:rFonts w:cstheme="minorHAnsi"/>
          <w:shd w:val="clear" w:color="auto" w:fill="FFFFFF"/>
        </w:rPr>
      </w:pPr>
      <w:r w:rsidRPr="009F166D">
        <w:rPr>
          <w:rFonts w:cstheme="minorHAnsi"/>
        </w:rPr>
        <w:t xml:space="preserve">The aviation solidarity tax </w:t>
      </w:r>
      <w:r w:rsidRPr="009F166D">
        <w:rPr>
          <w:rFonts w:cstheme="minorHAnsi"/>
          <w:shd w:val="clear" w:color="auto" w:fill="FFFFFF"/>
        </w:rPr>
        <w:t>on air</w:t>
      </w:r>
      <w:r>
        <w:rPr>
          <w:rFonts w:cstheme="minorHAnsi"/>
          <w:shd w:val="clear" w:color="auto" w:fill="FFFFFF"/>
        </w:rPr>
        <w:t>line</w:t>
      </w:r>
      <w:r w:rsidRPr="009F166D">
        <w:rPr>
          <w:rFonts w:cstheme="minorHAnsi"/>
          <w:shd w:val="clear" w:color="auto" w:fill="FFFFFF"/>
        </w:rPr>
        <w:t xml:space="preserve"> tickets</w:t>
      </w:r>
      <w:r>
        <w:rPr>
          <w:rFonts w:cstheme="minorHAnsi"/>
        </w:rPr>
        <w:t>—</w:t>
      </w:r>
      <w:r w:rsidRPr="009F166D">
        <w:rPr>
          <w:rFonts w:cstheme="minorHAnsi"/>
        </w:rPr>
        <w:t xml:space="preserve">launched in Paris in </w:t>
      </w:r>
      <w:r w:rsidRPr="009F166D">
        <w:rPr>
          <w:rFonts w:cstheme="minorHAnsi"/>
          <w:shd w:val="clear" w:color="auto" w:fill="FFFFFF"/>
        </w:rPr>
        <w:t xml:space="preserve">February 2006 at the Ministerial Conference on </w:t>
      </w:r>
      <w:r>
        <w:rPr>
          <w:rFonts w:cstheme="minorHAnsi"/>
          <w:shd w:val="clear" w:color="auto" w:fill="FFFFFF"/>
        </w:rPr>
        <w:t>“</w:t>
      </w:r>
      <w:r w:rsidRPr="009F166D">
        <w:rPr>
          <w:rFonts w:cstheme="minorHAnsi"/>
          <w:shd w:val="clear" w:color="auto" w:fill="FFFFFF"/>
        </w:rPr>
        <w:t>Solidarity and Globalization: Innovative Financing for Development</w:t>
      </w:r>
      <w:r>
        <w:rPr>
          <w:rFonts w:cstheme="minorHAnsi"/>
          <w:shd w:val="clear" w:color="auto" w:fill="FFFFFF"/>
        </w:rPr>
        <w:t>”—was designed</w:t>
      </w:r>
      <w:r w:rsidRPr="009F166D">
        <w:rPr>
          <w:rFonts w:cstheme="minorHAnsi"/>
          <w:shd w:val="clear" w:color="auto" w:fill="FFFFFF"/>
        </w:rPr>
        <w:t xml:space="preserve"> </w:t>
      </w:r>
      <w:r w:rsidRPr="009F166D">
        <w:rPr>
          <w:rFonts w:cstheme="minorHAnsi"/>
        </w:rPr>
        <w:t xml:space="preserve">to </w:t>
      </w:r>
      <w:r>
        <w:rPr>
          <w:rFonts w:cstheme="minorHAnsi"/>
        </w:rPr>
        <w:t>channel funding to address</w:t>
      </w:r>
      <w:r w:rsidRPr="009F166D">
        <w:rPr>
          <w:rFonts w:cstheme="minorHAnsi"/>
        </w:rPr>
        <w:t xml:space="preserve"> </w:t>
      </w:r>
      <w:r w:rsidRPr="009F166D">
        <w:rPr>
          <w:rFonts w:cstheme="minorHAnsi"/>
          <w:shd w:val="clear" w:color="auto" w:fill="FFFFFF"/>
        </w:rPr>
        <w:t xml:space="preserve">health </w:t>
      </w:r>
      <w:r>
        <w:rPr>
          <w:rFonts w:cstheme="minorHAnsi"/>
          <w:shd w:val="clear" w:color="auto" w:fill="FFFFFF"/>
        </w:rPr>
        <w:t>issues</w:t>
      </w:r>
      <w:r w:rsidRPr="009F166D">
        <w:rPr>
          <w:rFonts w:cstheme="minorHAnsi"/>
          <w:shd w:val="clear" w:color="auto" w:fill="FFFFFF"/>
        </w:rPr>
        <w:t xml:space="preserve"> in developing countries. </w:t>
      </w:r>
      <w:r w:rsidRPr="009F166D">
        <w:rPr>
          <w:rFonts w:cstheme="minorHAnsi"/>
        </w:rPr>
        <w:t>So far, 11 countries (Cameroun, Chile, Congo, France, Madagascar, Mali, Mauritius, Niger, Republic of Korea, Norway and the UK) have implemented the solidarity levy.</w:t>
      </w:r>
      <w:r w:rsidRPr="009F166D">
        <w:rPr>
          <w:rFonts w:cstheme="minorHAnsi"/>
          <w:shd w:val="clear" w:color="auto" w:fill="FFFFFF"/>
        </w:rPr>
        <w:t xml:space="preserve"> Th</w:t>
      </w:r>
      <w:r>
        <w:rPr>
          <w:rFonts w:cstheme="minorHAnsi"/>
          <w:shd w:val="clear" w:color="auto" w:fill="FFFFFF"/>
        </w:rPr>
        <w:t>is</w:t>
      </w:r>
      <w:r w:rsidRPr="009F166D">
        <w:rPr>
          <w:rFonts w:cstheme="minorHAnsi"/>
          <w:shd w:val="clear" w:color="auto" w:fill="FFFFFF"/>
        </w:rPr>
        <w:t xml:space="preserve"> tax is essentially a series of national taxes that countries commit to levy voluntarily. There is no official definition </w:t>
      </w:r>
      <w:r>
        <w:rPr>
          <w:rFonts w:cstheme="minorHAnsi"/>
          <w:shd w:val="clear" w:color="auto" w:fill="FFFFFF"/>
        </w:rPr>
        <w:t>of an</w:t>
      </w:r>
      <w:r w:rsidRPr="009F166D">
        <w:rPr>
          <w:rFonts w:cstheme="minorHAnsi"/>
          <w:shd w:val="clear" w:color="auto" w:fill="FFFFFF"/>
        </w:rPr>
        <w:t xml:space="preserve"> aviation solidarity tax</w:t>
      </w:r>
      <w:r>
        <w:rPr>
          <w:rFonts w:cstheme="minorHAnsi"/>
          <w:shd w:val="clear" w:color="auto" w:fill="FFFFFF"/>
        </w:rPr>
        <w:t>,</w:t>
      </w:r>
      <w:r w:rsidRPr="009F166D">
        <w:rPr>
          <w:rFonts w:cstheme="minorHAnsi"/>
          <w:shd w:val="clear" w:color="auto" w:fill="FFFFFF"/>
        </w:rPr>
        <w:t xml:space="preserve"> and countries set tax rates </w:t>
      </w:r>
      <w:r>
        <w:rPr>
          <w:rFonts w:cstheme="minorHAnsi"/>
          <w:shd w:val="clear" w:color="auto" w:fill="FFFFFF"/>
        </w:rPr>
        <w:t xml:space="preserve">as they see </w:t>
      </w:r>
      <w:r w:rsidRPr="009F166D">
        <w:rPr>
          <w:rFonts w:cstheme="minorHAnsi"/>
          <w:shd w:val="clear" w:color="auto" w:fill="FFFFFF"/>
        </w:rPr>
        <w:t xml:space="preserve">fit and </w:t>
      </w:r>
      <w:r>
        <w:rPr>
          <w:rFonts w:cstheme="minorHAnsi"/>
          <w:shd w:val="clear" w:color="auto" w:fill="FFFFFF"/>
        </w:rPr>
        <w:t>also determine</w:t>
      </w:r>
      <w:r w:rsidRPr="009F166D">
        <w:rPr>
          <w:rFonts w:cstheme="minorHAnsi"/>
          <w:shd w:val="clear" w:color="auto" w:fill="FFFFFF"/>
        </w:rPr>
        <w:t xml:space="preserve"> how to spend the revenue </w:t>
      </w:r>
      <w:r>
        <w:rPr>
          <w:rFonts w:cstheme="minorHAnsi"/>
          <w:shd w:val="clear" w:color="auto" w:fill="FFFFFF"/>
        </w:rPr>
        <w:t>generated</w:t>
      </w:r>
      <w:r w:rsidRPr="009F166D">
        <w:rPr>
          <w:rFonts w:cstheme="minorHAnsi"/>
          <w:shd w:val="clear" w:color="auto" w:fill="FFFFFF"/>
        </w:rPr>
        <w:t>. For instance, France applies a progressive taxation that</w:t>
      </w:r>
      <w:r w:rsidRPr="009F166D">
        <w:rPr>
          <w:rFonts w:cstheme="minorHAnsi"/>
        </w:rPr>
        <w:t xml:space="preserve"> distinguishes between destinations and classes, ranging between </w:t>
      </w:r>
      <w:r w:rsidRPr="009F166D">
        <w:rPr>
          <w:rFonts w:cstheme="minorHAnsi"/>
          <w:shd w:val="clear" w:color="auto" w:fill="FFFFFF"/>
        </w:rPr>
        <w:t>EUR 1-45 per passenger (E</w:t>
      </w:r>
      <w:r>
        <w:rPr>
          <w:rFonts w:cstheme="minorHAnsi"/>
          <w:shd w:val="clear" w:color="auto" w:fill="FFFFFF"/>
        </w:rPr>
        <w:t>C</w:t>
      </w:r>
      <w:r w:rsidRPr="009F166D">
        <w:rPr>
          <w:rFonts w:cstheme="minorHAnsi"/>
          <w:shd w:val="clear" w:color="auto" w:fill="FFFFFF"/>
        </w:rPr>
        <w:t>, 2019). The French solidarity tax i</w:t>
      </w:r>
      <w:r>
        <w:rPr>
          <w:rFonts w:cstheme="minorHAnsi"/>
          <w:shd w:val="clear" w:color="auto" w:fill="FFFFFF"/>
        </w:rPr>
        <w:t>s</w:t>
      </w:r>
      <w:r w:rsidRPr="009F166D">
        <w:rPr>
          <w:rFonts w:cstheme="minorHAnsi"/>
          <w:shd w:val="clear" w:color="auto" w:fill="FFFFFF"/>
        </w:rPr>
        <w:t xml:space="preserve"> channeled to t</w:t>
      </w:r>
      <w:r w:rsidRPr="009F166D">
        <w:rPr>
          <w:rFonts w:cstheme="minorHAnsi"/>
        </w:rPr>
        <w:t>he International Drug Purchase Facility</w:t>
      </w:r>
      <w:r>
        <w:rPr>
          <w:rFonts w:cstheme="minorHAnsi"/>
        </w:rPr>
        <w:t xml:space="preserve"> (UNITAID), hosted by the World Health Organization (WHO), and was </w:t>
      </w:r>
      <w:r w:rsidRPr="009F166D">
        <w:rPr>
          <w:rFonts w:cstheme="minorHAnsi"/>
        </w:rPr>
        <w:t xml:space="preserve">created specifically </w:t>
      </w:r>
      <w:r>
        <w:rPr>
          <w:rFonts w:cstheme="minorHAnsi"/>
        </w:rPr>
        <w:t>to use</w:t>
      </w:r>
      <w:r w:rsidRPr="009F166D">
        <w:rPr>
          <w:rFonts w:cstheme="minorHAnsi"/>
        </w:rPr>
        <w:t xml:space="preserve"> aviation solidarity levies to provide developing countries access to quality drug treatment for diseases such as malaria, tuberculosis and HIV and AIDS. </w:t>
      </w:r>
    </w:p>
    <w:p w14:paraId="5F54A10C" w14:textId="77777777" w:rsidR="00D255B4" w:rsidRPr="009F166D" w:rsidRDefault="00D255B4" w:rsidP="00D255B4">
      <w:pPr>
        <w:jc w:val="both"/>
        <w:rPr>
          <w:rFonts w:cstheme="minorHAnsi"/>
          <w:shd w:val="clear" w:color="auto" w:fill="FFFFFF"/>
        </w:rPr>
      </w:pPr>
    </w:p>
    <w:p w14:paraId="4CB33375" w14:textId="77777777" w:rsidR="00D255B4" w:rsidRDefault="00D255B4" w:rsidP="00D255B4">
      <w:pPr>
        <w:jc w:val="both"/>
        <w:rPr>
          <w:i/>
          <w:iCs/>
        </w:rPr>
      </w:pPr>
    </w:p>
    <w:p w14:paraId="11C9F123" w14:textId="77777777" w:rsidR="00D255B4" w:rsidRPr="009F166D" w:rsidRDefault="00D255B4" w:rsidP="00D255B4">
      <w:pPr>
        <w:jc w:val="both"/>
        <w:rPr>
          <w:i/>
          <w:iCs/>
        </w:rPr>
      </w:pPr>
      <w:r>
        <w:rPr>
          <w:i/>
          <w:iCs/>
        </w:rPr>
        <w:t xml:space="preserve">Global taxes or </w:t>
      </w:r>
      <w:proofErr w:type="spellStart"/>
      <w:r>
        <w:rPr>
          <w:i/>
          <w:iCs/>
        </w:rPr>
        <w:t>levys</w:t>
      </w:r>
      <w:proofErr w:type="spellEnd"/>
    </w:p>
    <w:p w14:paraId="0B349932" w14:textId="77777777" w:rsidR="00D255B4" w:rsidRDefault="00D255B4" w:rsidP="00D255B4">
      <w:pPr>
        <w:jc w:val="both"/>
      </w:pPr>
    </w:p>
    <w:p w14:paraId="7BE5BF98" w14:textId="77777777" w:rsidR="00D255B4" w:rsidRDefault="00D255B4" w:rsidP="00D255B4">
      <w:pPr>
        <w:jc w:val="both"/>
        <w:rPr>
          <w:rFonts w:cstheme="minorHAnsi"/>
        </w:rPr>
      </w:pPr>
      <w:r>
        <w:t xml:space="preserve">Given the urgent need for funding, vast untapped resources and the high cost of externalities caused by unsound management of chemicals and waste practices, it may be timely to explore and attempt unconventional approaches, such as global taxes or </w:t>
      </w:r>
      <w:proofErr w:type="spellStart"/>
      <w:r>
        <w:t>levys</w:t>
      </w:r>
      <w:proofErr w:type="spellEnd"/>
      <w:r>
        <w:t xml:space="preserve">.  For </w:t>
      </w:r>
      <w:proofErr w:type="gramStart"/>
      <w:r>
        <w:t>example</w:t>
      </w:r>
      <w:proofErr w:type="gramEnd"/>
      <w:r>
        <w:t xml:space="preserve"> in order to create a level playing field</w:t>
      </w:r>
      <w:r w:rsidRPr="009F166D">
        <w:t xml:space="preserve">, a global multilateral </w:t>
      </w:r>
      <w:r>
        <w:t>taxation scheme could</w:t>
      </w:r>
      <w:r w:rsidRPr="009F166D">
        <w:t xml:space="preserve"> be </w:t>
      </w:r>
      <w:r>
        <w:t xml:space="preserve">considered </w:t>
      </w:r>
      <w:r w:rsidRPr="009F166D">
        <w:t>on a global scale</w:t>
      </w:r>
      <w:r>
        <w:t>. However, no such precedent yet exist.</w:t>
      </w:r>
      <w:r w:rsidRPr="009F166D">
        <w:t xml:space="preserve"> </w:t>
      </w:r>
      <w:r>
        <w:t>Academics have proposed setting up a</w:t>
      </w:r>
      <w:r w:rsidRPr="009F166D">
        <w:t xml:space="preserve"> </w:t>
      </w:r>
      <w:r w:rsidRPr="00F96C97">
        <w:t>Multilateral Carbon Tax Treaty (MCTT) with a binding obligation for countries to apply a carbon tax (</w:t>
      </w:r>
      <w:bookmarkStart w:id="32" w:name="_Hlk18222500"/>
      <w:proofErr w:type="spellStart"/>
      <w:r w:rsidRPr="00F96C97">
        <w:t>Falcão</w:t>
      </w:r>
      <w:proofErr w:type="spellEnd"/>
      <w:r w:rsidRPr="00F96C97">
        <w:t>, 2016</w:t>
      </w:r>
      <w:bookmarkEnd w:id="32"/>
      <w:r w:rsidRPr="00F96C97">
        <w:t>).</w:t>
      </w:r>
      <w:r w:rsidRPr="009F166D">
        <w:t xml:space="preserve"> </w:t>
      </w:r>
      <w:r>
        <w:t xml:space="preserve">Similarly, IPEN has proposed the </w:t>
      </w:r>
      <w:r>
        <w:lastRenderedPageBreak/>
        <w:t xml:space="preserve">development of a global </w:t>
      </w:r>
      <w:r>
        <w:rPr>
          <w:rFonts w:cstheme="minorHAnsi"/>
        </w:rPr>
        <w:t xml:space="preserve">levy that could be 0.1 % of the global chemicals industry’s annual turnover. </w:t>
      </w:r>
    </w:p>
    <w:p w14:paraId="37F41F68" w14:textId="77777777" w:rsidR="00D255B4" w:rsidRDefault="00D255B4" w:rsidP="00D255B4">
      <w:pPr>
        <w:jc w:val="both"/>
        <w:rPr>
          <w:rFonts w:cstheme="minorHAnsi"/>
        </w:rPr>
      </w:pPr>
    </w:p>
    <w:p w14:paraId="2B65B5EB" w14:textId="77777777" w:rsidR="00D255B4" w:rsidRPr="002C2603" w:rsidRDefault="00D255B4" w:rsidP="00D255B4">
      <w:pPr>
        <w:jc w:val="both"/>
        <w:rPr>
          <w:rFonts w:cstheme="minorHAnsi"/>
          <w:b/>
          <w:bCs/>
          <w:color w:val="FF0000"/>
        </w:rPr>
      </w:pPr>
      <w:r>
        <w:rPr>
          <w:rFonts w:cstheme="minorHAnsi"/>
        </w:rPr>
        <w:t>T</w:t>
      </w:r>
      <w:r>
        <w:t>he development of a global levy or tax would be</w:t>
      </w:r>
      <w:r w:rsidRPr="009F166D">
        <w:t xml:space="preserve"> an extremely unusual commitment to be made internationally, </w:t>
      </w:r>
      <w:r>
        <w:t xml:space="preserve">because it would entail that </w:t>
      </w:r>
      <w:r w:rsidRPr="009F166D">
        <w:t xml:space="preserve">countries come to an agreement on how to partition </w:t>
      </w:r>
      <w:r>
        <w:t xml:space="preserve">the </w:t>
      </w:r>
      <w:r w:rsidRPr="009F166D">
        <w:t>tax</w:t>
      </w:r>
      <w:r>
        <w:t xml:space="preserve"> (</w:t>
      </w:r>
      <w:proofErr w:type="spellStart"/>
      <w:r>
        <w:t>Falcão</w:t>
      </w:r>
      <w:proofErr w:type="spellEnd"/>
      <w:r>
        <w:t>, 2016)</w:t>
      </w:r>
      <w:r w:rsidRPr="009F166D">
        <w:t xml:space="preserve">. </w:t>
      </w:r>
      <w:r>
        <w:t>Also, l</w:t>
      </w:r>
      <w:r w:rsidRPr="009F166D">
        <w:t xml:space="preserve">evying a tax is a State </w:t>
      </w:r>
      <w:r>
        <w:t>A</w:t>
      </w:r>
      <w:r w:rsidRPr="009F166D">
        <w:t>ct connected to the enforcement of a country’s sovereign rights,</w:t>
      </w:r>
      <w:r>
        <w:t xml:space="preserve"> thus </w:t>
      </w:r>
      <w:r w:rsidRPr="009F166D">
        <w:t>international tax treaties seldom create an obligation to tax or identify the level at which the tax should be levied</w:t>
      </w:r>
      <w:r>
        <w:t xml:space="preserve"> (</w:t>
      </w:r>
      <w:proofErr w:type="spellStart"/>
      <w:r>
        <w:t>Falcão</w:t>
      </w:r>
      <w:proofErr w:type="spellEnd"/>
      <w:r>
        <w:t>, 2016)</w:t>
      </w:r>
      <w:r w:rsidRPr="009F166D">
        <w:t xml:space="preserve">. </w:t>
      </w:r>
      <w:r w:rsidRPr="0060670C">
        <w:t>Another innovative solution could be to</w:t>
      </w:r>
      <w:r>
        <w:rPr>
          <w:rFonts w:cstheme="minorHAnsi"/>
          <w:shd w:val="clear" w:color="auto" w:fill="FFFFFF"/>
        </w:rPr>
        <w:t xml:space="preserve"> apply</w:t>
      </w:r>
      <w:r w:rsidRPr="0060670C">
        <w:rPr>
          <w:rFonts w:cstheme="minorHAnsi"/>
          <w:shd w:val="clear" w:color="auto" w:fill="FFFFFF"/>
        </w:rPr>
        <w:t xml:space="preserve"> </w:t>
      </w:r>
      <w:r>
        <w:rPr>
          <w:rFonts w:cstheme="minorHAnsi"/>
          <w:shd w:val="clear" w:color="auto" w:fill="FFFFFF"/>
        </w:rPr>
        <w:t xml:space="preserve">a </w:t>
      </w:r>
      <w:r w:rsidRPr="00713C5E">
        <w:rPr>
          <w:rFonts w:cstheme="minorHAnsi"/>
          <w:shd w:val="clear" w:color="auto" w:fill="FFFFFF"/>
        </w:rPr>
        <w:t xml:space="preserve">solidarity </w:t>
      </w:r>
      <w:r>
        <w:rPr>
          <w:rFonts w:cstheme="minorHAnsi"/>
          <w:shd w:val="clear" w:color="auto" w:fill="FFFFFF"/>
        </w:rPr>
        <w:t xml:space="preserve">to </w:t>
      </w:r>
      <w:r w:rsidRPr="00713C5E">
        <w:rPr>
          <w:rFonts w:cstheme="minorHAnsi"/>
          <w:shd w:val="clear" w:color="auto" w:fill="FFFFFF"/>
        </w:rPr>
        <w:t>tax foreign exchange transactions</w:t>
      </w:r>
      <w:r>
        <w:rPr>
          <w:rFonts w:cstheme="minorHAnsi"/>
          <w:shd w:val="clear" w:color="auto" w:fill="FFFFFF"/>
        </w:rPr>
        <w:t xml:space="preserve"> associated with chemicals and waste. </w:t>
      </w:r>
    </w:p>
    <w:p w14:paraId="7800C9BD" w14:textId="77777777" w:rsidR="00D255B4" w:rsidRDefault="00D255B4" w:rsidP="00D255B4">
      <w:pPr>
        <w:jc w:val="both"/>
        <w:rPr>
          <w:rFonts w:cstheme="minorHAnsi"/>
          <w:b/>
          <w:bCs/>
        </w:rPr>
      </w:pPr>
    </w:p>
    <w:p w14:paraId="514861E7" w14:textId="77777777" w:rsidR="00D255B4" w:rsidRDefault="00D255B4" w:rsidP="00D255B4">
      <w:pPr>
        <w:jc w:val="both"/>
        <w:rPr>
          <w:rFonts w:cstheme="minorHAnsi"/>
          <w:b/>
          <w:bCs/>
        </w:rPr>
      </w:pPr>
    </w:p>
    <w:p w14:paraId="60E0B9B3" w14:textId="77777777" w:rsidR="00D255B4" w:rsidRDefault="00D255B4" w:rsidP="00D255B4">
      <w:pPr>
        <w:jc w:val="both"/>
        <w:rPr>
          <w:rFonts w:cstheme="minorHAnsi"/>
          <w:b/>
          <w:bCs/>
        </w:rPr>
      </w:pPr>
    </w:p>
    <w:p w14:paraId="2840FF9D" w14:textId="77777777" w:rsidR="00D255B4" w:rsidRDefault="00D255B4" w:rsidP="00D255B4">
      <w:pPr>
        <w:jc w:val="both"/>
        <w:rPr>
          <w:rFonts w:cstheme="minorHAnsi"/>
          <w:b/>
          <w:bCs/>
        </w:rPr>
      </w:pPr>
    </w:p>
    <w:p w14:paraId="609AFFFA" w14:textId="77777777" w:rsidR="00D255B4" w:rsidRDefault="00D255B4" w:rsidP="00D255B4">
      <w:pPr>
        <w:jc w:val="both"/>
        <w:rPr>
          <w:rFonts w:cstheme="minorHAnsi"/>
          <w:b/>
          <w:bCs/>
        </w:rPr>
      </w:pPr>
    </w:p>
    <w:p w14:paraId="355B00C6" w14:textId="77777777" w:rsidR="00D255B4" w:rsidRDefault="00D255B4" w:rsidP="00D255B4">
      <w:pPr>
        <w:jc w:val="both"/>
        <w:rPr>
          <w:rFonts w:cstheme="minorHAnsi"/>
          <w:b/>
          <w:bCs/>
        </w:rPr>
      </w:pPr>
    </w:p>
    <w:p w14:paraId="7F39756E" w14:textId="77777777" w:rsidR="00D255B4" w:rsidRDefault="00D255B4" w:rsidP="00D255B4">
      <w:pPr>
        <w:jc w:val="both"/>
        <w:rPr>
          <w:rFonts w:cstheme="minorHAnsi"/>
          <w:b/>
          <w:bCs/>
        </w:rPr>
      </w:pPr>
    </w:p>
    <w:p w14:paraId="5A5B046E" w14:textId="77777777" w:rsidR="00D255B4" w:rsidRDefault="00D255B4" w:rsidP="00D255B4">
      <w:pPr>
        <w:jc w:val="both"/>
        <w:rPr>
          <w:rFonts w:cstheme="minorHAnsi"/>
          <w:b/>
          <w:bCs/>
        </w:rPr>
      </w:pPr>
    </w:p>
    <w:p w14:paraId="70C5D962" w14:textId="77777777" w:rsidR="00D255B4" w:rsidRDefault="00D255B4" w:rsidP="00D255B4">
      <w:pPr>
        <w:jc w:val="both"/>
        <w:rPr>
          <w:rFonts w:cstheme="minorHAnsi"/>
          <w:b/>
          <w:bCs/>
        </w:rPr>
      </w:pPr>
    </w:p>
    <w:p w14:paraId="7131743E" w14:textId="77777777" w:rsidR="00D255B4" w:rsidRDefault="00D255B4" w:rsidP="00D255B4">
      <w:pPr>
        <w:jc w:val="both"/>
        <w:rPr>
          <w:rFonts w:cstheme="minorHAnsi"/>
          <w:b/>
          <w:bCs/>
        </w:rPr>
      </w:pPr>
    </w:p>
    <w:p w14:paraId="1145613E" w14:textId="77777777" w:rsidR="00D255B4" w:rsidRDefault="00D255B4" w:rsidP="00D255B4">
      <w:pPr>
        <w:jc w:val="both"/>
        <w:rPr>
          <w:rFonts w:cstheme="minorHAnsi"/>
          <w:b/>
          <w:bCs/>
        </w:rPr>
      </w:pPr>
    </w:p>
    <w:p w14:paraId="2DB03E99" w14:textId="77777777" w:rsidR="00D255B4" w:rsidRDefault="00D255B4" w:rsidP="00D255B4">
      <w:pPr>
        <w:jc w:val="both"/>
        <w:rPr>
          <w:rFonts w:cstheme="minorHAnsi"/>
          <w:b/>
          <w:bCs/>
        </w:rPr>
      </w:pPr>
    </w:p>
    <w:p w14:paraId="5D5E3A76" w14:textId="77777777" w:rsidR="00D255B4" w:rsidRDefault="00D255B4" w:rsidP="00D255B4">
      <w:pPr>
        <w:jc w:val="both"/>
        <w:rPr>
          <w:rFonts w:cstheme="minorHAnsi"/>
          <w:b/>
          <w:bCs/>
        </w:rPr>
      </w:pPr>
    </w:p>
    <w:p w14:paraId="02F5BAA1" w14:textId="77777777" w:rsidR="00D255B4" w:rsidRDefault="00D255B4" w:rsidP="00D255B4">
      <w:pPr>
        <w:jc w:val="both"/>
        <w:rPr>
          <w:rFonts w:cstheme="minorHAnsi"/>
          <w:b/>
          <w:bCs/>
        </w:rPr>
      </w:pPr>
    </w:p>
    <w:p w14:paraId="28056C56" w14:textId="77777777" w:rsidR="00D255B4" w:rsidRDefault="00D255B4" w:rsidP="00D255B4">
      <w:pPr>
        <w:jc w:val="both"/>
        <w:rPr>
          <w:rFonts w:cstheme="minorHAnsi"/>
          <w:b/>
          <w:bCs/>
        </w:rPr>
      </w:pPr>
    </w:p>
    <w:p w14:paraId="7319DB69" w14:textId="77777777" w:rsidR="00D255B4" w:rsidRDefault="00D255B4" w:rsidP="00D255B4">
      <w:pPr>
        <w:jc w:val="both"/>
        <w:rPr>
          <w:rFonts w:cstheme="minorHAnsi"/>
          <w:b/>
          <w:bCs/>
        </w:rPr>
      </w:pPr>
    </w:p>
    <w:p w14:paraId="42033684" w14:textId="77777777" w:rsidR="00D255B4" w:rsidRDefault="00D255B4" w:rsidP="00D255B4">
      <w:pPr>
        <w:jc w:val="both"/>
        <w:rPr>
          <w:rFonts w:cstheme="minorHAnsi"/>
          <w:b/>
          <w:bCs/>
        </w:rPr>
      </w:pPr>
    </w:p>
    <w:p w14:paraId="104F4B09" w14:textId="77777777" w:rsidR="00D255B4" w:rsidRDefault="00D255B4" w:rsidP="00D255B4">
      <w:pPr>
        <w:jc w:val="both"/>
        <w:rPr>
          <w:rFonts w:cstheme="minorHAnsi"/>
          <w:b/>
          <w:bCs/>
        </w:rPr>
      </w:pPr>
    </w:p>
    <w:p w14:paraId="4CFE4D05" w14:textId="77777777" w:rsidR="00D255B4" w:rsidRDefault="00D255B4" w:rsidP="00D255B4">
      <w:pPr>
        <w:jc w:val="both"/>
        <w:rPr>
          <w:rFonts w:cstheme="minorHAnsi"/>
          <w:b/>
          <w:bCs/>
        </w:rPr>
      </w:pPr>
    </w:p>
    <w:p w14:paraId="52DD8DDC" w14:textId="77777777" w:rsidR="00D255B4" w:rsidRDefault="00D255B4" w:rsidP="00D255B4">
      <w:pPr>
        <w:jc w:val="both"/>
        <w:rPr>
          <w:rFonts w:cstheme="minorHAnsi"/>
          <w:b/>
          <w:bCs/>
        </w:rPr>
      </w:pPr>
    </w:p>
    <w:p w14:paraId="189810FC" w14:textId="77777777" w:rsidR="00D255B4" w:rsidRDefault="00D255B4" w:rsidP="00D255B4">
      <w:pPr>
        <w:jc w:val="both"/>
        <w:rPr>
          <w:rFonts w:cstheme="minorHAnsi"/>
          <w:b/>
          <w:bCs/>
        </w:rPr>
      </w:pPr>
    </w:p>
    <w:p w14:paraId="1CD041C8" w14:textId="77777777" w:rsidR="00D255B4" w:rsidRDefault="00D255B4" w:rsidP="00D255B4">
      <w:pPr>
        <w:jc w:val="both"/>
        <w:rPr>
          <w:rFonts w:cstheme="minorHAnsi"/>
          <w:b/>
          <w:bCs/>
        </w:rPr>
      </w:pPr>
    </w:p>
    <w:p w14:paraId="7C784BE7" w14:textId="77777777" w:rsidR="00D255B4" w:rsidRDefault="00D255B4" w:rsidP="00D255B4">
      <w:pPr>
        <w:jc w:val="both"/>
        <w:rPr>
          <w:rFonts w:cstheme="minorHAnsi"/>
          <w:b/>
          <w:bCs/>
        </w:rPr>
      </w:pPr>
    </w:p>
    <w:p w14:paraId="2E04CA3D" w14:textId="77777777" w:rsidR="00D255B4" w:rsidRDefault="00D255B4" w:rsidP="00D255B4">
      <w:pPr>
        <w:jc w:val="both"/>
        <w:rPr>
          <w:rFonts w:cstheme="minorHAnsi"/>
          <w:b/>
          <w:bCs/>
        </w:rPr>
      </w:pPr>
    </w:p>
    <w:p w14:paraId="08CF609A" w14:textId="77777777" w:rsidR="00D255B4" w:rsidRDefault="00D255B4" w:rsidP="00D255B4">
      <w:pPr>
        <w:jc w:val="both"/>
        <w:rPr>
          <w:rFonts w:cstheme="minorHAnsi"/>
          <w:b/>
          <w:bCs/>
        </w:rPr>
      </w:pPr>
    </w:p>
    <w:p w14:paraId="16B9B0A4" w14:textId="77777777" w:rsidR="00D255B4" w:rsidRDefault="00D255B4" w:rsidP="00D255B4">
      <w:pPr>
        <w:jc w:val="both"/>
        <w:rPr>
          <w:rFonts w:cstheme="minorHAnsi"/>
          <w:b/>
          <w:bCs/>
        </w:rPr>
      </w:pPr>
    </w:p>
    <w:p w14:paraId="6CBA3BFF" w14:textId="77777777" w:rsidR="00D255B4" w:rsidRDefault="00D255B4" w:rsidP="00D255B4">
      <w:pPr>
        <w:jc w:val="both"/>
        <w:rPr>
          <w:rFonts w:cstheme="minorHAnsi"/>
          <w:b/>
          <w:bCs/>
        </w:rPr>
      </w:pPr>
    </w:p>
    <w:p w14:paraId="3F9C9D39" w14:textId="441544A8" w:rsidR="00D935A3" w:rsidRDefault="00D935A3">
      <w:pPr>
        <w:rPr>
          <w:rFonts w:cstheme="minorHAnsi"/>
          <w:b/>
          <w:bCs/>
        </w:rPr>
      </w:pPr>
      <w:r>
        <w:rPr>
          <w:rFonts w:cstheme="minorHAnsi"/>
          <w:b/>
          <w:bCs/>
        </w:rPr>
        <w:br w:type="page"/>
      </w:r>
    </w:p>
    <w:p w14:paraId="61D738E2" w14:textId="77777777" w:rsidR="00D255B4" w:rsidRPr="00A82842" w:rsidRDefault="00D255B4" w:rsidP="00D255B4">
      <w:pPr>
        <w:pStyle w:val="Heading1"/>
      </w:pPr>
      <w:bookmarkStart w:id="33" w:name="_Toc19213833"/>
      <w:r>
        <w:lastRenderedPageBreak/>
        <w:t xml:space="preserve">7. </w:t>
      </w:r>
      <w:r w:rsidRPr="00A82842">
        <w:t>Summary and conclusions</w:t>
      </w:r>
      <w:bookmarkEnd w:id="33"/>
    </w:p>
    <w:p w14:paraId="18AE21A0" w14:textId="77777777" w:rsidR="00D255B4" w:rsidRDefault="00D255B4" w:rsidP="00D255B4">
      <w:pPr>
        <w:jc w:val="both"/>
        <w:rPr>
          <w:rFonts w:cstheme="minorHAnsi"/>
        </w:rPr>
      </w:pPr>
    </w:p>
    <w:p w14:paraId="6B4CC3B3" w14:textId="77777777" w:rsidR="00D255B4" w:rsidRDefault="00D255B4" w:rsidP="00D255B4">
      <w:pPr>
        <w:jc w:val="both"/>
        <w:rPr>
          <w:rFonts w:cstheme="minorHAnsi"/>
        </w:rPr>
      </w:pPr>
      <w:r w:rsidRPr="00032160">
        <w:rPr>
          <w:rFonts w:cstheme="minorHAnsi"/>
        </w:rPr>
        <w:t>This review constitutes a preliminary attempt to</w:t>
      </w:r>
      <w:r w:rsidRPr="0064582C">
        <w:rPr>
          <w:rFonts w:cstheme="minorHAnsi"/>
        </w:rPr>
        <w:t xml:space="preserve"> identify</w:t>
      </w:r>
      <w:r w:rsidRPr="00891E60">
        <w:rPr>
          <w:rFonts w:cstheme="minorHAnsi"/>
        </w:rPr>
        <w:t xml:space="preserve"> </w:t>
      </w:r>
      <w:r w:rsidRPr="0064582C">
        <w:t>successful mechanisms for cost recovery and implementation of the Polluter Pays Principle</w:t>
      </w:r>
      <w:r w:rsidRPr="00891E60">
        <w:rPr>
          <w:rFonts w:cstheme="minorHAnsi"/>
        </w:rPr>
        <w:t xml:space="preserve"> </w:t>
      </w:r>
      <w:r w:rsidRPr="00C15873">
        <w:rPr>
          <w:rFonts w:cstheme="minorHAnsi"/>
        </w:rPr>
        <w:t>and examine possibilities for their further</w:t>
      </w:r>
      <w:r w:rsidRPr="00032160">
        <w:rPr>
          <w:rFonts w:cstheme="minorHAnsi"/>
        </w:rPr>
        <w:t xml:space="preserve"> application for chemicals and waste</w:t>
      </w:r>
      <w:r>
        <w:rPr>
          <w:rFonts w:cstheme="minorHAnsi"/>
        </w:rPr>
        <w:t xml:space="preserve">.  The </w:t>
      </w:r>
      <w:r w:rsidRPr="00032160">
        <w:rPr>
          <w:rFonts w:cstheme="minorHAnsi"/>
        </w:rPr>
        <w:t xml:space="preserve">report </w:t>
      </w:r>
      <w:r>
        <w:rPr>
          <w:rFonts w:cstheme="minorHAnsi"/>
        </w:rPr>
        <w:t xml:space="preserve">will </w:t>
      </w:r>
      <w:r w:rsidRPr="00032160">
        <w:rPr>
          <w:rFonts w:cstheme="minorHAnsi"/>
        </w:rPr>
        <w:t>be finalized for the 4</w:t>
      </w:r>
      <w:r w:rsidRPr="00032160">
        <w:rPr>
          <w:rFonts w:cstheme="minorHAnsi"/>
          <w:vertAlign w:val="superscript"/>
        </w:rPr>
        <w:t>th</w:t>
      </w:r>
      <w:r w:rsidRPr="00032160">
        <w:rPr>
          <w:rFonts w:cstheme="minorHAnsi"/>
        </w:rPr>
        <w:t xml:space="preserve"> meeting of the intersessional process based on further input and analysis. </w:t>
      </w:r>
    </w:p>
    <w:p w14:paraId="7AFC9C4A" w14:textId="77777777" w:rsidR="00D255B4" w:rsidRDefault="00D255B4" w:rsidP="00D255B4">
      <w:pPr>
        <w:jc w:val="both"/>
        <w:rPr>
          <w:rFonts w:cstheme="minorHAnsi"/>
        </w:rPr>
      </w:pPr>
    </w:p>
    <w:p w14:paraId="4804C33C" w14:textId="77777777" w:rsidR="00D255B4" w:rsidRDefault="00D255B4" w:rsidP="00D255B4">
      <w:pPr>
        <w:jc w:val="both"/>
      </w:pPr>
      <w:r w:rsidRPr="00C15873">
        <w:rPr>
          <w:rFonts w:cstheme="minorHAnsi"/>
        </w:rPr>
        <w:t xml:space="preserve">This review finds </w:t>
      </w:r>
      <w:r w:rsidRPr="00C15873">
        <w:t>that good practices are emerging</w:t>
      </w:r>
      <w:r>
        <w:t xml:space="preserve">.  However, </w:t>
      </w:r>
      <w:r w:rsidRPr="00032160">
        <w:rPr>
          <w:rFonts w:cstheme="minorHAnsi"/>
        </w:rPr>
        <w:t>the</w:t>
      </w:r>
      <w:r w:rsidRPr="0064582C">
        <w:rPr>
          <w:rFonts w:cstheme="minorHAnsi"/>
        </w:rPr>
        <w:t xml:space="preserve"> use of economic instruments and cost recovery measures are still underdeveloped, and successful examples limited predominantly to select high-income countries. </w:t>
      </w:r>
      <w:r w:rsidRPr="0064582C">
        <w:t xml:space="preserve">This shows the difficulties of setting up the legal and institutional basis needed for sound chemicals management, including developing and overseeing effective implementation of economic instruments. Arguably, endemic societal challenges, such as the globalized nature of value chains, the lack of </w:t>
      </w:r>
      <w:r>
        <w:t xml:space="preserve">basic capacities to address the sound management of chemicals and waste at the national level </w:t>
      </w:r>
      <w:r w:rsidRPr="0064582C">
        <w:t xml:space="preserve">in many countries and </w:t>
      </w:r>
      <w:r>
        <w:t xml:space="preserve">the lack of political will </w:t>
      </w:r>
      <w:r w:rsidRPr="0064582C">
        <w:t xml:space="preserve">hinder progress in this regard. </w:t>
      </w:r>
    </w:p>
    <w:p w14:paraId="79C2B47A" w14:textId="77777777" w:rsidR="00D255B4" w:rsidRDefault="00D255B4" w:rsidP="00D255B4">
      <w:pPr>
        <w:jc w:val="both"/>
      </w:pPr>
    </w:p>
    <w:p w14:paraId="3D92AACD" w14:textId="77777777" w:rsidR="00D255B4" w:rsidRPr="0064582C" w:rsidRDefault="00D255B4" w:rsidP="00D255B4">
      <w:pPr>
        <w:jc w:val="both"/>
      </w:pPr>
      <w:r w:rsidRPr="00032160">
        <w:t xml:space="preserve">The elaboration of the beyond-2020 framework provides a unique opportunity to </w:t>
      </w:r>
      <w:r>
        <w:t xml:space="preserve">increase understanding of and, ultimately, </w:t>
      </w:r>
      <w:r w:rsidRPr="00032160">
        <w:t xml:space="preserve">scale up the use of economic instruments and cost recovery measures for </w:t>
      </w:r>
      <w:r>
        <w:t>sound management of chemicals</w:t>
      </w:r>
      <w:r w:rsidRPr="00032160">
        <w:t xml:space="preserve"> and waste. </w:t>
      </w:r>
      <w:r>
        <w:t>In light of the draft review, consideration could be given to the following:</w:t>
      </w:r>
    </w:p>
    <w:p w14:paraId="3EAF4554" w14:textId="77777777" w:rsidR="00D255B4" w:rsidRPr="0064582C" w:rsidRDefault="00D255B4" w:rsidP="00D54D68">
      <w:pPr>
        <w:pStyle w:val="ListParagraph"/>
        <w:numPr>
          <w:ilvl w:val="0"/>
          <w:numId w:val="8"/>
        </w:numPr>
        <w:spacing w:after="160" w:line="259" w:lineRule="auto"/>
        <w:jc w:val="both"/>
      </w:pPr>
      <w:r w:rsidRPr="00032160">
        <w:t>C</w:t>
      </w:r>
      <w:r w:rsidRPr="0064582C">
        <w:t>ontinue to collect best practices and to provide guidance</w:t>
      </w:r>
      <w:r>
        <w:t xml:space="preserve"> on cost recovery measures and use of economic instruments,</w:t>
      </w:r>
      <w:r w:rsidRPr="0064582C">
        <w:t xml:space="preserve"> coupled with provision of capacity support</w:t>
      </w:r>
      <w:r>
        <w:t>, building on and complementing existing guidance,</w:t>
      </w:r>
      <w:r w:rsidRPr="0064582C">
        <w:t xml:space="preserve"> </w:t>
      </w:r>
    </w:p>
    <w:p w14:paraId="65036C99" w14:textId="77777777" w:rsidR="00D255B4" w:rsidRDefault="00D255B4" w:rsidP="00D54D68">
      <w:pPr>
        <w:pStyle w:val="ListParagraph"/>
        <w:numPr>
          <w:ilvl w:val="0"/>
          <w:numId w:val="7"/>
        </w:numPr>
        <w:spacing w:after="160" w:line="259" w:lineRule="auto"/>
        <w:jc w:val="both"/>
      </w:pPr>
      <w:r w:rsidRPr="0064582C">
        <w:t xml:space="preserve">A future study on market-based instruments and cost of inaction could help </w:t>
      </w:r>
      <w:r>
        <w:t xml:space="preserve">to </w:t>
      </w:r>
      <w:r w:rsidRPr="0064582C">
        <w:t>mobilize political momentum for fiscal reforms</w:t>
      </w:r>
      <w:r>
        <w:t>,</w:t>
      </w:r>
      <w:r w:rsidRPr="0064582C">
        <w:t xml:space="preserve"> </w:t>
      </w:r>
    </w:p>
    <w:p w14:paraId="4F6A158E" w14:textId="77777777" w:rsidR="00D255B4" w:rsidRDefault="00D255B4" w:rsidP="00D54D68">
      <w:pPr>
        <w:pStyle w:val="ListParagraph"/>
        <w:numPr>
          <w:ilvl w:val="0"/>
          <w:numId w:val="7"/>
        </w:numPr>
        <w:spacing w:after="160" w:line="259" w:lineRule="auto"/>
        <w:jc w:val="both"/>
      </w:pPr>
      <w:r>
        <w:t xml:space="preserve">Explore the development a global cost internalization program to facilitate a more systematic approach to the implementation of the Polluter Pays Principle, utilizing best practices and exploring opportunities linked to innovative market-based mechanisms, </w:t>
      </w:r>
    </w:p>
    <w:p w14:paraId="33C9B89C" w14:textId="77777777" w:rsidR="00D255B4" w:rsidRDefault="00D255B4" w:rsidP="00D54D68">
      <w:pPr>
        <w:pStyle w:val="ListParagraph"/>
        <w:numPr>
          <w:ilvl w:val="0"/>
          <w:numId w:val="7"/>
        </w:numPr>
        <w:spacing w:after="160" w:line="259" w:lineRule="auto"/>
        <w:jc w:val="both"/>
      </w:pPr>
      <w:proofErr w:type="gramStart"/>
      <w:r>
        <w:t>Making reference</w:t>
      </w:r>
      <w:proofErr w:type="gramEnd"/>
      <w:r w:rsidRPr="0064582C">
        <w:t xml:space="preserve"> to the use of economic instruments and cost recovery measures </w:t>
      </w:r>
      <w:r>
        <w:t xml:space="preserve">in designing strategic targets beyond 2020 in order to </w:t>
      </w:r>
      <w:r w:rsidRPr="0064582C">
        <w:t xml:space="preserve">signal </w:t>
      </w:r>
      <w:r>
        <w:t xml:space="preserve">to </w:t>
      </w:r>
      <w:r w:rsidRPr="0064582C">
        <w:t>all relevant stakeholders the need to</w:t>
      </w:r>
      <w:r>
        <w:t xml:space="preserve"> internalize negative externalities arising from unsound management of chemicals and waste,</w:t>
      </w:r>
    </w:p>
    <w:p w14:paraId="5CBC1236" w14:textId="77777777" w:rsidR="00D255B4" w:rsidRPr="0064582C" w:rsidRDefault="00D255B4" w:rsidP="00D54D68">
      <w:pPr>
        <w:pStyle w:val="ListParagraph"/>
        <w:numPr>
          <w:ilvl w:val="0"/>
          <w:numId w:val="7"/>
        </w:numPr>
        <w:spacing w:after="160" w:line="259" w:lineRule="auto"/>
        <w:jc w:val="both"/>
      </w:pPr>
      <w:r>
        <w:t xml:space="preserve">Develop </w:t>
      </w:r>
      <w:r w:rsidRPr="0064582C">
        <w:t>relevant indicators</w:t>
      </w:r>
      <w:r>
        <w:t xml:space="preserve"> for beyond 2020</w:t>
      </w:r>
      <w:r w:rsidRPr="0064582C">
        <w:t xml:space="preserve"> to track revenues generated from the use of economic instruments for sound management of chemicals and waste</w:t>
      </w:r>
      <w:r>
        <w:t>.</w:t>
      </w:r>
    </w:p>
    <w:p w14:paraId="36137DC8" w14:textId="77777777" w:rsidR="00D255B4" w:rsidRDefault="00D255B4" w:rsidP="00D255B4">
      <w:pPr>
        <w:jc w:val="both"/>
      </w:pPr>
    </w:p>
    <w:p w14:paraId="24CD252B" w14:textId="77777777" w:rsidR="00D255B4" w:rsidRDefault="00D255B4" w:rsidP="00D255B4">
      <w:pPr>
        <w:jc w:val="both"/>
      </w:pPr>
    </w:p>
    <w:p w14:paraId="6D17AF58" w14:textId="77777777" w:rsidR="00D255B4" w:rsidRDefault="00D255B4" w:rsidP="00D255B4">
      <w:pPr>
        <w:jc w:val="both"/>
        <w:rPr>
          <w:rFonts w:cstheme="minorHAnsi"/>
        </w:rPr>
      </w:pPr>
    </w:p>
    <w:p w14:paraId="40AEC32C" w14:textId="77777777" w:rsidR="00D255B4" w:rsidRDefault="00D255B4" w:rsidP="00D255B4">
      <w:pPr>
        <w:jc w:val="both"/>
        <w:rPr>
          <w:rFonts w:cstheme="minorHAnsi"/>
        </w:rPr>
      </w:pPr>
    </w:p>
    <w:p w14:paraId="0B8240BC" w14:textId="77777777" w:rsidR="00D255B4" w:rsidRDefault="00D255B4" w:rsidP="00D255B4">
      <w:pPr>
        <w:jc w:val="both"/>
        <w:rPr>
          <w:rFonts w:cstheme="minorHAnsi"/>
        </w:rPr>
      </w:pPr>
    </w:p>
    <w:p w14:paraId="1EFA264B" w14:textId="77777777" w:rsidR="00D255B4" w:rsidRDefault="00D255B4" w:rsidP="00D255B4">
      <w:pPr>
        <w:jc w:val="both"/>
        <w:rPr>
          <w:rFonts w:cstheme="minorHAnsi"/>
        </w:rPr>
      </w:pPr>
    </w:p>
    <w:p w14:paraId="7D9BD559" w14:textId="77777777" w:rsidR="00D255B4" w:rsidRDefault="00D255B4" w:rsidP="00D255B4">
      <w:pPr>
        <w:jc w:val="both"/>
        <w:rPr>
          <w:rFonts w:cstheme="minorHAnsi"/>
        </w:rPr>
      </w:pPr>
    </w:p>
    <w:p w14:paraId="5E54A9D2" w14:textId="77777777" w:rsidR="00D255B4" w:rsidRDefault="00D255B4" w:rsidP="00D255B4">
      <w:pPr>
        <w:jc w:val="both"/>
        <w:rPr>
          <w:rFonts w:cstheme="minorHAnsi"/>
        </w:rPr>
      </w:pPr>
    </w:p>
    <w:p w14:paraId="7103CC1B" w14:textId="77777777" w:rsidR="00D255B4" w:rsidRDefault="00D255B4" w:rsidP="00D255B4">
      <w:pPr>
        <w:pStyle w:val="Heading1"/>
      </w:pPr>
      <w:bookmarkStart w:id="34" w:name="_Toc19213834"/>
      <w:r>
        <w:lastRenderedPageBreak/>
        <w:t>References</w:t>
      </w:r>
      <w:bookmarkEnd w:id="34"/>
      <w:r>
        <w:t xml:space="preserve"> </w:t>
      </w:r>
    </w:p>
    <w:p w14:paraId="39BA1A73" w14:textId="77777777" w:rsidR="00D255B4" w:rsidRPr="004A7177" w:rsidRDefault="00D255B4" w:rsidP="00D255B4">
      <w:pPr>
        <w:rPr>
          <w:rFonts w:cstheme="minorHAnsi"/>
        </w:rPr>
      </w:pPr>
    </w:p>
    <w:p w14:paraId="33958452" w14:textId="77777777" w:rsidR="00D255B4" w:rsidRPr="00881DF8" w:rsidRDefault="00D255B4" w:rsidP="00D255B4">
      <w:pPr>
        <w:ind w:left="720" w:hanging="720"/>
        <w:rPr>
          <w:rFonts w:cstheme="minorHAnsi"/>
        </w:rPr>
      </w:pPr>
      <w:r w:rsidRPr="00881DF8">
        <w:rPr>
          <w:rFonts w:cstheme="minorHAnsi"/>
          <w:lang w:val="en-GB"/>
        </w:rPr>
        <w:t xml:space="preserve">Andersen, M. S. (1995). The use of economic instruments for environmental policy – A </w:t>
      </w:r>
      <w:proofErr w:type="spellStart"/>
      <w:r w:rsidRPr="00881DF8">
        <w:rPr>
          <w:rFonts w:cstheme="minorHAnsi"/>
          <w:lang w:val="en-GB"/>
        </w:rPr>
        <w:t>half</w:t>
      </w:r>
      <w:r>
        <w:rPr>
          <w:rFonts w:cstheme="minorHAnsi"/>
          <w:lang w:val="en-GB"/>
        </w:rPr>
        <w:t xml:space="preserve"> </w:t>
      </w:r>
      <w:r w:rsidRPr="00881DF8">
        <w:rPr>
          <w:rFonts w:cstheme="minorHAnsi"/>
          <w:lang w:val="en-GB"/>
        </w:rPr>
        <w:t>hearted</w:t>
      </w:r>
      <w:proofErr w:type="spellEnd"/>
      <w:r w:rsidRPr="00881DF8">
        <w:rPr>
          <w:rFonts w:cstheme="minorHAnsi"/>
          <w:lang w:val="en-GB"/>
        </w:rPr>
        <w:t xml:space="preserve"> affair. Available online: </w:t>
      </w:r>
      <w:hyperlink r:id="rId18" w:history="1">
        <w:r w:rsidRPr="00881DF8">
          <w:rPr>
            <w:rStyle w:val="Hyperlink"/>
            <w:rFonts w:cstheme="minorHAnsi"/>
            <w:lang w:val="en-GB"/>
          </w:rPr>
          <w:t>http://bit.ly/2Ha9dlC</w:t>
        </w:r>
      </w:hyperlink>
      <w:r w:rsidRPr="00881DF8">
        <w:rPr>
          <w:rFonts w:cstheme="minorHAnsi"/>
          <w:lang w:val="en-GB"/>
        </w:rPr>
        <w:t xml:space="preserve"> </w:t>
      </w:r>
    </w:p>
    <w:p w14:paraId="0A020FC4" w14:textId="77777777" w:rsidR="00D255B4" w:rsidRPr="00881DF8" w:rsidRDefault="00D255B4" w:rsidP="00D255B4">
      <w:pPr>
        <w:ind w:left="720" w:hanging="720"/>
        <w:rPr>
          <w:rFonts w:cstheme="minorHAnsi"/>
        </w:rPr>
      </w:pPr>
      <w:r w:rsidRPr="00881DF8">
        <w:rPr>
          <w:rFonts w:cstheme="minorHAnsi"/>
        </w:rPr>
        <w:t xml:space="preserve">Andersen, M. S. (2016). Fertilizer tax in Sweden. Aarhus University-DCE. Available online: </w:t>
      </w:r>
      <w:hyperlink r:id="rId19" w:history="1">
        <w:r w:rsidRPr="00881DF8">
          <w:rPr>
            <w:rStyle w:val="Hyperlink"/>
            <w:rFonts w:cstheme="minorHAnsi"/>
          </w:rPr>
          <w:t>http://bit.ly/2HosGz7</w:t>
        </w:r>
      </w:hyperlink>
      <w:r w:rsidRPr="00881DF8">
        <w:rPr>
          <w:rFonts w:cstheme="minorHAnsi"/>
        </w:rPr>
        <w:t xml:space="preserve"> </w:t>
      </w:r>
    </w:p>
    <w:p w14:paraId="0C237ABE" w14:textId="77777777" w:rsidR="00D255B4" w:rsidRPr="00881DF8" w:rsidRDefault="00D255B4" w:rsidP="00D255B4">
      <w:pPr>
        <w:ind w:left="720" w:hanging="720"/>
        <w:rPr>
          <w:rFonts w:cstheme="minorHAnsi"/>
        </w:rPr>
      </w:pPr>
      <w:proofErr w:type="spellStart"/>
      <w:r w:rsidRPr="00881DF8">
        <w:rPr>
          <w:rFonts w:cstheme="minorHAnsi"/>
        </w:rPr>
        <w:t>Attina</w:t>
      </w:r>
      <w:proofErr w:type="spellEnd"/>
      <w:r w:rsidRPr="00881DF8">
        <w:rPr>
          <w:rFonts w:cstheme="minorHAnsi"/>
        </w:rPr>
        <w:t xml:space="preserve">, T. M. and </w:t>
      </w:r>
      <w:proofErr w:type="spellStart"/>
      <w:r w:rsidRPr="00881DF8">
        <w:rPr>
          <w:rFonts w:cstheme="minorHAnsi"/>
        </w:rPr>
        <w:t>Trasande</w:t>
      </w:r>
      <w:proofErr w:type="spellEnd"/>
      <w:r w:rsidRPr="00881DF8">
        <w:rPr>
          <w:rFonts w:cstheme="minorHAnsi"/>
        </w:rPr>
        <w:t>, L. (2013). Economic costs of childhood lead exposure in low- and middle-income countries. Environmental Health Perspectives 121: 1097–1102.</w:t>
      </w:r>
    </w:p>
    <w:p w14:paraId="482888C4" w14:textId="77777777" w:rsidR="00D255B4" w:rsidRPr="009268F8" w:rsidRDefault="00D255B4" w:rsidP="00D255B4">
      <w:pPr>
        <w:ind w:left="720" w:hanging="720"/>
        <w:rPr>
          <w:rFonts w:cstheme="minorHAnsi"/>
        </w:rPr>
      </w:pPr>
      <w:r w:rsidRPr="009268F8">
        <w:rPr>
          <w:rFonts w:cstheme="minorHAnsi"/>
        </w:rPr>
        <w:t>Awasthi, A. K. &amp; Li, J. H. (2017).  Management of electrical and electronic waste: A comparative evaluation of China and India. Renew. Sustain. Energy Rev 76: 434–447.</w:t>
      </w:r>
    </w:p>
    <w:p w14:paraId="56139474" w14:textId="77777777" w:rsidR="00D255B4" w:rsidRPr="009268F8" w:rsidRDefault="00D255B4" w:rsidP="00D255B4">
      <w:pPr>
        <w:ind w:left="720" w:hanging="720"/>
        <w:rPr>
          <w:rFonts w:cstheme="minorHAnsi"/>
          <w:lang w:val="fr-CH"/>
        </w:rPr>
      </w:pPr>
      <w:proofErr w:type="spellStart"/>
      <w:r w:rsidRPr="00881DF8">
        <w:rPr>
          <w:rFonts w:cstheme="minorHAnsi"/>
        </w:rPr>
        <w:t>Böcker</w:t>
      </w:r>
      <w:proofErr w:type="spellEnd"/>
      <w:r w:rsidRPr="00881DF8">
        <w:rPr>
          <w:rFonts w:cstheme="minorHAnsi"/>
        </w:rPr>
        <w:t xml:space="preserve">, T. &amp; Finger, R. (2016). European pesticide tax schemes in comparison: An analysis of experiences and developments. </w:t>
      </w:r>
      <w:proofErr w:type="spellStart"/>
      <w:r w:rsidRPr="009268F8">
        <w:rPr>
          <w:rFonts w:cstheme="minorHAnsi"/>
          <w:lang w:val="fr-CH"/>
        </w:rPr>
        <w:t>Sustainability</w:t>
      </w:r>
      <w:proofErr w:type="spellEnd"/>
      <w:r w:rsidRPr="009268F8">
        <w:rPr>
          <w:rFonts w:cstheme="minorHAnsi"/>
          <w:lang w:val="fr-CH"/>
        </w:rPr>
        <w:t xml:space="preserve"> </w:t>
      </w:r>
      <w:proofErr w:type="gramStart"/>
      <w:r w:rsidRPr="009268F8">
        <w:rPr>
          <w:rFonts w:cstheme="minorHAnsi"/>
          <w:lang w:val="fr-CH"/>
        </w:rPr>
        <w:t>doi:</w:t>
      </w:r>
      <w:proofErr w:type="gramEnd"/>
      <w:r w:rsidRPr="009268F8">
        <w:rPr>
          <w:rFonts w:cstheme="minorHAnsi"/>
          <w:lang w:val="fr-CH"/>
        </w:rPr>
        <w:t xml:space="preserve">10.3390/su8040378. </w:t>
      </w:r>
      <w:proofErr w:type="spellStart"/>
      <w:r w:rsidRPr="009268F8">
        <w:rPr>
          <w:rFonts w:cstheme="minorHAnsi"/>
          <w:lang w:val="fr-CH"/>
        </w:rPr>
        <w:t>Available</w:t>
      </w:r>
      <w:proofErr w:type="spellEnd"/>
      <w:r w:rsidRPr="009268F8">
        <w:rPr>
          <w:rFonts w:cstheme="minorHAnsi"/>
          <w:lang w:val="fr-CH"/>
        </w:rPr>
        <w:t xml:space="preserve"> </w:t>
      </w:r>
      <w:proofErr w:type="gramStart"/>
      <w:r w:rsidRPr="009268F8">
        <w:rPr>
          <w:rFonts w:cstheme="minorHAnsi"/>
          <w:lang w:val="fr-CH"/>
        </w:rPr>
        <w:t>online:</w:t>
      </w:r>
      <w:proofErr w:type="gramEnd"/>
      <w:r w:rsidRPr="009268F8">
        <w:rPr>
          <w:rFonts w:cstheme="minorHAnsi"/>
          <w:lang w:val="fr-CH"/>
        </w:rPr>
        <w:t xml:space="preserve"> </w:t>
      </w:r>
      <w:hyperlink r:id="rId20" w:history="1">
        <w:r w:rsidRPr="009268F8">
          <w:rPr>
            <w:rStyle w:val="Hyperlink"/>
            <w:rFonts w:cstheme="minorHAnsi"/>
            <w:lang w:val="fr-CH"/>
          </w:rPr>
          <w:t>http://bit.ly/2ZkLsxM</w:t>
        </w:r>
      </w:hyperlink>
      <w:r w:rsidRPr="009268F8">
        <w:rPr>
          <w:rFonts w:cstheme="minorHAnsi"/>
          <w:lang w:val="fr-CH"/>
        </w:rPr>
        <w:t xml:space="preserve"> </w:t>
      </w:r>
    </w:p>
    <w:p w14:paraId="48330A65" w14:textId="77777777" w:rsidR="00D255B4" w:rsidRPr="00881DF8" w:rsidRDefault="00D255B4" w:rsidP="00D255B4">
      <w:pPr>
        <w:ind w:left="720" w:hanging="720"/>
        <w:jc w:val="both"/>
        <w:rPr>
          <w:rFonts w:cstheme="minorHAnsi"/>
        </w:rPr>
      </w:pPr>
      <w:proofErr w:type="spellStart"/>
      <w:r w:rsidRPr="009268F8">
        <w:rPr>
          <w:rFonts w:cstheme="minorHAnsi"/>
          <w:lang w:val="fr-CH"/>
        </w:rPr>
        <w:t>Boqiang</w:t>
      </w:r>
      <w:proofErr w:type="spellEnd"/>
      <w:r w:rsidRPr="009268F8">
        <w:rPr>
          <w:rFonts w:cstheme="minorHAnsi"/>
          <w:lang w:val="fr-CH"/>
        </w:rPr>
        <w:t xml:space="preserve">, L. &amp; </w:t>
      </w:r>
      <w:proofErr w:type="spellStart"/>
      <w:r w:rsidRPr="009268F8">
        <w:rPr>
          <w:rFonts w:cstheme="minorHAnsi"/>
          <w:lang w:val="fr-CH"/>
        </w:rPr>
        <w:t>Xuehui</w:t>
      </w:r>
      <w:proofErr w:type="spellEnd"/>
      <w:r w:rsidRPr="009268F8">
        <w:rPr>
          <w:rFonts w:cstheme="minorHAnsi"/>
          <w:lang w:val="fr-CH"/>
        </w:rPr>
        <w:t xml:space="preserve">, L. (2011). </w:t>
      </w:r>
      <w:hyperlink r:id="rId21" w:history="1">
        <w:r w:rsidRPr="00881DF8">
          <w:rPr>
            <w:rFonts w:cstheme="minorHAnsi"/>
          </w:rPr>
          <w:t>The effect of carbon tax on per capita CO2 emissions</w:t>
        </w:r>
      </w:hyperlink>
      <w:r w:rsidRPr="00881DF8">
        <w:rPr>
          <w:rFonts w:cstheme="minorHAnsi"/>
        </w:rPr>
        <w:t>. </w:t>
      </w:r>
      <w:hyperlink r:id="rId22" w:history="1">
        <w:r w:rsidRPr="00881DF8">
          <w:rPr>
            <w:rFonts w:cstheme="minorHAnsi"/>
          </w:rPr>
          <w:t>Energy Policy</w:t>
        </w:r>
      </w:hyperlink>
      <w:r w:rsidRPr="00881DF8">
        <w:rPr>
          <w:rFonts w:cstheme="minorHAnsi"/>
        </w:rPr>
        <w:t xml:space="preserve"> 39: 5137-5146.</w:t>
      </w:r>
    </w:p>
    <w:p w14:paraId="69229FE0" w14:textId="77777777" w:rsidR="00D255B4" w:rsidRPr="00881DF8" w:rsidRDefault="00D255B4" w:rsidP="00D255B4">
      <w:pPr>
        <w:ind w:left="720" w:hanging="720"/>
        <w:rPr>
          <w:rFonts w:cstheme="minorHAnsi"/>
          <w:snapToGrid w:val="0"/>
        </w:rPr>
      </w:pPr>
      <w:r w:rsidRPr="00881DF8">
        <w:rPr>
          <w:rFonts w:cstheme="minorHAnsi"/>
        </w:rPr>
        <w:t>CBD (2010a).</w:t>
      </w:r>
      <w:r w:rsidRPr="00881DF8">
        <w:rPr>
          <w:rFonts w:cstheme="minorHAnsi"/>
          <w:snapToGrid w:val="0"/>
        </w:rPr>
        <w:t xml:space="preserve"> </w:t>
      </w:r>
      <w:r w:rsidRPr="00881DF8">
        <w:rPr>
          <w:rFonts w:cstheme="minorHAnsi"/>
        </w:rPr>
        <w:t xml:space="preserve">The Strategic Plan for Biodiversity 2011-2020 and the Aichi Biodiversity Targets. Decision UNEP/CBD/COP/DEC/X/2.  </w:t>
      </w:r>
      <w:r w:rsidRPr="00881DF8">
        <w:rPr>
          <w:rFonts w:cstheme="minorHAnsi"/>
          <w:snapToGrid w:val="0"/>
        </w:rPr>
        <w:t xml:space="preserve">Available online: </w:t>
      </w:r>
      <w:hyperlink r:id="rId23" w:history="1">
        <w:r w:rsidRPr="00881DF8">
          <w:rPr>
            <w:rStyle w:val="Hyperlink"/>
            <w:rFonts w:cstheme="minorHAnsi"/>
            <w:snapToGrid w:val="0"/>
            <w:kern w:val="20"/>
          </w:rPr>
          <w:t>https://bit.ly/2Z8a2pu</w:t>
        </w:r>
      </w:hyperlink>
      <w:r w:rsidRPr="00881DF8">
        <w:rPr>
          <w:rFonts w:cstheme="minorHAnsi"/>
          <w:snapToGrid w:val="0"/>
        </w:rPr>
        <w:t xml:space="preserve"> </w:t>
      </w:r>
    </w:p>
    <w:p w14:paraId="705C56BF" w14:textId="77777777" w:rsidR="00D255B4" w:rsidRPr="00881DF8" w:rsidRDefault="00D255B4" w:rsidP="00D255B4">
      <w:pPr>
        <w:ind w:left="720" w:hanging="720"/>
        <w:rPr>
          <w:rFonts w:cstheme="minorHAnsi"/>
        </w:rPr>
      </w:pPr>
      <w:r w:rsidRPr="00881DF8">
        <w:rPr>
          <w:rFonts w:cstheme="minorHAnsi"/>
        </w:rPr>
        <w:t xml:space="preserve">CBD (2010b). Strategy for resource mobilization in support of the achievement of the Convention’s three objectives. Decision UNEP/CBD/COP/DEC/X/3. Available online: </w:t>
      </w:r>
      <w:hyperlink r:id="rId24" w:history="1">
        <w:r w:rsidRPr="00881DF8">
          <w:rPr>
            <w:rStyle w:val="Hyperlink"/>
            <w:rFonts w:cstheme="minorHAnsi"/>
          </w:rPr>
          <w:t>https://bit.ly/2Zhidjd</w:t>
        </w:r>
      </w:hyperlink>
      <w:r w:rsidRPr="00881DF8">
        <w:rPr>
          <w:rFonts w:cstheme="minorHAnsi"/>
        </w:rPr>
        <w:t xml:space="preserve"> </w:t>
      </w:r>
    </w:p>
    <w:p w14:paraId="2178DFB0" w14:textId="77777777" w:rsidR="00D255B4" w:rsidRPr="00881DF8" w:rsidRDefault="00D255B4" w:rsidP="00D255B4">
      <w:pPr>
        <w:ind w:left="720" w:hanging="720"/>
        <w:jc w:val="both"/>
        <w:rPr>
          <w:rFonts w:cstheme="minorHAnsi"/>
        </w:rPr>
      </w:pPr>
      <w:r w:rsidRPr="00881DF8">
        <w:rPr>
          <w:rFonts w:cstheme="minorHAnsi"/>
        </w:rPr>
        <w:t xml:space="preserve">CBD (2011). Incentive measures for conservation and sustainable use of biological diversity. CBD Technical Series No. 56. Available online: </w:t>
      </w:r>
      <w:hyperlink r:id="rId25" w:history="1">
        <w:r w:rsidRPr="00881DF8">
          <w:rPr>
            <w:rStyle w:val="Hyperlink"/>
            <w:rFonts w:cstheme="minorHAnsi"/>
          </w:rPr>
          <w:t>https://bit.ly/2KTjAeL</w:t>
        </w:r>
      </w:hyperlink>
      <w:r w:rsidRPr="00881DF8">
        <w:rPr>
          <w:rFonts w:cstheme="minorHAnsi"/>
        </w:rPr>
        <w:t xml:space="preserve"> </w:t>
      </w:r>
    </w:p>
    <w:p w14:paraId="352A37FB" w14:textId="77777777" w:rsidR="00D255B4" w:rsidRPr="00881DF8" w:rsidRDefault="00D255B4" w:rsidP="00D255B4">
      <w:pPr>
        <w:ind w:left="720" w:hanging="720"/>
        <w:rPr>
          <w:rFonts w:cstheme="minorHAnsi"/>
          <w:snapToGrid w:val="0"/>
        </w:rPr>
      </w:pPr>
      <w:r w:rsidRPr="00881DF8">
        <w:rPr>
          <w:rFonts w:cstheme="minorHAnsi"/>
        </w:rPr>
        <w:t xml:space="preserve">CBD (2016). </w:t>
      </w:r>
      <w:r w:rsidRPr="00881DF8">
        <w:rPr>
          <w:rFonts w:cstheme="minorHAnsi"/>
          <w:snapToGrid w:val="0"/>
        </w:rPr>
        <w:t xml:space="preserve">Indicators for the Strategic Plan for Biodiversity 2011-2020 and the Aichi Biodiversity Targets. Decision CBD/COP/DEC/XIII/28. Available online: </w:t>
      </w:r>
      <w:hyperlink r:id="rId26" w:history="1">
        <w:r w:rsidRPr="00881DF8">
          <w:rPr>
            <w:rStyle w:val="Hyperlink"/>
            <w:rFonts w:cstheme="minorHAnsi"/>
            <w:snapToGrid w:val="0"/>
            <w:kern w:val="20"/>
          </w:rPr>
          <w:t>https://bit.ly/33GJvyW</w:t>
        </w:r>
      </w:hyperlink>
      <w:r w:rsidRPr="00881DF8">
        <w:rPr>
          <w:rFonts w:cstheme="minorHAnsi"/>
          <w:snapToGrid w:val="0"/>
        </w:rPr>
        <w:t xml:space="preserve"> </w:t>
      </w:r>
    </w:p>
    <w:p w14:paraId="2FB2783E" w14:textId="77777777" w:rsidR="00D255B4" w:rsidRPr="00881DF8" w:rsidRDefault="00D255B4" w:rsidP="00D255B4">
      <w:pPr>
        <w:ind w:left="720" w:hanging="720"/>
        <w:jc w:val="both"/>
        <w:rPr>
          <w:rFonts w:cstheme="minorHAnsi"/>
        </w:rPr>
      </w:pPr>
      <w:r w:rsidRPr="00881DF8">
        <w:rPr>
          <w:rFonts w:cstheme="minorHAnsi"/>
        </w:rPr>
        <w:t xml:space="preserve">CBD (2019). Economics, Trade and Incentive Measures. Accessed 18 August 2019. </w:t>
      </w:r>
      <w:hyperlink r:id="rId27" w:history="1">
        <w:r w:rsidRPr="00881DF8">
          <w:rPr>
            <w:rStyle w:val="Hyperlink"/>
            <w:rFonts w:cstheme="minorHAnsi"/>
          </w:rPr>
          <w:t>https://bit.ly/2z6Q7bO</w:t>
        </w:r>
      </w:hyperlink>
      <w:r w:rsidRPr="00881DF8">
        <w:rPr>
          <w:rFonts w:cstheme="minorHAnsi"/>
        </w:rPr>
        <w:t xml:space="preserve"> </w:t>
      </w:r>
    </w:p>
    <w:p w14:paraId="6CBBB71D" w14:textId="77777777" w:rsidR="00D255B4" w:rsidRPr="009268F8" w:rsidRDefault="00D255B4" w:rsidP="00D255B4">
      <w:pPr>
        <w:ind w:left="720" w:hanging="720"/>
        <w:rPr>
          <w:rFonts w:cstheme="minorHAnsi"/>
        </w:rPr>
      </w:pPr>
      <w:proofErr w:type="spellStart"/>
      <w:r w:rsidRPr="009268F8">
        <w:rPr>
          <w:rFonts w:cstheme="minorHAnsi"/>
        </w:rPr>
        <w:t>ChemClear</w:t>
      </w:r>
      <w:proofErr w:type="spellEnd"/>
      <w:r w:rsidRPr="009268F8">
        <w:rPr>
          <w:rFonts w:cstheme="minorHAnsi"/>
        </w:rPr>
        <w:t xml:space="preserve"> (2019). About Us. Accessed 31 August 2019. </w:t>
      </w:r>
      <w:hyperlink r:id="rId28" w:history="1">
        <w:r w:rsidRPr="009268F8">
          <w:rPr>
            <w:rStyle w:val="Hyperlink"/>
            <w:rFonts w:cstheme="minorHAnsi"/>
          </w:rPr>
          <w:t>http://bit.ly/2ZM3ttb</w:t>
        </w:r>
      </w:hyperlink>
      <w:r w:rsidRPr="009268F8">
        <w:rPr>
          <w:rFonts w:cstheme="minorHAnsi"/>
        </w:rPr>
        <w:t xml:space="preserve"> </w:t>
      </w:r>
    </w:p>
    <w:p w14:paraId="786CD682" w14:textId="77777777" w:rsidR="00D255B4" w:rsidRPr="00881DF8" w:rsidRDefault="00D255B4" w:rsidP="00D255B4">
      <w:pPr>
        <w:ind w:left="720" w:hanging="720"/>
        <w:rPr>
          <w:rFonts w:cstheme="minorHAnsi"/>
        </w:rPr>
      </w:pPr>
      <w:proofErr w:type="spellStart"/>
      <w:r w:rsidRPr="00881DF8">
        <w:rPr>
          <w:rFonts w:cstheme="minorHAnsi"/>
        </w:rPr>
        <w:t>Damania</w:t>
      </w:r>
      <w:proofErr w:type="spellEnd"/>
      <w:r w:rsidRPr="00881DF8">
        <w:rPr>
          <w:rFonts w:cstheme="minorHAnsi"/>
        </w:rPr>
        <w:t xml:space="preserve">, R., </w:t>
      </w:r>
      <w:proofErr w:type="spellStart"/>
      <w:r w:rsidRPr="00881DF8">
        <w:rPr>
          <w:rFonts w:cstheme="minorHAnsi"/>
        </w:rPr>
        <w:t>Desbureaux</w:t>
      </w:r>
      <w:proofErr w:type="spellEnd"/>
      <w:r w:rsidRPr="00881DF8">
        <w:rPr>
          <w:rFonts w:cstheme="minorHAnsi"/>
        </w:rPr>
        <w:t xml:space="preserve">, S., Rodella, A-S., Russ, J. &amp; Zaveri, E. (2019). Quality Unknown: The Invisible Water Crisis. Washington, DC: World Bank. Available online: </w:t>
      </w:r>
      <w:hyperlink r:id="rId29" w:history="1">
        <w:r w:rsidRPr="00881DF8">
          <w:rPr>
            <w:rStyle w:val="Hyperlink"/>
            <w:rFonts w:cstheme="minorHAnsi"/>
          </w:rPr>
          <w:t>http://bit.ly/2zuM7lJ</w:t>
        </w:r>
      </w:hyperlink>
      <w:r w:rsidRPr="00881DF8">
        <w:rPr>
          <w:rFonts w:cstheme="minorHAnsi"/>
        </w:rPr>
        <w:t xml:space="preserve"> </w:t>
      </w:r>
    </w:p>
    <w:p w14:paraId="026E268D" w14:textId="77777777" w:rsidR="00D255B4" w:rsidRPr="009268F8" w:rsidRDefault="00D255B4" w:rsidP="00D255B4">
      <w:pPr>
        <w:ind w:left="720" w:hanging="720"/>
        <w:rPr>
          <w:rFonts w:cstheme="minorHAnsi"/>
        </w:rPr>
      </w:pPr>
      <w:proofErr w:type="spellStart"/>
      <w:r w:rsidRPr="009268F8">
        <w:rPr>
          <w:rFonts w:cstheme="minorHAnsi"/>
        </w:rPr>
        <w:t>DrumMUSTER</w:t>
      </w:r>
      <w:proofErr w:type="spellEnd"/>
      <w:r w:rsidRPr="009268F8">
        <w:rPr>
          <w:rFonts w:cstheme="minorHAnsi"/>
        </w:rPr>
        <w:t xml:space="preserve"> (2019). Our Story. Accessed 31 August 2019.</w:t>
      </w:r>
      <w:r w:rsidRPr="00881DF8">
        <w:rPr>
          <w:rFonts w:cstheme="minorHAnsi"/>
        </w:rPr>
        <w:t xml:space="preserve"> </w:t>
      </w:r>
      <w:hyperlink r:id="rId30" w:history="1">
        <w:r w:rsidRPr="009268F8">
          <w:rPr>
            <w:rStyle w:val="Hyperlink"/>
            <w:rFonts w:cstheme="minorHAnsi"/>
          </w:rPr>
          <w:t>http://bit.ly/2LepNU7</w:t>
        </w:r>
      </w:hyperlink>
      <w:r w:rsidRPr="009268F8">
        <w:rPr>
          <w:rFonts w:cstheme="minorHAnsi"/>
        </w:rPr>
        <w:t xml:space="preserve"> </w:t>
      </w:r>
    </w:p>
    <w:p w14:paraId="56C9A34C" w14:textId="77777777" w:rsidR="00D255B4" w:rsidRPr="00881DF8" w:rsidRDefault="00D255B4" w:rsidP="00D255B4">
      <w:pPr>
        <w:ind w:left="720" w:hanging="720"/>
        <w:rPr>
          <w:rFonts w:cstheme="minorHAnsi"/>
        </w:rPr>
      </w:pPr>
      <w:r w:rsidRPr="00881DF8">
        <w:rPr>
          <w:rFonts w:cstheme="minorHAnsi"/>
        </w:rPr>
        <w:t xml:space="preserve">EC (2018a). Commission working document accompanying the document (1/7): Communication from the commission to the European Parliament, the Council and the European Economic and Social Committee. Commission General Report on the operation of REACH and review of certain elements. Conclusions and Actions. SWD (2018) 58 final. Available online: </w:t>
      </w:r>
      <w:hyperlink r:id="rId31" w:history="1">
        <w:r w:rsidRPr="00881DF8">
          <w:rPr>
            <w:rStyle w:val="Hyperlink"/>
            <w:rFonts w:cstheme="minorHAnsi"/>
          </w:rPr>
          <w:t>http://bit.ly/2Hwt3b5</w:t>
        </w:r>
      </w:hyperlink>
      <w:r w:rsidRPr="00881DF8">
        <w:rPr>
          <w:rFonts w:cstheme="minorHAnsi"/>
        </w:rPr>
        <w:t xml:space="preserve"> </w:t>
      </w:r>
    </w:p>
    <w:p w14:paraId="108A7DAC" w14:textId="77777777" w:rsidR="00D255B4" w:rsidRPr="00881DF8" w:rsidRDefault="00D255B4" w:rsidP="00D255B4">
      <w:pPr>
        <w:ind w:left="720" w:hanging="720"/>
        <w:rPr>
          <w:rFonts w:cstheme="minorHAnsi"/>
        </w:rPr>
      </w:pPr>
      <w:r w:rsidRPr="00881DF8">
        <w:rPr>
          <w:rFonts w:cstheme="minorHAnsi"/>
        </w:rPr>
        <w:t xml:space="preserve">EC (2018b). Communication from the commission to the European Parliament, the Council and the European Economic and Social Committee. Commission General Report on the operation of REACH and review of certain elements. Conclusions and Actions. SWD (2018) 58 final. Available online: </w:t>
      </w:r>
      <w:hyperlink r:id="rId32" w:history="1">
        <w:r w:rsidRPr="00881DF8">
          <w:rPr>
            <w:rStyle w:val="Hyperlink"/>
            <w:rFonts w:cstheme="minorHAnsi"/>
          </w:rPr>
          <w:t>http://bit.ly/2NEozmw</w:t>
        </w:r>
      </w:hyperlink>
      <w:r w:rsidRPr="00881DF8">
        <w:rPr>
          <w:rFonts w:cstheme="minorHAnsi"/>
        </w:rPr>
        <w:t xml:space="preserve"> </w:t>
      </w:r>
    </w:p>
    <w:p w14:paraId="2C03D88C" w14:textId="77777777" w:rsidR="00D255B4" w:rsidRPr="00881DF8" w:rsidRDefault="00D255B4" w:rsidP="00D255B4">
      <w:pPr>
        <w:ind w:left="720" w:hanging="720"/>
        <w:rPr>
          <w:rFonts w:cstheme="minorHAnsi"/>
        </w:rPr>
      </w:pPr>
      <w:r w:rsidRPr="00881DF8">
        <w:rPr>
          <w:rFonts w:cstheme="minorHAnsi"/>
        </w:rPr>
        <w:t xml:space="preserve">EC (2018c). Communication from the commission to the European Parliament, the Council and the European Economic and Social Committee </w:t>
      </w:r>
      <w:proofErr w:type="gramStart"/>
      <w:r w:rsidRPr="00881DF8">
        <w:rPr>
          <w:rFonts w:cstheme="minorHAnsi"/>
        </w:rPr>
        <w:t>A</w:t>
      </w:r>
      <w:proofErr w:type="gramEnd"/>
      <w:r w:rsidRPr="00881DF8">
        <w:rPr>
          <w:rFonts w:cstheme="minorHAnsi"/>
        </w:rPr>
        <w:t xml:space="preserve"> European Strategy for Plastics in a Circular Economy. COM (2018) 28 final.  Available online: </w:t>
      </w:r>
      <w:hyperlink r:id="rId33" w:history="1">
        <w:r w:rsidRPr="00881DF8">
          <w:rPr>
            <w:rStyle w:val="Hyperlink"/>
            <w:rFonts w:cstheme="minorHAnsi"/>
          </w:rPr>
          <w:t>http://bit.ly/2MQkf3V</w:t>
        </w:r>
      </w:hyperlink>
      <w:r w:rsidRPr="00881DF8">
        <w:rPr>
          <w:rFonts w:cstheme="minorHAnsi"/>
        </w:rPr>
        <w:t xml:space="preserve"> </w:t>
      </w:r>
    </w:p>
    <w:p w14:paraId="2A973B04" w14:textId="77777777" w:rsidR="00D255B4" w:rsidRPr="00881DF8" w:rsidRDefault="00D255B4" w:rsidP="00D255B4">
      <w:pPr>
        <w:ind w:left="720" w:hanging="720"/>
        <w:rPr>
          <w:rFonts w:cstheme="minorHAnsi"/>
          <w:shd w:val="clear" w:color="auto" w:fill="FFFFFF"/>
        </w:rPr>
      </w:pPr>
      <w:r w:rsidRPr="00881DF8">
        <w:rPr>
          <w:rFonts w:cstheme="minorHAnsi"/>
        </w:rPr>
        <w:t xml:space="preserve">EC (2018d). </w:t>
      </w:r>
      <w:r w:rsidRPr="00881DF8">
        <w:rPr>
          <w:rFonts w:cstheme="minorHAnsi"/>
          <w:shd w:val="clear" w:color="auto" w:fill="FFFFFF"/>
        </w:rPr>
        <w:t xml:space="preserve">Single-use plastics: New EU rules to reduce marine litter. Press Release Database. Available online: </w:t>
      </w:r>
      <w:hyperlink r:id="rId34" w:history="1">
        <w:r w:rsidRPr="00881DF8">
          <w:rPr>
            <w:rStyle w:val="Hyperlink"/>
            <w:rFonts w:cstheme="minorHAnsi"/>
            <w:shd w:val="clear" w:color="auto" w:fill="FFFFFF"/>
          </w:rPr>
          <w:t>http://bit.ly/2ZHoLnp</w:t>
        </w:r>
      </w:hyperlink>
      <w:r w:rsidRPr="00881DF8">
        <w:rPr>
          <w:rFonts w:cstheme="minorHAnsi"/>
          <w:shd w:val="clear" w:color="auto" w:fill="FFFFFF"/>
        </w:rPr>
        <w:t xml:space="preserve"> </w:t>
      </w:r>
    </w:p>
    <w:p w14:paraId="06BFDF39" w14:textId="77777777" w:rsidR="00D255B4" w:rsidRPr="00881DF8" w:rsidRDefault="00D255B4" w:rsidP="00D255B4">
      <w:pPr>
        <w:ind w:left="720" w:hanging="720"/>
        <w:rPr>
          <w:rFonts w:cstheme="minorHAnsi"/>
        </w:rPr>
      </w:pPr>
      <w:r w:rsidRPr="00881DF8">
        <w:rPr>
          <w:rFonts w:cstheme="minorHAnsi"/>
        </w:rPr>
        <w:lastRenderedPageBreak/>
        <w:t xml:space="preserve">EC (2019). Taxes in the field of aviation and their impact. Final report. Available online: </w:t>
      </w:r>
      <w:hyperlink r:id="rId35" w:history="1">
        <w:r w:rsidRPr="00881DF8">
          <w:rPr>
            <w:rStyle w:val="Hyperlink"/>
            <w:rFonts w:cstheme="minorHAnsi"/>
          </w:rPr>
          <w:t>https://bit.ly/2ZijJ5m</w:t>
        </w:r>
      </w:hyperlink>
    </w:p>
    <w:p w14:paraId="09E34E39" w14:textId="77777777" w:rsidR="00D255B4" w:rsidRDefault="00D255B4" w:rsidP="00D255B4">
      <w:pPr>
        <w:ind w:left="720" w:hanging="720"/>
        <w:rPr>
          <w:rFonts w:cstheme="minorHAnsi"/>
        </w:rPr>
      </w:pPr>
      <w:r w:rsidRPr="00881DF8">
        <w:rPr>
          <w:rFonts w:cstheme="minorHAnsi"/>
        </w:rPr>
        <w:t xml:space="preserve">EU (2019). Directive of the European Parliament and the Council on the reduction of the impact of certain plastics products on the environment. 2018/0172 (COD) LEX 1930. Available online: </w:t>
      </w:r>
      <w:hyperlink r:id="rId36" w:history="1">
        <w:r w:rsidRPr="00881DF8">
          <w:rPr>
            <w:rStyle w:val="Hyperlink"/>
            <w:rFonts w:cstheme="minorHAnsi"/>
          </w:rPr>
          <w:t>http://bit.ly/34fvgkZ</w:t>
        </w:r>
      </w:hyperlink>
      <w:r w:rsidRPr="00881DF8">
        <w:rPr>
          <w:rFonts w:cstheme="minorHAnsi"/>
        </w:rPr>
        <w:t xml:space="preserve"> </w:t>
      </w:r>
    </w:p>
    <w:p w14:paraId="703CA33E" w14:textId="77777777" w:rsidR="00D255B4" w:rsidRPr="00881DF8" w:rsidRDefault="00D255B4" w:rsidP="00D255B4">
      <w:pPr>
        <w:ind w:left="720" w:hanging="720"/>
        <w:rPr>
          <w:rFonts w:cstheme="minorHAnsi"/>
        </w:rPr>
      </w:pPr>
      <w:proofErr w:type="spellStart"/>
      <w:r w:rsidRPr="00881DF8">
        <w:rPr>
          <w:rFonts w:cstheme="minorHAnsi"/>
        </w:rPr>
        <w:t>Falcão</w:t>
      </w:r>
      <w:proofErr w:type="spellEnd"/>
      <w:r w:rsidRPr="00881DF8">
        <w:rPr>
          <w:rFonts w:cstheme="minorHAnsi"/>
        </w:rPr>
        <w:t xml:space="preserve">, T. (2016). A proposition for a multilateral carbon tax treaty. Doctoral dissertation, Vienna University of Business and Economics, 2016 (IBFD publication, forthcoming). Retrieved from </w:t>
      </w:r>
      <w:hyperlink r:id="rId37" w:history="1">
        <w:r w:rsidRPr="00881DF8">
          <w:rPr>
            <w:rStyle w:val="Hyperlink"/>
            <w:rFonts w:cstheme="minorHAnsi"/>
          </w:rPr>
          <w:t>http://permalink.obvsg.at/wuw/AC13710313</w:t>
        </w:r>
      </w:hyperlink>
    </w:p>
    <w:p w14:paraId="614F66C0" w14:textId="77777777" w:rsidR="00D255B4" w:rsidRPr="00881DF8" w:rsidRDefault="00D255B4" w:rsidP="00D255B4">
      <w:pPr>
        <w:ind w:left="720" w:hanging="720"/>
        <w:rPr>
          <w:rFonts w:cstheme="minorHAnsi"/>
        </w:rPr>
      </w:pPr>
      <w:r w:rsidRPr="00881DF8">
        <w:rPr>
          <w:rFonts w:cstheme="minorHAnsi"/>
        </w:rPr>
        <w:t xml:space="preserve">Financial tribune (2017). </w:t>
      </w:r>
      <w:r w:rsidRPr="00881DF8">
        <w:rPr>
          <w:rFonts w:cstheme="minorHAnsi"/>
          <w:shd w:val="clear" w:color="auto" w:fill="FFFFFF"/>
        </w:rPr>
        <w:t>Call for Spending Pollution Tax on Iran's Environment Issues.</w:t>
      </w:r>
      <w:r w:rsidRPr="00881DF8">
        <w:rPr>
          <w:rFonts w:cstheme="minorHAnsi"/>
          <w:b/>
          <w:bCs/>
          <w:shd w:val="clear" w:color="auto" w:fill="FFFFFF"/>
        </w:rPr>
        <w:t xml:space="preserve"> </w:t>
      </w:r>
      <w:r w:rsidRPr="00881DF8">
        <w:rPr>
          <w:rFonts w:cstheme="minorHAnsi"/>
        </w:rPr>
        <w:t xml:space="preserve">Accessed 12 August 2019. </w:t>
      </w:r>
      <w:hyperlink r:id="rId38" w:history="1">
        <w:r w:rsidRPr="00881DF8">
          <w:rPr>
            <w:rStyle w:val="Hyperlink"/>
            <w:rFonts w:cstheme="minorHAnsi"/>
          </w:rPr>
          <w:t>http://bit.ly/2H1B5Zs</w:t>
        </w:r>
      </w:hyperlink>
    </w:p>
    <w:p w14:paraId="3E25BCE0" w14:textId="77777777" w:rsidR="00D255B4" w:rsidRPr="00881DF8" w:rsidRDefault="00D255B4" w:rsidP="00D255B4">
      <w:pPr>
        <w:ind w:left="720" w:hanging="720"/>
        <w:rPr>
          <w:rFonts w:cstheme="minorHAnsi"/>
        </w:rPr>
      </w:pPr>
      <w:r w:rsidRPr="00881DF8">
        <w:rPr>
          <w:rFonts w:cstheme="minorHAnsi"/>
        </w:rPr>
        <w:t xml:space="preserve">Finger, R., </w:t>
      </w:r>
      <w:proofErr w:type="spellStart"/>
      <w:r w:rsidRPr="00881DF8">
        <w:rPr>
          <w:rFonts w:cstheme="minorHAnsi"/>
        </w:rPr>
        <w:t>Möhring</w:t>
      </w:r>
      <w:proofErr w:type="spellEnd"/>
      <w:r w:rsidRPr="00881DF8">
        <w:rPr>
          <w:rFonts w:cstheme="minorHAnsi"/>
        </w:rPr>
        <w:t xml:space="preserve">, M., </w:t>
      </w:r>
      <w:proofErr w:type="spellStart"/>
      <w:r w:rsidRPr="00881DF8">
        <w:rPr>
          <w:rFonts w:cstheme="minorHAnsi"/>
        </w:rPr>
        <w:t>Dalhaus</w:t>
      </w:r>
      <w:proofErr w:type="spellEnd"/>
      <w:r w:rsidRPr="00881DF8">
        <w:rPr>
          <w:rFonts w:cstheme="minorHAnsi"/>
        </w:rPr>
        <w:t xml:space="preserve">, T. &amp; </w:t>
      </w:r>
      <w:proofErr w:type="spellStart"/>
      <w:r w:rsidRPr="00881DF8">
        <w:rPr>
          <w:rFonts w:cstheme="minorHAnsi"/>
        </w:rPr>
        <w:t>Böcker</w:t>
      </w:r>
      <w:proofErr w:type="spellEnd"/>
      <w:r w:rsidRPr="00881DF8">
        <w:rPr>
          <w:rFonts w:cstheme="minorHAnsi"/>
        </w:rPr>
        <w:t>, T. (2017). Revisiting Pesticide Taxation Schemes. Ecological Economics 134: 263-266</w:t>
      </w:r>
    </w:p>
    <w:p w14:paraId="48CBB125" w14:textId="77777777" w:rsidR="00D255B4" w:rsidRPr="009268F8" w:rsidRDefault="00D255B4" w:rsidP="00D255B4">
      <w:pPr>
        <w:ind w:left="720" w:hanging="720"/>
        <w:rPr>
          <w:rFonts w:cstheme="minorHAnsi"/>
        </w:rPr>
      </w:pPr>
      <w:r w:rsidRPr="009268F8">
        <w:rPr>
          <w:rFonts w:cstheme="minorHAnsi"/>
        </w:rPr>
        <w:t xml:space="preserve">Gu, Y. F., Wu, Y. F., Xu, M., Wang, H. D. &amp; </w:t>
      </w:r>
      <w:proofErr w:type="spellStart"/>
      <w:r w:rsidRPr="009268F8">
        <w:rPr>
          <w:rFonts w:cstheme="minorHAnsi"/>
        </w:rPr>
        <w:t>Zuo</w:t>
      </w:r>
      <w:proofErr w:type="spellEnd"/>
      <w:r w:rsidRPr="009268F8">
        <w:rPr>
          <w:rFonts w:cstheme="minorHAnsi"/>
        </w:rPr>
        <w:t xml:space="preserve">, T. Y. (2017). To realize better extended producer responsibility: Redesign of WEEE fund mode in China. J. Clean Prod </w:t>
      </w:r>
      <w:proofErr w:type="gramStart"/>
      <w:r w:rsidRPr="009268F8">
        <w:rPr>
          <w:rFonts w:cstheme="minorHAnsi"/>
        </w:rPr>
        <w:t>164 :</w:t>
      </w:r>
      <w:proofErr w:type="gramEnd"/>
      <w:r w:rsidRPr="009268F8">
        <w:rPr>
          <w:rFonts w:cstheme="minorHAnsi"/>
        </w:rPr>
        <w:t xml:space="preserve"> 347–356.</w:t>
      </w:r>
    </w:p>
    <w:p w14:paraId="4957B521" w14:textId="77777777" w:rsidR="00D255B4" w:rsidRPr="009268F8" w:rsidRDefault="00D255B4" w:rsidP="00D255B4">
      <w:pPr>
        <w:ind w:left="720" w:hanging="720"/>
        <w:rPr>
          <w:rFonts w:cstheme="minorHAnsi"/>
          <w:lang w:val="fr-CH"/>
        </w:rPr>
      </w:pPr>
      <w:r w:rsidRPr="00881DF8">
        <w:rPr>
          <w:rFonts w:cstheme="minorHAnsi"/>
        </w:rPr>
        <w:t xml:space="preserve">Gulati, A. &amp; Banerjee, P. (2015). Rationalizing Fertilizer Subsidy in India: Key Issues and Policy Options. Working Paper 307, Indian Council for Research on International Economic Relations. </w:t>
      </w:r>
      <w:proofErr w:type="spellStart"/>
      <w:r w:rsidRPr="009268F8">
        <w:rPr>
          <w:rFonts w:cstheme="minorHAnsi"/>
          <w:lang w:val="fr-CH"/>
        </w:rPr>
        <w:t>Available</w:t>
      </w:r>
      <w:proofErr w:type="spellEnd"/>
      <w:r w:rsidRPr="009268F8">
        <w:rPr>
          <w:rFonts w:cstheme="minorHAnsi"/>
          <w:lang w:val="fr-CH"/>
        </w:rPr>
        <w:t xml:space="preserve"> </w:t>
      </w:r>
      <w:proofErr w:type="gramStart"/>
      <w:r w:rsidRPr="009268F8">
        <w:rPr>
          <w:rFonts w:cstheme="minorHAnsi"/>
          <w:lang w:val="fr-CH"/>
        </w:rPr>
        <w:t>online:</w:t>
      </w:r>
      <w:proofErr w:type="gramEnd"/>
      <w:r w:rsidRPr="009268F8">
        <w:rPr>
          <w:rFonts w:cstheme="minorHAnsi"/>
          <w:lang w:val="fr-CH"/>
        </w:rPr>
        <w:t xml:space="preserve"> </w:t>
      </w:r>
      <w:hyperlink r:id="rId39" w:history="1">
        <w:r w:rsidRPr="009268F8">
          <w:rPr>
            <w:rStyle w:val="Hyperlink"/>
            <w:rFonts w:cstheme="minorHAnsi"/>
            <w:lang w:val="fr-CH"/>
          </w:rPr>
          <w:t>http://bit.ly/2NFAu3C</w:t>
        </w:r>
      </w:hyperlink>
      <w:r w:rsidRPr="009268F8">
        <w:rPr>
          <w:rFonts w:cstheme="minorHAnsi"/>
          <w:lang w:val="fr-CH"/>
        </w:rPr>
        <w:t xml:space="preserve"> </w:t>
      </w:r>
    </w:p>
    <w:p w14:paraId="44CC80EA" w14:textId="77777777" w:rsidR="00D255B4" w:rsidRPr="00881DF8" w:rsidRDefault="00D255B4" w:rsidP="00D255B4">
      <w:pPr>
        <w:ind w:left="720" w:hanging="720"/>
        <w:rPr>
          <w:rFonts w:cstheme="minorHAnsi"/>
        </w:rPr>
      </w:pPr>
      <w:proofErr w:type="spellStart"/>
      <w:r w:rsidRPr="009268F8">
        <w:rPr>
          <w:rFonts w:cstheme="minorHAnsi"/>
          <w:lang w:val="fr-CH"/>
        </w:rPr>
        <w:t>Harchegani</w:t>
      </w:r>
      <w:proofErr w:type="spellEnd"/>
      <w:r w:rsidRPr="009268F8">
        <w:rPr>
          <w:rFonts w:cstheme="minorHAnsi"/>
          <w:lang w:val="fr-CH"/>
        </w:rPr>
        <w:t xml:space="preserve">, M. A. T. &amp; </w:t>
      </w:r>
      <w:proofErr w:type="spellStart"/>
      <w:r w:rsidRPr="009268F8">
        <w:rPr>
          <w:rFonts w:cstheme="minorHAnsi"/>
          <w:lang w:val="fr-CH"/>
        </w:rPr>
        <w:t>Dahmardeh</w:t>
      </w:r>
      <w:proofErr w:type="spellEnd"/>
      <w:r w:rsidRPr="009268F8">
        <w:rPr>
          <w:rFonts w:cstheme="minorHAnsi"/>
          <w:lang w:val="fr-CH"/>
        </w:rPr>
        <w:t xml:space="preserve">, N. (2017). </w:t>
      </w:r>
      <w:r w:rsidRPr="00881DF8">
        <w:rPr>
          <w:rFonts w:cstheme="minorHAnsi"/>
        </w:rPr>
        <w:t xml:space="preserve">Investigating the effect of the green tax on Iran’s health sector: A general equilibrium approach. Iranian Journal of Economic Studies 6: 251-270. Available online: </w:t>
      </w:r>
      <w:hyperlink r:id="rId40" w:history="1">
        <w:r w:rsidRPr="00881DF8">
          <w:rPr>
            <w:rStyle w:val="Hyperlink"/>
            <w:rFonts w:cstheme="minorHAnsi"/>
          </w:rPr>
          <w:t>http://bit.ly/2ZWB2W6</w:t>
        </w:r>
      </w:hyperlink>
      <w:r w:rsidRPr="00881DF8">
        <w:rPr>
          <w:rFonts w:cstheme="minorHAnsi"/>
        </w:rPr>
        <w:t xml:space="preserve"> </w:t>
      </w:r>
    </w:p>
    <w:p w14:paraId="747A673F" w14:textId="77777777" w:rsidR="00D255B4" w:rsidRPr="00881DF8" w:rsidRDefault="00D255B4" w:rsidP="00D255B4">
      <w:pPr>
        <w:ind w:left="720" w:hanging="720"/>
        <w:rPr>
          <w:rFonts w:cstheme="minorHAnsi"/>
        </w:rPr>
      </w:pPr>
      <w:proofErr w:type="spellStart"/>
      <w:r w:rsidRPr="00881DF8">
        <w:rPr>
          <w:rFonts w:cstheme="minorHAnsi"/>
        </w:rPr>
        <w:t>Honkonen</w:t>
      </w:r>
      <w:proofErr w:type="spellEnd"/>
      <w:r w:rsidRPr="00881DF8">
        <w:rPr>
          <w:rFonts w:cstheme="minorHAnsi"/>
        </w:rPr>
        <w:t xml:space="preserve">, T. &amp; Khan, S. (2017). Chemicals and waste Governance Beyond 2020: Exploring Pathways for a Coherent Global Regime. Nordic Council of Ministers, Copenhagen, Denmark. Available online: </w:t>
      </w:r>
      <w:hyperlink r:id="rId41" w:history="1">
        <w:r w:rsidRPr="00881DF8">
          <w:rPr>
            <w:rStyle w:val="Hyperlink"/>
            <w:rFonts w:cstheme="minorHAnsi"/>
          </w:rPr>
          <w:t>http://bit.ly/2NHFXXD</w:t>
        </w:r>
      </w:hyperlink>
      <w:r w:rsidRPr="00881DF8">
        <w:rPr>
          <w:rFonts w:cstheme="minorHAnsi"/>
        </w:rPr>
        <w:t xml:space="preserve"> </w:t>
      </w:r>
    </w:p>
    <w:p w14:paraId="16D7DEB7" w14:textId="77777777" w:rsidR="00D255B4" w:rsidRPr="00881DF8" w:rsidRDefault="00D255B4" w:rsidP="00D255B4">
      <w:pPr>
        <w:ind w:left="720" w:hanging="720"/>
        <w:rPr>
          <w:rFonts w:cstheme="minorHAnsi"/>
        </w:rPr>
      </w:pPr>
      <w:r w:rsidRPr="00881DF8">
        <w:rPr>
          <w:rFonts w:cstheme="minorHAnsi"/>
        </w:rPr>
        <w:t xml:space="preserve">IPEN (2017). Beyond 2020: Financing chemical safety. Available online: </w:t>
      </w:r>
      <w:hyperlink r:id="rId42" w:history="1">
        <w:r w:rsidRPr="00881DF8">
          <w:rPr>
            <w:rStyle w:val="Hyperlink"/>
            <w:rFonts w:cstheme="minorHAnsi"/>
          </w:rPr>
          <w:t>http://bit.ly/2Ktw9hX</w:t>
        </w:r>
      </w:hyperlink>
      <w:r w:rsidRPr="00881DF8">
        <w:rPr>
          <w:rFonts w:cstheme="minorHAnsi"/>
        </w:rPr>
        <w:t xml:space="preserve"> </w:t>
      </w:r>
    </w:p>
    <w:p w14:paraId="7287CBA6" w14:textId="77777777" w:rsidR="00D255B4" w:rsidRPr="009268F8" w:rsidRDefault="00D255B4" w:rsidP="00D255B4">
      <w:pPr>
        <w:ind w:left="720" w:hanging="720"/>
        <w:rPr>
          <w:rFonts w:cstheme="minorHAnsi"/>
        </w:rPr>
      </w:pPr>
      <w:proofErr w:type="spellStart"/>
      <w:r w:rsidRPr="00881DF8">
        <w:rPr>
          <w:rFonts w:cstheme="minorHAnsi"/>
        </w:rPr>
        <w:t>KemI</w:t>
      </w:r>
      <w:proofErr w:type="spellEnd"/>
      <w:r w:rsidRPr="00881DF8">
        <w:rPr>
          <w:rFonts w:cstheme="minorHAnsi"/>
        </w:rPr>
        <w:t xml:space="preserve"> (2018). Guidance on national chemicals control: Sustainable financing of institutional capacity for chemicals control. Guidance 1/19. </w:t>
      </w:r>
      <w:proofErr w:type="spellStart"/>
      <w:r w:rsidRPr="00881DF8">
        <w:rPr>
          <w:rFonts w:cstheme="minorHAnsi"/>
        </w:rPr>
        <w:t>Kemikalieinspektionen</w:t>
      </w:r>
      <w:proofErr w:type="spellEnd"/>
      <w:r w:rsidRPr="00881DF8">
        <w:rPr>
          <w:rFonts w:cstheme="minorHAnsi"/>
        </w:rPr>
        <w:t xml:space="preserve">. Available online: </w:t>
      </w:r>
      <w:hyperlink r:id="rId43" w:history="1">
        <w:r w:rsidRPr="00881DF8">
          <w:rPr>
            <w:rStyle w:val="Hyperlink"/>
            <w:rFonts w:cstheme="minorHAnsi"/>
          </w:rPr>
          <w:t>http://bit.ly/34j921h</w:t>
        </w:r>
      </w:hyperlink>
      <w:r w:rsidRPr="00881DF8">
        <w:rPr>
          <w:rFonts w:cstheme="minorHAnsi"/>
        </w:rPr>
        <w:t xml:space="preserve"> </w:t>
      </w:r>
    </w:p>
    <w:p w14:paraId="5E9C8FD8" w14:textId="77777777" w:rsidR="00D255B4" w:rsidRPr="00881DF8" w:rsidRDefault="00D255B4" w:rsidP="00D255B4">
      <w:pPr>
        <w:ind w:left="720" w:hanging="720"/>
        <w:rPr>
          <w:rFonts w:cstheme="minorHAnsi"/>
        </w:rPr>
      </w:pPr>
      <w:r w:rsidRPr="00881DF8">
        <w:rPr>
          <w:rFonts w:cstheme="minorHAnsi"/>
        </w:rPr>
        <w:t>Khan, M. R. (2015). Polluter-Pays-Principle: The Cardinal Instrument for Addressing Climate Change. Laws 4: 638–653</w:t>
      </w:r>
    </w:p>
    <w:p w14:paraId="37474B14" w14:textId="77777777" w:rsidR="00D255B4" w:rsidRPr="00881DF8" w:rsidRDefault="00D255B4" w:rsidP="00D255B4">
      <w:pPr>
        <w:ind w:left="720" w:hanging="720"/>
        <w:rPr>
          <w:rFonts w:cstheme="minorHAnsi"/>
        </w:rPr>
      </w:pPr>
      <w:proofErr w:type="spellStart"/>
      <w:r w:rsidRPr="00881DF8">
        <w:rPr>
          <w:rFonts w:cstheme="minorHAnsi"/>
        </w:rPr>
        <w:t>Kjäll</w:t>
      </w:r>
      <w:proofErr w:type="spellEnd"/>
      <w:r w:rsidRPr="00881DF8">
        <w:rPr>
          <w:rFonts w:cstheme="minorHAnsi"/>
        </w:rPr>
        <w:t xml:space="preserve">, K. (2012). </w:t>
      </w:r>
      <w:proofErr w:type="spellStart"/>
      <w:r w:rsidRPr="00881DF8">
        <w:rPr>
          <w:rFonts w:cstheme="minorHAnsi"/>
        </w:rPr>
        <w:t>Hur</w:t>
      </w:r>
      <w:proofErr w:type="spellEnd"/>
      <w:r w:rsidRPr="00881DF8">
        <w:rPr>
          <w:rFonts w:cstheme="minorHAnsi"/>
        </w:rPr>
        <w:t xml:space="preserve"> </w:t>
      </w:r>
      <w:proofErr w:type="spellStart"/>
      <w:r w:rsidRPr="00881DF8">
        <w:rPr>
          <w:rFonts w:cstheme="minorHAnsi"/>
        </w:rPr>
        <w:t>väl</w:t>
      </w:r>
      <w:proofErr w:type="spellEnd"/>
      <w:r w:rsidRPr="00881DF8">
        <w:rPr>
          <w:rFonts w:cstheme="minorHAnsi"/>
        </w:rPr>
        <w:t xml:space="preserve"> </w:t>
      </w:r>
      <w:proofErr w:type="spellStart"/>
      <w:r w:rsidRPr="00881DF8">
        <w:rPr>
          <w:rFonts w:cstheme="minorHAnsi"/>
        </w:rPr>
        <w:t>fungerar</w:t>
      </w:r>
      <w:proofErr w:type="spellEnd"/>
      <w:r w:rsidRPr="00881DF8">
        <w:rPr>
          <w:rFonts w:cstheme="minorHAnsi"/>
        </w:rPr>
        <w:t xml:space="preserve"> </w:t>
      </w:r>
      <w:proofErr w:type="spellStart"/>
      <w:r w:rsidRPr="00881DF8">
        <w:rPr>
          <w:rFonts w:cstheme="minorHAnsi"/>
        </w:rPr>
        <w:t>milijöskatter</w:t>
      </w:r>
      <w:proofErr w:type="spellEnd"/>
      <w:r w:rsidRPr="00881DF8">
        <w:rPr>
          <w:rFonts w:cstheme="minorHAnsi"/>
        </w:rPr>
        <w:t xml:space="preserve"> </w:t>
      </w:r>
      <w:proofErr w:type="spellStart"/>
      <w:r w:rsidRPr="00881DF8">
        <w:rPr>
          <w:rFonts w:cstheme="minorHAnsi"/>
        </w:rPr>
        <w:t>inom</w:t>
      </w:r>
      <w:proofErr w:type="spellEnd"/>
      <w:r w:rsidRPr="00881DF8">
        <w:rPr>
          <w:rFonts w:cstheme="minorHAnsi"/>
        </w:rPr>
        <w:t xml:space="preserve"> </w:t>
      </w:r>
      <w:proofErr w:type="spellStart"/>
      <w:r w:rsidRPr="00881DF8">
        <w:rPr>
          <w:rFonts w:cstheme="minorHAnsi"/>
        </w:rPr>
        <w:t>kemikalieområdet</w:t>
      </w:r>
      <w:proofErr w:type="spellEnd"/>
      <w:r w:rsidRPr="00881DF8">
        <w:rPr>
          <w:rFonts w:cstheme="minorHAnsi"/>
        </w:rPr>
        <w:t xml:space="preserve">? </w:t>
      </w:r>
      <w:proofErr w:type="spellStart"/>
      <w:r w:rsidRPr="00881DF8">
        <w:rPr>
          <w:rFonts w:cstheme="minorHAnsi"/>
        </w:rPr>
        <w:t>Effekter</w:t>
      </w:r>
      <w:proofErr w:type="spellEnd"/>
      <w:r w:rsidRPr="00881DF8">
        <w:rPr>
          <w:rFonts w:cstheme="minorHAnsi"/>
        </w:rPr>
        <w:t xml:space="preserve"> av </w:t>
      </w:r>
      <w:proofErr w:type="spellStart"/>
      <w:r w:rsidRPr="00881DF8">
        <w:rPr>
          <w:rFonts w:cstheme="minorHAnsi"/>
        </w:rPr>
        <w:t>milijöskatter</w:t>
      </w:r>
      <w:proofErr w:type="spellEnd"/>
      <w:r w:rsidRPr="00881DF8">
        <w:rPr>
          <w:rFonts w:cstheme="minorHAnsi"/>
        </w:rPr>
        <w:t xml:space="preserve"> </w:t>
      </w:r>
      <w:proofErr w:type="spellStart"/>
      <w:r w:rsidRPr="00881DF8">
        <w:rPr>
          <w:rFonts w:cstheme="minorHAnsi"/>
        </w:rPr>
        <w:t>på</w:t>
      </w:r>
      <w:proofErr w:type="spellEnd"/>
      <w:r w:rsidRPr="00881DF8">
        <w:rPr>
          <w:rFonts w:cstheme="minorHAnsi"/>
        </w:rPr>
        <w:t xml:space="preserve"> </w:t>
      </w:r>
      <w:proofErr w:type="spellStart"/>
      <w:r w:rsidRPr="00881DF8">
        <w:rPr>
          <w:rFonts w:cstheme="minorHAnsi"/>
        </w:rPr>
        <w:t>växtskydd</w:t>
      </w:r>
      <w:proofErr w:type="spellEnd"/>
      <w:r w:rsidRPr="00881DF8">
        <w:rPr>
          <w:rFonts w:cstheme="minorHAnsi"/>
        </w:rPr>
        <w:t xml:space="preserve"> </w:t>
      </w:r>
      <w:proofErr w:type="spellStart"/>
      <w:r w:rsidRPr="00881DF8">
        <w:rPr>
          <w:rFonts w:cstheme="minorHAnsi"/>
        </w:rPr>
        <w:t>och</w:t>
      </w:r>
      <w:proofErr w:type="spellEnd"/>
      <w:r w:rsidRPr="00881DF8">
        <w:rPr>
          <w:rFonts w:cstheme="minorHAnsi"/>
        </w:rPr>
        <w:t xml:space="preserve"> </w:t>
      </w:r>
      <w:proofErr w:type="spellStart"/>
      <w:r w:rsidRPr="00881DF8">
        <w:rPr>
          <w:rFonts w:cstheme="minorHAnsi"/>
        </w:rPr>
        <w:t>klorerade</w:t>
      </w:r>
      <w:proofErr w:type="spellEnd"/>
      <w:r w:rsidRPr="00881DF8">
        <w:rPr>
          <w:rFonts w:cstheme="minorHAnsi"/>
        </w:rPr>
        <w:t xml:space="preserve"> </w:t>
      </w:r>
      <w:proofErr w:type="spellStart"/>
      <w:r w:rsidRPr="00881DF8">
        <w:rPr>
          <w:rFonts w:cstheme="minorHAnsi"/>
        </w:rPr>
        <w:t>lösningsmedel</w:t>
      </w:r>
      <w:proofErr w:type="spellEnd"/>
      <w:r w:rsidRPr="00881DF8">
        <w:rPr>
          <w:rFonts w:cstheme="minorHAnsi"/>
        </w:rPr>
        <w:t xml:space="preserve"> </w:t>
      </w:r>
      <w:proofErr w:type="spellStart"/>
      <w:r w:rsidRPr="00881DF8">
        <w:rPr>
          <w:rFonts w:cstheme="minorHAnsi"/>
        </w:rPr>
        <w:t>i</w:t>
      </w:r>
      <w:proofErr w:type="spellEnd"/>
      <w:r w:rsidRPr="00881DF8">
        <w:rPr>
          <w:rFonts w:cstheme="minorHAnsi"/>
        </w:rPr>
        <w:t xml:space="preserve"> Sverige, </w:t>
      </w:r>
      <w:proofErr w:type="spellStart"/>
      <w:r w:rsidRPr="00881DF8">
        <w:rPr>
          <w:rFonts w:cstheme="minorHAnsi"/>
        </w:rPr>
        <w:t>Danmark</w:t>
      </w:r>
      <w:proofErr w:type="spellEnd"/>
      <w:r w:rsidRPr="00881DF8">
        <w:rPr>
          <w:rFonts w:cstheme="minorHAnsi"/>
        </w:rPr>
        <w:t xml:space="preserve">, Norge </w:t>
      </w:r>
      <w:proofErr w:type="spellStart"/>
      <w:r w:rsidRPr="00881DF8">
        <w:rPr>
          <w:rFonts w:cstheme="minorHAnsi"/>
        </w:rPr>
        <w:t>och</w:t>
      </w:r>
      <w:proofErr w:type="spellEnd"/>
      <w:r w:rsidRPr="00881DF8">
        <w:rPr>
          <w:rFonts w:cstheme="minorHAnsi"/>
        </w:rPr>
        <w:t xml:space="preserve"> </w:t>
      </w:r>
      <w:proofErr w:type="spellStart"/>
      <w:r w:rsidRPr="00881DF8">
        <w:rPr>
          <w:rFonts w:cstheme="minorHAnsi"/>
        </w:rPr>
        <w:t>Frankrike</w:t>
      </w:r>
      <w:proofErr w:type="spellEnd"/>
      <w:r w:rsidRPr="00881DF8">
        <w:rPr>
          <w:rFonts w:cstheme="minorHAnsi"/>
        </w:rPr>
        <w:t xml:space="preserve">. </w:t>
      </w:r>
      <w:proofErr w:type="spellStart"/>
      <w:r w:rsidRPr="00881DF8">
        <w:rPr>
          <w:rFonts w:cstheme="minorHAnsi"/>
        </w:rPr>
        <w:t>KemI</w:t>
      </w:r>
      <w:proofErr w:type="spellEnd"/>
    </w:p>
    <w:p w14:paraId="45181089" w14:textId="77777777" w:rsidR="00D255B4" w:rsidRPr="00881DF8" w:rsidRDefault="00D255B4" w:rsidP="00D255B4">
      <w:pPr>
        <w:ind w:left="720" w:hanging="720"/>
        <w:rPr>
          <w:rFonts w:cstheme="minorHAnsi"/>
        </w:rPr>
      </w:pPr>
      <w:r w:rsidRPr="00881DF8">
        <w:rPr>
          <w:rFonts w:cstheme="minorHAnsi"/>
        </w:rPr>
        <w:t xml:space="preserve">Li, G. &amp; Masui, T. (2019). Assessing the impacts of China's environmental tax using a dynamic computable general equilibrium model. Journal of Cleaner Production 208: 316-324. </w:t>
      </w:r>
    </w:p>
    <w:p w14:paraId="473F428B" w14:textId="77777777" w:rsidR="00D255B4" w:rsidRPr="00881DF8" w:rsidRDefault="00D255B4" w:rsidP="00D255B4">
      <w:pPr>
        <w:ind w:left="720" w:hanging="720"/>
        <w:rPr>
          <w:rFonts w:cstheme="minorHAnsi"/>
        </w:rPr>
      </w:pPr>
      <w:r w:rsidRPr="00881DF8">
        <w:rPr>
          <w:rFonts w:cstheme="minorHAnsi"/>
        </w:rPr>
        <w:t xml:space="preserve">Metcalf, G. (2019). Carbon taxes: what can we learn from international experience? Accessed 10 August 2019. </w:t>
      </w:r>
      <w:hyperlink r:id="rId44" w:history="1">
        <w:r w:rsidRPr="00881DF8">
          <w:rPr>
            <w:rStyle w:val="Hyperlink"/>
            <w:rFonts w:cstheme="minorHAnsi"/>
          </w:rPr>
          <w:t>http://bit.ly/2MQgo6l</w:t>
        </w:r>
      </w:hyperlink>
      <w:r w:rsidRPr="00881DF8">
        <w:rPr>
          <w:rFonts w:cstheme="minorHAnsi"/>
        </w:rPr>
        <w:t xml:space="preserve"> </w:t>
      </w:r>
    </w:p>
    <w:p w14:paraId="60E8A21D" w14:textId="77777777" w:rsidR="00D255B4" w:rsidRPr="00881DF8" w:rsidRDefault="00D255B4" w:rsidP="00D255B4">
      <w:pPr>
        <w:ind w:left="720" w:hanging="720"/>
        <w:rPr>
          <w:rFonts w:cstheme="minorHAnsi"/>
        </w:rPr>
      </w:pPr>
      <w:r w:rsidRPr="00881DF8">
        <w:rPr>
          <w:rFonts w:cstheme="minorHAnsi"/>
        </w:rPr>
        <w:t xml:space="preserve">OECD &amp; UNEP (1999). Phasing Lead out of Gasoline: An examination of Policy Approaches in Different Countries. Available online: </w:t>
      </w:r>
      <w:hyperlink r:id="rId45" w:history="1">
        <w:r w:rsidRPr="00881DF8">
          <w:rPr>
            <w:rStyle w:val="Hyperlink"/>
            <w:rFonts w:cstheme="minorHAnsi"/>
          </w:rPr>
          <w:t>http://bit.ly/2Nr7Hjk</w:t>
        </w:r>
      </w:hyperlink>
      <w:r w:rsidRPr="00881DF8">
        <w:rPr>
          <w:rFonts w:cstheme="minorHAnsi"/>
        </w:rPr>
        <w:t xml:space="preserve"> </w:t>
      </w:r>
    </w:p>
    <w:p w14:paraId="57A027A6" w14:textId="77777777" w:rsidR="00D255B4" w:rsidRPr="00881DF8" w:rsidRDefault="00D255B4" w:rsidP="00D255B4">
      <w:pPr>
        <w:ind w:left="720" w:hanging="720"/>
        <w:rPr>
          <w:rFonts w:cstheme="minorHAnsi"/>
        </w:rPr>
      </w:pPr>
      <w:r w:rsidRPr="00881DF8">
        <w:rPr>
          <w:rFonts w:cstheme="minorHAnsi"/>
        </w:rPr>
        <w:t xml:space="preserve">OECD (2001). Extended producer responsibility: A guidance manual for governments. Available online: </w:t>
      </w:r>
      <w:hyperlink r:id="rId46" w:history="1">
        <w:r w:rsidRPr="00881DF8">
          <w:rPr>
            <w:rStyle w:val="Hyperlink"/>
            <w:rFonts w:cstheme="minorHAnsi"/>
          </w:rPr>
          <w:t>https://bit.ly/2Z5sHlI</w:t>
        </w:r>
      </w:hyperlink>
      <w:r w:rsidRPr="00881DF8">
        <w:rPr>
          <w:rFonts w:cstheme="minorHAnsi"/>
        </w:rPr>
        <w:t xml:space="preserve"> </w:t>
      </w:r>
    </w:p>
    <w:p w14:paraId="361DE179" w14:textId="77777777" w:rsidR="00D255B4" w:rsidRPr="00881DF8" w:rsidRDefault="00D255B4" w:rsidP="00D255B4">
      <w:pPr>
        <w:ind w:left="720" w:hanging="720"/>
        <w:rPr>
          <w:rFonts w:cstheme="minorHAnsi"/>
        </w:rPr>
      </w:pPr>
      <w:r w:rsidRPr="00881DF8">
        <w:rPr>
          <w:rFonts w:cstheme="minorHAnsi"/>
        </w:rPr>
        <w:t xml:space="preserve">OECD (2013). The Swedish tax on nitrogen emissions: Lessons in environmental policy reform. OECD Environment Policy Paper 2013 No. 2. Available online: </w:t>
      </w:r>
      <w:hyperlink r:id="rId47" w:history="1">
        <w:r w:rsidRPr="00881DF8">
          <w:rPr>
            <w:rStyle w:val="Hyperlink"/>
            <w:rFonts w:cstheme="minorHAnsi"/>
          </w:rPr>
          <w:t>https://bit.ly/2Z56zIa</w:t>
        </w:r>
      </w:hyperlink>
      <w:r w:rsidRPr="00881DF8">
        <w:rPr>
          <w:rFonts w:cstheme="minorHAnsi"/>
        </w:rPr>
        <w:t xml:space="preserve"> </w:t>
      </w:r>
    </w:p>
    <w:p w14:paraId="335FB474" w14:textId="77777777" w:rsidR="00D255B4" w:rsidRPr="00881DF8" w:rsidRDefault="00D255B4" w:rsidP="00D255B4">
      <w:pPr>
        <w:ind w:left="720" w:hanging="720"/>
        <w:jc w:val="both"/>
        <w:rPr>
          <w:rFonts w:cstheme="minorHAnsi"/>
        </w:rPr>
      </w:pPr>
      <w:r w:rsidRPr="00881DF8">
        <w:rPr>
          <w:rFonts w:cstheme="minorHAnsi"/>
        </w:rPr>
        <w:t xml:space="preserve">OECD (2016a). OECD Policy Instruments for the Environment: Database Documentation. Available online: </w:t>
      </w:r>
      <w:hyperlink r:id="rId48" w:history="1">
        <w:r w:rsidRPr="00881DF8">
          <w:rPr>
            <w:rStyle w:val="Hyperlink"/>
            <w:rFonts w:cstheme="minorHAnsi"/>
          </w:rPr>
          <w:t>https://bit.ly/2Z86CTD</w:t>
        </w:r>
      </w:hyperlink>
      <w:r w:rsidRPr="00881DF8">
        <w:rPr>
          <w:rFonts w:cstheme="minorHAnsi"/>
        </w:rPr>
        <w:t xml:space="preserve"> </w:t>
      </w:r>
    </w:p>
    <w:p w14:paraId="799A8347" w14:textId="77777777" w:rsidR="00D255B4" w:rsidRPr="00881DF8" w:rsidRDefault="00D255B4" w:rsidP="00D255B4">
      <w:pPr>
        <w:ind w:left="720" w:hanging="720"/>
        <w:rPr>
          <w:rFonts w:cstheme="minorHAnsi"/>
        </w:rPr>
      </w:pPr>
      <w:r w:rsidRPr="00881DF8">
        <w:rPr>
          <w:rFonts w:cstheme="minorHAnsi"/>
        </w:rPr>
        <w:lastRenderedPageBreak/>
        <w:t xml:space="preserve">OECD (2016b). Extended Producer Responsibility: Updated guidance for Efficient Waste Management. Executive Summary. Available online: </w:t>
      </w:r>
      <w:hyperlink r:id="rId49" w:history="1">
        <w:r w:rsidRPr="00881DF8">
          <w:rPr>
            <w:rStyle w:val="Hyperlink"/>
            <w:rFonts w:cstheme="minorHAnsi"/>
          </w:rPr>
          <w:t>http://bit.ly/2NOlv7H</w:t>
        </w:r>
      </w:hyperlink>
      <w:r w:rsidRPr="00881DF8">
        <w:rPr>
          <w:rFonts w:cstheme="minorHAnsi"/>
        </w:rPr>
        <w:t xml:space="preserve">  </w:t>
      </w:r>
    </w:p>
    <w:p w14:paraId="37AB4363" w14:textId="77777777" w:rsidR="00D255B4" w:rsidRPr="00881DF8" w:rsidRDefault="00D255B4" w:rsidP="00D255B4">
      <w:pPr>
        <w:ind w:left="720" w:hanging="720"/>
        <w:rPr>
          <w:rFonts w:cstheme="minorHAnsi"/>
          <w:lang w:val="en-GB"/>
        </w:rPr>
      </w:pPr>
      <w:r w:rsidRPr="00881DF8">
        <w:rPr>
          <w:rFonts w:cstheme="minorHAnsi"/>
          <w:lang w:val="en-GB"/>
        </w:rPr>
        <w:t xml:space="preserve">OECD (2017). Policy instruments for the environment: database 2017. Available online: </w:t>
      </w:r>
      <w:hyperlink r:id="rId50" w:history="1">
        <w:r w:rsidRPr="00881DF8">
          <w:rPr>
            <w:rStyle w:val="Hyperlink"/>
            <w:rFonts w:cstheme="minorHAnsi"/>
            <w:lang w:val="en-GB"/>
          </w:rPr>
          <w:t>http://bit.ly/2KGUgtM</w:t>
        </w:r>
      </w:hyperlink>
      <w:r w:rsidRPr="00881DF8">
        <w:rPr>
          <w:rFonts w:cstheme="minorHAnsi"/>
          <w:lang w:val="en-GB"/>
        </w:rPr>
        <w:t xml:space="preserve"> </w:t>
      </w:r>
    </w:p>
    <w:p w14:paraId="40450BE6" w14:textId="77777777" w:rsidR="00D255B4" w:rsidRPr="00881DF8" w:rsidRDefault="00D255B4" w:rsidP="00D255B4">
      <w:pPr>
        <w:ind w:left="720" w:hanging="720"/>
        <w:jc w:val="both"/>
        <w:rPr>
          <w:rFonts w:cstheme="minorHAnsi"/>
        </w:rPr>
      </w:pPr>
      <w:r w:rsidRPr="00881DF8">
        <w:rPr>
          <w:rFonts w:cstheme="minorHAnsi"/>
        </w:rPr>
        <w:t xml:space="preserve">OECD (2019). OECD Pine Database. Accessed 17 August 2019. </w:t>
      </w:r>
      <w:hyperlink r:id="rId51" w:history="1">
        <w:r w:rsidRPr="00881DF8">
          <w:rPr>
            <w:rStyle w:val="Hyperlink"/>
            <w:rFonts w:cstheme="minorHAnsi"/>
          </w:rPr>
          <w:t>https://bit.ly/30cG7K9</w:t>
        </w:r>
      </w:hyperlink>
      <w:r w:rsidRPr="00881DF8">
        <w:rPr>
          <w:rFonts w:cstheme="minorHAnsi"/>
        </w:rPr>
        <w:t xml:space="preserve"> </w:t>
      </w:r>
    </w:p>
    <w:p w14:paraId="33E655B7" w14:textId="77777777" w:rsidR="00D255B4" w:rsidRPr="00881DF8" w:rsidRDefault="00D255B4" w:rsidP="00D255B4">
      <w:pPr>
        <w:ind w:left="720" w:hanging="720"/>
        <w:rPr>
          <w:rFonts w:cstheme="minorHAnsi"/>
        </w:rPr>
      </w:pPr>
      <w:r w:rsidRPr="00881DF8">
        <w:rPr>
          <w:rFonts w:cstheme="minorHAnsi"/>
        </w:rPr>
        <w:t xml:space="preserve">Official Journal of the EU (2018). Commission implementing regulation COMMISSION (EU) 2018/895 of 22 June 2018 amending Regulation (EC) No 340/2008 on the fees and charges payable to the European Chemicals Agency. Available online: </w:t>
      </w:r>
      <w:hyperlink r:id="rId52" w:history="1">
        <w:r w:rsidRPr="00881DF8">
          <w:rPr>
            <w:rStyle w:val="Hyperlink"/>
            <w:rFonts w:cstheme="minorHAnsi"/>
          </w:rPr>
          <w:t>http://bit.ly/2PpizR4</w:t>
        </w:r>
      </w:hyperlink>
      <w:r w:rsidRPr="00881DF8">
        <w:rPr>
          <w:rFonts w:cstheme="minorHAnsi"/>
        </w:rPr>
        <w:t xml:space="preserve"> </w:t>
      </w:r>
    </w:p>
    <w:p w14:paraId="26731B2F" w14:textId="77777777" w:rsidR="00D255B4" w:rsidRPr="00881DF8" w:rsidRDefault="00D255B4" w:rsidP="00D255B4">
      <w:pPr>
        <w:ind w:left="720" w:hanging="720"/>
        <w:rPr>
          <w:rFonts w:cstheme="minorHAnsi"/>
        </w:rPr>
      </w:pPr>
      <w:proofErr w:type="spellStart"/>
      <w:r w:rsidRPr="00881DF8">
        <w:rPr>
          <w:rFonts w:cstheme="minorHAnsi"/>
        </w:rPr>
        <w:t>Ravinutala</w:t>
      </w:r>
      <w:proofErr w:type="spellEnd"/>
      <w:r w:rsidRPr="00881DF8">
        <w:rPr>
          <w:rFonts w:cstheme="minorHAnsi"/>
        </w:rPr>
        <w:t xml:space="preserve">, S. (2016). Redesigning India’s urea policy. Available online: </w:t>
      </w:r>
      <w:hyperlink r:id="rId53" w:history="1">
        <w:r w:rsidRPr="00881DF8">
          <w:rPr>
            <w:rStyle w:val="Hyperlink"/>
            <w:rFonts w:cstheme="minorHAnsi"/>
          </w:rPr>
          <w:t>https://bit.ly/2KzxfJ1</w:t>
        </w:r>
      </w:hyperlink>
      <w:r w:rsidRPr="00881DF8">
        <w:rPr>
          <w:rFonts w:cstheme="minorHAnsi"/>
        </w:rPr>
        <w:t xml:space="preserve"> </w:t>
      </w:r>
    </w:p>
    <w:p w14:paraId="28E69B6A" w14:textId="77777777" w:rsidR="00D255B4" w:rsidRPr="00881DF8" w:rsidRDefault="00D255B4" w:rsidP="00D255B4">
      <w:pPr>
        <w:ind w:left="720" w:hanging="720"/>
        <w:rPr>
          <w:rFonts w:cstheme="minorHAnsi"/>
        </w:rPr>
      </w:pPr>
      <w:r w:rsidRPr="00881DF8">
        <w:rPr>
          <w:rFonts w:cstheme="minorHAnsi"/>
        </w:rPr>
        <w:t xml:space="preserve">SAICM (2006a). Overall Policy Strategy for SAICM.  Annex II of the report of the International Conference on Chemicals Management on the work on its first session. Available online: </w:t>
      </w:r>
      <w:hyperlink r:id="rId54" w:history="1">
        <w:r w:rsidRPr="00881DF8">
          <w:rPr>
            <w:rStyle w:val="Hyperlink"/>
            <w:rFonts w:cstheme="minorHAnsi"/>
          </w:rPr>
          <w:t>http://bit.ly/32lZfGc</w:t>
        </w:r>
      </w:hyperlink>
      <w:r w:rsidRPr="00881DF8">
        <w:rPr>
          <w:rFonts w:cstheme="minorHAnsi"/>
        </w:rPr>
        <w:t xml:space="preserve"> </w:t>
      </w:r>
    </w:p>
    <w:p w14:paraId="31E4F3F8" w14:textId="77777777" w:rsidR="00D255B4" w:rsidRPr="00881DF8" w:rsidRDefault="00D255B4" w:rsidP="00D255B4">
      <w:pPr>
        <w:ind w:left="720" w:hanging="720"/>
        <w:rPr>
          <w:rFonts w:cstheme="minorHAnsi"/>
        </w:rPr>
      </w:pPr>
      <w:r w:rsidRPr="00881DF8">
        <w:rPr>
          <w:rFonts w:cstheme="minorHAnsi"/>
        </w:rPr>
        <w:t xml:space="preserve">SAICM (2006b). Global Plan of Action for SAICM. Annex III of the report of the International Conference on Chemicals Management on the work on its first session. Available online: </w:t>
      </w:r>
      <w:hyperlink r:id="rId55" w:history="1">
        <w:r w:rsidRPr="00881DF8">
          <w:rPr>
            <w:rStyle w:val="Hyperlink"/>
            <w:rFonts w:cstheme="minorHAnsi"/>
          </w:rPr>
          <w:t>http://bit.ly/32lZfGc</w:t>
        </w:r>
      </w:hyperlink>
      <w:r w:rsidRPr="00881DF8">
        <w:rPr>
          <w:rFonts w:cstheme="minorHAnsi"/>
        </w:rPr>
        <w:t xml:space="preserve"> </w:t>
      </w:r>
    </w:p>
    <w:p w14:paraId="37704F5B" w14:textId="77777777" w:rsidR="00D255B4" w:rsidRPr="009268F8" w:rsidRDefault="00D255B4" w:rsidP="00D255B4">
      <w:pPr>
        <w:ind w:left="720" w:hanging="720"/>
        <w:jc w:val="both"/>
        <w:rPr>
          <w:rStyle w:val="Hyperlink"/>
          <w:rFonts w:cstheme="minorHAnsi"/>
          <w:lang w:val="fr-CH"/>
        </w:rPr>
      </w:pPr>
      <w:r w:rsidRPr="00881DF8">
        <w:rPr>
          <w:rFonts w:cstheme="minorHAnsi"/>
        </w:rPr>
        <w:t xml:space="preserve">SAICM (2015). </w:t>
      </w:r>
      <w:r w:rsidRPr="00881DF8">
        <w:rPr>
          <w:rFonts w:cstheme="minorHAnsi"/>
          <w:lang w:val="en-GB"/>
        </w:rPr>
        <w:t xml:space="preserve">Overall orientation and guidance for achieving the 2020 goal of sound </w:t>
      </w:r>
      <w:r w:rsidRPr="00881DF8">
        <w:rPr>
          <w:rFonts w:eastAsia="SimSun" w:cstheme="minorHAnsi"/>
          <w:lang w:val="en-GB"/>
        </w:rPr>
        <w:t>management</w:t>
      </w:r>
      <w:r w:rsidRPr="00881DF8">
        <w:rPr>
          <w:rFonts w:cstheme="minorHAnsi"/>
          <w:lang w:val="en-GB"/>
        </w:rPr>
        <w:t xml:space="preserve"> of chemicals</w:t>
      </w:r>
      <w:r w:rsidRPr="00881DF8">
        <w:rPr>
          <w:rFonts w:cstheme="minorHAnsi"/>
        </w:rPr>
        <w:t xml:space="preserve">. </w:t>
      </w:r>
      <w:r w:rsidRPr="009268F8">
        <w:rPr>
          <w:rFonts w:cstheme="minorHAnsi"/>
          <w:lang w:val="fr-CH"/>
        </w:rPr>
        <w:t xml:space="preserve">UN Doc. SAICM/ICCM.4/4. </w:t>
      </w:r>
      <w:proofErr w:type="spellStart"/>
      <w:r w:rsidRPr="009268F8">
        <w:rPr>
          <w:rFonts w:cstheme="minorHAnsi"/>
          <w:lang w:val="fr-CH"/>
        </w:rPr>
        <w:t>Available</w:t>
      </w:r>
      <w:proofErr w:type="spellEnd"/>
      <w:r w:rsidRPr="009268F8">
        <w:rPr>
          <w:rFonts w:cstheme="minorHAnsi"/>
          <w:lang w:val="fr-CH"/>
        </w:rPr>
        <w:t xml:space="preserve"> </w:t>
      </w:r>
      <w:proofErr w:type="gramStart"/>
      <w:r w:rsidRPr="009268F8">
        <w:rPr>
          <w:rFonts w:cstheme="minorHAnsi"/>
          <w:lang w:val="fr-CH"/>
        </w:rPr>
        <w:t>online:</w:t>
      </w:r>
      <w:proofErr w:type="gramEnd"/>
      <w:r w:rsidRPr="009268F8">
        <w:rPr>
          <w:rFonts w:cstheme="minorHAnsi"/>
          <w:lang w:val="fr-CH"/>
        </w:rPr>
        <w:t xml:space="preserve"> </w:t>
      </w:r>
      <w:hyperlink r:id="rId56" w:history="1">
        <w:r w:rsidRPr="009268F8">
          <w:rPr>
            <w:rStyle w:val="Hyperlink"/>
            <w:rFonts w:cstheme="minorHAnsi"/>
            <w:lang w:val="fr-CH"/>
          </w:rPr>
          <w:t>http://bit.ly/2Gzy0Jj</w:t>
        </w:r>
      </w:hyperlink>
    </w:p>
    <w:p w14:paraId="6AA11CDD" w14:textId="77777777" w:rsidR="00D255B4" w:rsidRPr="00881DF8" w:rsidRDefault="00D255B4" w:rsidP="00D255B4">
      <w:pPr>
        <w:ind w:left="720" w:hanging="720"/>
        <w:rPr>
          <w:rFonts w:cstheme="minorHAnsi"/>
        </w:rPr>
      </w:pPr>
      <w:r w:rsidRPr="009268F8">
        <w:rPr>
          <w:rFonts w:cstheme="minorHAnsi"/>
          <w:lang w:val="fr-CH"/>
        </w:rPr>
        <w:t xml:space="preserve">SAICM (2019). </w:t>
      </w:r>
      <w:r w:rsidRPr="00881DF8">
        <w:rPr>
          <w:rFonts w:eastAsia="Calibri" w:cstheme="minorHAnsi"/>
        </w:rPr>
        <w:t xml:space="preserve">Executive Summary (Advance Version) – Independent Evaluation of the Strategic Approach to International Chemicals Management from 2006 – 2015. </w:t>
      </w:r>
      <w:r w:rsidRPr="00881DF8">
        <w:rPr>
          <w:rFonts w:cstheme="minorHAnsi"/>
        </w:rPr>
        <w:t xml:space="preserve">UN Doc. SAICM/OEWG.3/3. Available online: </w:t>
      </w:r>
      <w:hyperlink r:id="rId57" w:history="1">
        <w:r w:rsidRPr="00881DF8">
          <w:rPr>
            <w:rStyle w:val="Hyperlink"/>
            <w:rFonts w:cstheme="minorHAnsi"/>
          </w:rPr>
          <w:t>https://bit.ly/2YCKhy4</w:t>
        </w:r>
      </w:hyperlink>
      <w:r w:rsidRPr="00881DF8">
        <w:rPr>
          <w:rFonts w:cstheme="minorHAnsi"/>
        </w:rPr>
        <w:t xml:space="preserve"> </w:t>
      </w:r>
    </w:p>
    <w:p w14:paraId="41DD3D13" w14:textId="77777777" w:rsidR="00D255B4" w:rsidRPr="00881DF8" w:rsidRDefault="00D255B4" w:rsidP="00D255B4">
      <w:pPr>
        <w:ind w:left="720" w:hanging="720"/>
        <w:rPr>
          <w:rFonts w:cstheme="minorHAnsi"/>
        </w:rPr>
      </w:pPr>
      <w:proofErr w:type="spellStart"/>
      <w:r w:rsidRPr="00F96C97">
        <w:rPr>
          <w:rFonts w:cstheme="minorHAnsi"/>
        </w:rPr>
        <w:t>Skevas</w:t>
      </w:r>
      <w:proofErr w:type="spellEnd"/>
      <w:r w:rsidRPr="00F96C97">
        <w:rPr>
          <w:rFonts w:cstheme="minorHAnsi"/>
        </w:rPr>
        <w:t xml:space="preserve">, T., Oude </w:t>
      </w:r>
      <w:proofErr w:type="spellStart"/>
      <w:r w:rsidRPr="00F96C97">
        <w:rPr>
          <w:rFonts w:cstheme="minorHAnsi"/>
        </w:rPr>
        <w:t>Lansink</w:t>
      </w:r>
      <w:proofErr w:type="spellEnd"/>
      <w:r w:rsidRPr="00F96C97">
        <w:rPr>
          <w:rFonts w:cstheme="minorHAnsi"/>
        </w:rPr>
        <w:t xml:space="preserve">, A. </w:t>
      </w:r>
      <w:r w:rsidRPr="00881DF8">
        <w:rPr>
          <w:rFonts w:cstheme="minorHAnsi"/>
        </w:rPr>
        <w:t xml:space="preserve">G. J. M. &amp; </w:t>
      </w:r>
      <w:proofErr w:type="spellStart"/>
      <w:r w:rsidRPr="00881DF8">
        <w:rPr>
          <w:rFonts w:cstheme="minorHAnsi"/>
        </w:rPr>
        <w:t>Stefanou</w:t>
      </w:r>
      <w:proofErr w:type="spellEnd"/>
      <w:r w:rsidRPr="00881DF8">
        <w:rPr>
          <w:rFonts w:cstheme="minorHAnsi"/>
        </w:rPr>
        <w:t>, S. E. (2013). Designing the emerging EU pesticide policy: a literature review. NJAS-</w:t>
      </w:r>
      <w:proofErr w:type="spellStart"/>
      <w:r w:rsidRPr="00881DF8">
        <w:rPr>
          <w:rFonts w:cstheme="minorHAnsi"/>
        </w:rPr>
        <w:t>Wagening</w:t>
      </w:r>
      <w:proofErr w:type="spellEnd"/>
      <w:r w:rsidRPr="00881DF8">
        <w:rPr>
          <w:rFonts w:cstheme="minorHAnsi"/>
        </w:rPr>
        <w:t>. J. Life Sci. 64–65, 95–103.</w:t>
      </w:r>
    </w:p>
    <w:p w14:paraId="5F7CE63B" w14:textId="77777777" w:rsidR="00D255B4" w:rsidRPr="00881DF8" w:rsidRDefault="00D255B4" w:rsidP="00D255B4">
      <w:pPr>
        <w:ind w:left="720" w:hanging="720"/>
        <w:rPr>
          <w:rFonts w:cstheme="minorHAnsi"/>
        </w:rPr>
      </w:pPr>
      <w:proofErr w:type="spellStart"/>
      <w:r w:rsidRPr="00881DF8">
        <w:rPr>
          <w:rFonts w:cstheme="minorHAnsi"/>
        </w:rPr>
        <w:t>Slunge</w:t>
      </w:r>
      <w:proofErr w:type="spellEnd"/>
      <w:r w:rsidRPr="00881DF8">
        <w:rPr>
          <w:rFonts w:cstheme="minorHAnsi"/>
        </w:rPr>
        <w:t xml:space="preserve">, D. &amp; </w:t>
      </w:r>
      <w:proofErr w:type="spellStart"/>
      <w:r w:rsidRPr="00881DF8">
        <w:rPr>
          <w:rFonts w:cstheme="minorHAnsi"/>
        </w:rPr>
        <w:t>Alpizar</w:t>
      </w:r>
      <w:proofErr w:type="spellEnd"/>
      <w:r w:rsidRPr="00881DF8">
        <w:rPr>
          <w:rFonts w:cstheme="minorHAnsi"/>
        </w:rPr>
        <w:t>, F. (2019). Market-Based Instruments for Managing Hazardous Chemicals: A Review of the Literature and Future Research Agenda. Sustainability 11, 4344; doi:10.3390/su11164344</w:t>
      </w:r>
    </w:p>
    <w:p w14:paraId="55994797" w14:textId="77777777" w:rsidR="00D255B4" w:rsidRPr="00881DF8" w:rsidRDefault="00D255B4" w:rsidP="00D255B4">
      <w:pPr>
        <w:ind w:left="720" w:hanging="720"/>
        <w:rPr>
          <w:rFonts w:cstheme="minorHAnsi"/>
        </w:rPr>
      </w:pPr>
      <w:r w:rsidRPr="00881DF8">
        <w:rPr>
          <w:rFonts w:cstheme="minorHAnsi"/>
        </w:rPr>
        <w:t xml:space="preserve">SOU (2003). </w:t>
      </w:r>
      <w:proofErr w:type="spellStart"/>
      <w:r w:rsidRPr="00881DF8">
        <w:rPr>
          <w:rFonts w:cstheme="minorHAnsi"/>
        </w:rPr>
        <w:t>Skatt</w:t>
      </w:r>
      <w:proofErr w:type="spellEnd"/>
      <w:r w:rsidRPr="00881DF8">
        <w:rPr>
          <w:rFonts w:cstheme="minorHAnsi"/>
        </w:rPr>
        <w:t xml:space="preserve"> </w:t>
      </w:r>
      <w:proofErr w:type="spellStart"/>
      <w:r w:rsidRPr="00881DF8">
        <w:rPr>
          <w:rFonts w:cstheme="minorHAnsi"/>
        </w:rPr>
        <w:t>på</w:t>
      </w:r>
      <w:proofErr w:type="spellEnd"/>
      <w:r w:rsidRPr="00881DF8">
        <w:rPr>
          <w:rFonts w:cstheme="minorHAnsi"/>
        </w:rPr>
        <w:t xml:space="preserve"> </w:t>
      </w:r>
      <w:proofErr w:type="spellStart"/>
      <w:r w:rsidRPr="00881DF8">
        <w:rPr>
          <w:rFonts w:cstheme="minorHAnsi"/>
        </w:rPr>
        <w:t>handelsgödsel</w:t>
      </w:r>
      <w:proofErr w:type="spellEnd"/>
      <w:r w:rsidRPr="00881DF8">
        <w:rPr>
          <w:rFonts w:cstheme="minorHAnsi"/>
        </w:rPr>
        <w:t xml:space="preserve"> </w:t>
      </w:r>
      <w:proofErr w:type="spellStart"/>
      <w:r w:rsidRPr="00881DF8">
        <w:rPr>
          <w:rFonts w:cstheme="minorHAnsi"/>
        </w:rPr>
        <w:t>och</w:t>
      </w:r>
      <w:proofErr w:type="spellEnd"/>
      <w:r w:rsidRPr="00881DF8">
        <w:rPr>
          <w:rFonts w:cstheme="minorHAnsi"/>
        </w:rPr>
        <w:t xml:space="preserve"> </w:t>
      </w:r>
      <w:proofErr w:type="spellStart"/>
      <w:r w:rsidRPr="00881DF8">
        <w:rPr>
          <w:rFonts w:cstheme="minorHAnsi"/>
        </w:rPr>
        <w:t>bekämpningsmedel</w:t>
      </w:r>
      <w:proofErr w:type="spellEnd"/>
      <w:r w:rsidRPr="00881DF8">
        <w:rPr>
          <w:rFonts w:cstheme="minorHAnsi"/>
        </w:rPr>
        <w:t xml:space="preserve">? </w:t>
      </w:r>
      <w:proofErr w:type="spellStart"/>
      <w:r w:rsidRPr="00881DF8">
        <w:rPr>
          <w:rFonts w:cstheme="minorHAnsi"/>
        </w:rPr>
        <w:t>Statens</w:t>
      </w:r>
      <w:proofErr w:type="spellEnd"/>
      <w:r w:rsidRPr="00881DF8">
        <w:rPr>
          <w:rFonts w:cstheme="minorHAnsi"/>
        </w:rPr>
        <w:t xml:space="preserve"> </w:t>
      </w:r>
      <w:proofErr w:type="spellStart"/>
      <w:r w:rsidRPr="00881DF8">
        <w:rPr>
          <w:rFonts w:cstheme="minorHAnsi"/>
        </w:rPr>
        <w:t>Offentliga</w:t>
      </w:r>
      <w:proofErr w:type="spellEnd"/>
      <w:r w:rsidRPr="00881DF8">
        <w:rPr>
          <w:rFonts w:cstheme="minorHAnsi"/>
        </w:rPr>
        <w:t xml:space="preserve"> </w:t>
      </w:r>
      <w:proofErr w:type="spellStart"/>
      <w:r w:rsidRPr="00881DF8">
        <w:rPr>
          <w:rFonts w:cstheme="minorHAnsi"/>
        </w:rPr>
        <w:t>Utredningar</w:t>
      </w:r>
      <w:proofErr w:type="spellEnd"/>
      <w:r w:rsidRPr="00881DF8">
        <w:rPr>
          <w:rFonts w:cstheme="minorHAnsi"/>
        </w:rPr>
        <w:t xml:space="preserve"> SOU 2003:9. Available online: </w:t>
      </w:r>
      <w:hyperlink r:id="rId58" w:history="1">
        <w:r w:rsidRPr="00881DF8">
          <w:rPr>
            <w:rStyle w:val="Hyperlink"/>
            <w:rFonts w:cstheme="minorHAnsi"/>
          </w:rPr>
          <w:t>http://bit.ly/2PdmMYe</w:t>
        </w:r>
      </w:hyperlink>
      <w:r w:rsidRPr="00881DF8">
        <w:rPr>
          <w:rFonts w:cstheme="minorHAnsi"/>
        </w:rPr>
        <w:t xml:space="preserve"> </w:t>
      </w:r>
    </w:p>
    <w:p w14:paraId="745C43BE" w14:textId="77777777" w:rsidR="00D255B4" w:rsidRPr="00881DF8" w:rsidRDefault="00D255B4" w:rsidP="00D255B4">
      <w:pPr>
        <w:ind w:left="720" w:hanging="720"/>
        <w:rPr>
          <w:rFonts w:cstheme="minorHAnsi"/>
        </w:rPr>
      </w:pPr>
      <w:r w:rsidRPr="00881DF8">
        <w:rPr>
          <w:rFonts w:cstheme="minorHAnsi"/>
        </w:rPr>
        <w:t xml:space="preserve">SOU (2017). </w:t>
      </w:r>
      <w:proofErr w:type="spellStart"/>
      <w:r w:rsidRPr="00881DF8">
        <w:rPr>
          <w:rFonts w:cstheme="minorHAnsi"/>
        </w:rPr>
        <w:t>Skatt</w:t>
      </w:r>
      <w:proofErr w:type="spellEnd"/>
      <w:r w:rsidRPr="00881DF8">
        <w:rPr>
          <w:rFonts w:cstheme="minorHAnsi"/>
        </w:rPr>
        <w:t xml:space="preserve"> </w:t>
      </w:r>
      <w:proofErr w:type="spellStart"/>
      <w:r w:rsidRPr="00881DF8">
        <w:rPr>
          <w:rFonts w:cstheme="minorHAnsi"/>
        </w:rPr>
        <w:t>på</w:t>
      </w:r>
      <w:proofErr w:type="spellEnd"/>
      <w:r w:rsidRPr="00881DF8">
        <w:rPr>
          <w:rFonts w:cstheme="minorHAnsi"/>
        </w:rPr>
        <w:t xml:space="preserve"> </w:t>
      </w:r>
      <w:proofErr w:type="spellStart"/>
      <w:r w:rsidRPr="00881DF8">
        <w:rPr>
          <w:rFonts w:cstheme="minorHAnsi"/>
        </w:rPr>
        <w:t>kadmium</w:t>
      </w:r>
      <w:proofErr w:type="spellEnd"/>
      <w:r w:rsidRPr="00881DF8">
        <w:rPr>
          <w:rFonts w:cstheme="minorHAnsi"/>
        </w:rPr>
        <w:t xml:space="preserve"> </w:t>
      </w:r>
      <w:proofErr w:type="spellStart"/>
      <w:r w:rsidRPr="00881DF8">
        <w:rPr>
          <w:rFonts w:cstheme="minorHAnsi"/>
        </w:rPr>
        <w:t>i</w:t>
      </w:r>
      <w:proofErr w:type="spellEnd"/>
      <w:r w:rsidRPr="00881DF8">
        <w:rPr>
          <w:rFonts w:cstheme="minorHAnsi"/>
        </w:rPr>
        <w:t xml:space="preserve"> </w:t>
      </w:r>
      <w:proofErr w:type="spellStart"/>
      <w:r w:rsidRPr="00881DF8">
        <w:rPr>
          <w:rFonts w:cstheme="minorHAnsi"/>
        </w:rPr>
        <w:t>vissa</w:t>
      </w:r>
      <w:proofErr w:type="spellEnd"/>
      <w:r w:rsidRPr="00881DF8">
        <w:rPr>
          <w:rFonts w:cstheme="minorHAnsi"/>
        </w:rPr>
        <w:t xml:space="preserve"> </w:t>
      </w:r>
      <w:proofErr w:type="spellStart"/>
      <w:r w:rsidRPr="00881DF8">
        <w:rPr>
          <w:rFonts w:cstheme="minorHAnsi"/>
        </w:rPr>
        <w:t>produkter</w:t>
      </w:r>
      <w:proofErr w:type="spellEnd"/>
      <w:r w:rsidRPr="00881DF8">
        <w:rPr>
          <w:rFonts w:cstheme="minorHAnsi"/>
        </w:rPr>
        <w:t xml:space="preserve"> </w:t>
      </w:r>
      <w:proofErr w:type="spellStart"/>
      <w:r w:rsidRPr="00881DF8">
        <w:rPr>
          <w:rFonts w:cstheme="minorHAnsi"/>
        </w:rPr>
        <w:t>och</w:t>
      </w:r>
      <w:proofErr w:type="spellEnd"/>
      <w:r w:rsidRPr="00881DF8">
        <w:rPr>
          <w:rFonts w:cstheme="minorHAnsi"/>
        </w:rPr>
        <w:t xml:space="preserve"> </w:t>
      </w:r>
      <w:proofErr w:type="spellStart"/>
      <w:r w:rsidRPr="00881DF8">
        <w:rPr>
          <w:rFonts w:cstheme="minorHAnsi"/>
        </w:rPr>
        <w:t>kemiska</w:t>
      </w:r>
      <w:proofErr w:type="spellEnd"/>
      <w:r w:rsidRPr="00881DF8">
        <w:rPr>
          <w:rFonts w:cstheme="minorHAnsi"/>
        </w:rPr>
        <w:t xml:space="preserve"> </w:t>
      </w:r>
      <w:proofErr w:type="spellStart"/>
      <w:r w:rsidRPr="00881DF8">
        <w:rPr>
          <w:rFonts w:cstheme="minorHAnsi"/>
        </w:rPr>
        <w:t>växtskyddsmedel</w:t>
      </w:r>
      <w:proofErr w:type="spellEnd"/>
      <w:r w:rsidRPr="00881DF8">
        <w:rPr>
          <w:rFonts w:cstheme="minorHAnsi"/>
        </w:rPr>
        <w:t xml:space="preserve">.  </w:t>
      </w:r>
      <w:proofErr w:type="spellStart"/>
      <w:r w:rsidRPr="00881DF8">
        <w:rPr>
          <w:rFonts w:cstheme="minorHAnsi"/>
        </w:rPr>
        <w:t>Statens</w:t>
      </w:r>
      <w:proofErr w:type="spellEnd"/>
      <w:r w:rsidRPr="00881DF8">
        <w:rPr>
          <w:rFonts w:cstheme="minorHAnsi"/>
        </w:rPr>
        <w:t xml:space="preserve"> </w:t>
      </w:r>
      <w:proofErr w:type="spellStart"/>
      <w:r w:rsidRPr="00881DF8">
        <w:rPr>
          <w:rFonts w:cstheme="minorHAnsi"/>
        </w:rPr>
        <w:t>Offentliga</w:t>
      </w:r>
      <w:proofErr w:type="spellEnd"/>
      <w:r w:rsidRPr="00881DF8">
        <w:rPr>
          <w:rFonts w:cstheme="minorHAnsi"/>
        </w:rPr>
        <w:t xml:space="preserve"> </w:t>
      </w:r>
      <w:proofErr w:type="spellStart"/>
      <w:r w:rsidRPr="00881DF8">
        <w:rPr>
          <w:rFonts w:cstheme="minorHAnsi"/>
        </w:rPr>
        <w:t>Utredningar</w:t>
      </w:r>
      <w:proofErr w:type="spellEnd"/>
      <w:r w:rsidRPr="00881DF8">
        <w:rPr>
          <w:rFonts w:cstheme="minorHAnsi"/>
        </w:rPr>
        <w:t xml:space="preserve">. SOU 2017: 102. Available online: </w:t>
      </w:r>
      <w:hyperlink r:id="rId59" w:history="1">
        <w:r w:rsidRPr="00881DF8">
          <w:rPr>
            <w:rStyle w:val="Hyperlink"/>
            <w:rFonts w:cstheme="minorHAnsi"/>
          </w:rPr>
          <w:t>http://bit.ly/2KSXFpg</w:t>
        </w:r>
      </w:hyperlink>
      <w:r w:rsidRPr="00881DF8">
        <w:rPr>
          <w:rFonts w:cstheme="minorHAnsi"/>
        </w:rPr>
        <w:t xml:space="preserve"> </w:t>
      </w:r>
    </w:p>
    <w:p w14:paraId="129FD2B4" w14:textId="77777777" w:rsidR="00D255B4" w:rsidRPr="00881DF8" w:rsidRDefault="00D255B4" w:rsidP="00D255B4">
      <w:pPr>
        <w:ind w:left="720" w:hanging="720"/>
        <w:rPr>
          <w:rFonts w:cstheme="minorHAnsi"/>
        </w:rPr>
      </w:pPr>
      <w:proofErr w:type="spellStart"/>
      <w:r w:rsidRPr="00881DF8">
        <w:rPr>
          <w:rFonts w:cstheme="minorHAnsi"/>
        </w:rPr>
        <w:t>Trasande</w:t>
      </w:r>
      <w:proofErr w:type="spellEnd"/>
      <w:r w:rsidRPr="00881DF8">
        <w:rPr>
          <w:rFonts w:cstheme="minorHAnsi"/>
        </w:rPr>
        <w:t xml:space="preserve">, L., Zoeller, R. T., Hass, U., </w:t>
      </w:r>
      <w:proofErr w:type="spellStart"/>
      <w:r w:rsidRPr="00881DF8">
        <w:rPr>
          <w:rFonts w:cstheme="minorHAnsi"/>
        </w:rPr>
        <w:t>Kortenkamp</w:t>
      </w:r>
      <w:proofErr w:type="spellEnd"/>
      <w:r w:rsidRPr="00881DF8">
        <w:rPr>
          <w:rFonts w:cstheme="minorHAnsi"/>
        </w:rPr>
        <w:t xml:space="preserve">, A., </w:t>
      </w:r>
      <w:proofErr w:type="spellStart"/>
      <w:r w:rsidRPr="00881DF8">
        <w:rPr>
          <w:rFonts w:cstheme="minorHAnsi"/>
        </w:rPr>
        <w:t>Grandjean</w:t>
      </w:r>
      <w:proofErr w:type="spellEnd"/>
      <w:r w:rsidRPr="00881DF8">
        <w:rPr>
          <w:rFonts w:cstheme="minorHAnsi"/>
        </w:rPr>
        <w:t xml:space="preserve">, P., Myers, J. P., DiGangi, J., </w:t>
      </w:r>
      <w:proofErr w:type="spellStart"/>
      <w:r w:rsidRPr="00881DF8">
        <w:rPr>
          <w:rFonts w:cstheme="minorHAnsi"/>
        </w:rPr>
        <w:t>Bellanger</w:t>
      </w:r>
      <w:proofErr w:type="spellEnd"/>
      <w:r w:rsidRPr="00881DF8">
        <w:rPr>
          <w:rFonts w:cstheme="minorHAnsi"/>
        </w:rPr>
        <w:t xml:space="preserve">, M., Hauser, R., Legler, J., </w:t>
      </w:r>
      <w:proofErr w:type="spellStart"/>
      <w:r w:rsidRPr="00881DF8">
        <w:rPr>
          <w:rFonts w:cstheme="minorHAnsi"/>
        </w:rPr>
        <w:t>Skakkebaek</w:t>
      </w:r>
      <w:proofErr w:type="spellEnd"/>
      <w:r w:rsidRPr="00881DF8">
        <w:rPr>
          <w:rFonts w:cstheme="minorHAnsi"/>
        </w:rPr>
        <w:t xml:space="preserve">, N. E. and </w:t>
      </w:r>
      <w:proofErr w:type="spellStart"/>
      <w:r w:rsidRPr="00881DF8">
        <w:rPr>
          <w:rFonts w:cstheme="minorHAnsi"/>
        </w:rPr>
        <w:t>Heindel</w:t>
      </w:r>
      <w:proofErr w:type="spellEnd"/>
      <w:r w:rsidRPr="00881DF8">
        <w:rPr>
          <w:rFonts w:cstheme="minorHAnsi"/>
        </w:rPr>
        <w:t xml:space="preserve">, J. J. (2015). </w:t>
      </w:r>
      <w:r w:rsidRPr="00881DF8">
        <w:rPr>
          <w:rFonts w:cstheme="minorHAnsi"/>
          <w:i/>
          <w:iCs/>
        </w:rPr>
        <w:t>Estimating Burden and Disease Costs of Exposure to Endocrine-Disrupting Chemicals in the European Union</w:t>
      </w:r>
      <w:r w:rsidRPr="00881DF8">
        <w:rPr>
          <w:rFonts w:cstheme="minorHAnsi"/>
        </w:rPr>
        <w:t>, T</w:t>
      </w:r>
      <w:r w:rsidRPr="00881DF8">
        <w:rPr>
          <w:rFonts w:cstheme="minorHAnsi"/>
          <w:shd w:val="clear" w:color="auto" w:fill="FFFFFF"/>
        </w:rPr>
        <w:t>he Journal of clinical endocrinology and metabolism</w:t>
      </w:r>
      <w:r w:rsidRPr="00881DF8">
        <w:rPr>
          <w:rFonts w:cstheme="minorHAnsi"/>
        </w:rPr>
        <w:t xml:space="preserve"> 100: 1245 – 1255 </w:t>
      </w:r>
      <w:proofErr w:type="spellStart"/>
      <w:r w:rsidRPr="00881DF8">
        <w:rPr>
          <w:rFonts w:cstheme="minorHAnsi"/>
        </w:rPr>
        <w:t>doi</w:t>
      </w:r>
      <w:proofErr w:type="spellEnd"/>
      <w:r w:rsidRPr="00881DF8">
        <w:rPr>
          <w:rFonts w:cstheme="minorHAnsi"/>
        </w:rPr>
        <w:t>: 10.1210/jc.2014-4324</w:t>
      </w:r>
    </w:p>
    <w:p w14:paraId="1862EE7A" w14:textId="77777777" w:rsidR="00D255B4" w:rsidRPr="00881DF8" w:rsidRDefault="00D255B4" w:rsidP="00D255B4">
      <w:pPr>
        <w:ind w:left="720" w:hanging="720"/>
        <w:rPr>
          <w:rFonts w:cstheme="minorHAnsi"/>
        </w:rPr>
      </w:pPr>
      <w:r w:rsidRPr="00881DF8">
        <w:rPr>
          <w:rFonts w:cstheme="minorHAnsi"/>
        </w:rPr>
        <w:t xml:space="preserve">UN (1992). Report of the United Nations Conference Environment and Development. Annex 1: Rio Declaration on Environment and Development. Available online: </w:t>
      </w:r>
      <w:hyperlink r:id="rId60" w:history="1">
        <w:r w:rsidRPr="00881DF8">
          <w:rPr>
            <w:rStyle w:val="Hyperlink"/>
            <w:rFonts w:cstheme="minorHAnsi"/>
          </w:rPr>
          <w:t>https://bit.ly/2H7Pzaw</w:t>
        </w:r>
      </w:hyperlink>
      <w:r w:rsidRPr="00881DF8">
        <w:rPr>
          <w:rFonts w:cstheme="minorHAnsi"/>
        </w:rPr>
        <w:t xml:space="preserve"> </w:t>
      </w:r>
    </w:p>
    <w:p w14:paraId="266382CF" w14:textId="77777777" w:rsidR="00D255B4" w:rsidRPr="00881DF8" w:rsidRDefault="00D255B4" w:rsidP="00D255B4">
      <w:pPr>
        <w:ind w:left="720" w:hanging="720"/>
        <w:rPr>
          <w:rFonts w:cstheme="minorHAnsi"/>
        </w:rPr>
      </w:pPr>
      <w:r w:rsidRPr="00881DF8">
        <w:rPr>
          <w:rFonts w:cstheme="minorHAnsi"/>
        </w:rPr>
        <w:t xml:space="preserve">UNDP (2017). Taxes on pesticide and chemical fertilizers. Available online: </w:t>
      </w:r>
      <w:hyperlink r:id="rId61" w:history="1">
        <w:r w:rsidRPr="00881DF8">
          <w:rPr>
            <w:rStyle w:val="Hyperlink"/>
            <w:rFonts w:cstheme="minorHAnsi"/>
          </w:rPr>
          <w:t>https://bit.ly/2zcPpd2</w:t>
        </w:r>
      </w:hyperlink>
      <w:r w:rsidRPr="00881DF8">
        <w:rPr>
          <w:rFonts w:cstheme="minorHAnsi"/>
        </w:rPr>
        <w:t xml:space="preserve"> </w:t>
      </w:r>
    </w:p>
    <w:p w14:paraId="529DF36C" w14:textId="77777777" w:rsidR="00D255B4" w:rsidRPr="00881DF8" w:rsidRDefault="00D255B4" w:rsidP="00D255B4">
      <w:pPr>
        <w:ind w:left="720" w:hanging="720"/>
        <w:jc w:val="both"/>
        <w:rPr>
          <w:rFonts w:cstheme="minorHAnsi"/>
        </w:rPr>
      </w:pPr>
      <w:r w:rsidRPr="00881DF8">
        <w:rPr>
          <w:rFonts w:cstheme="minorHAnsi"/>
        </w:rPr>
        <w:t xml:space="preserve">UNEP (2004). Economic instruments in biodiversity-related multilateral environmental agreements. Available online: </w:t>
      </w:r>
      <w:hyperlink r:id="rId62" w:history="1">
        <w:r w:rsidRPr="00881DF8">
          <w:rPr>
            <w:rStyle w:val="Hyperlink"/>
            <w:rFonts w:cstheme="minorHAnsi"/>
          </w:rPr>
          <w:t>https://bit.ly/2ZbT8SX</w:t>
        </w:r>
      </w:hyperlink>
      <w:r w:rsidRPr="00881DF8">
        <w:rPr>
          <w:rFonts w:cstheme="minorHAnsi"/>
        </w:rPr>
        <w:t xml:space="preserve"> </w:t>
      </w:r>
    </w:p>
    <w:p w14:paraId="1090673B" w14:textId="77777777" w:rsidR="00D255B4" w:rsidRPr="00881DF8" w:rsidRDefault="00D255B4" w:rsidP="00D255B4">
      <w:pPr>
        <w:ind w:left="720" w:hanging="720"/>
        <w:rPr>
          <w:rFonts w:cstheme="minorHAnsi"/>
        </w:rPr>
      </w:pPr>
      <w:r w:rsidRPr="00881DF8">
        <w:rPr>
          <w:rFonts w:cstheme="minorHAnsi"/>
        </w:rPr>
        <w:t xml:space="preserve">UNEP (2013a). Global Chemicals Outlook I: Towards Sound Management of Chemicals. United Nations Environment </w:t>
      </w:r>
      <w:proofErr w:type="spellStart"/>
      <w:r w:rsidRPr="00881DF8">
        <w:rPr>
          <w:rFonts w:cstheme="minorHAnsi"/>
        </w:rPr>
        <w:t>Programme</w:t>
      </w:r>
      <w:proofErr w:type="spellEnd"/>
      <w:r w:rsidRPr="00881DF8">
        <w:rPr>
          <w:rFonts w:cstheme="minorHAnsi"/>
        </w:rPr>
        <w:t xml:space="preserve">. Available online: </w:t>
      </w:r>
      <w:hyperlink w:history="1">
        <w:r w:rsidRPr="008D3C3C">
          <w:rPr>
            <w:rStyle w:val="Hyperlink"/>
            <w:rFonts w:cstheme="minorHAnsi"/>
          </w:rPr>
          <w:t>http://bit.l y/2PCLstg</w:t>
        </w:r>
      </w:hyperlink>
      <w:r w:rsidRPr="00881DF8">
        <w:rPr>
          <w:rFonts w:cstheme="minorHAnsi"/>
        </w:rPr>
        <w:t xml:space="preserve">  </w:t>
      </w:r>
    </w:p>
    <w:p w14:paraId="0ED4F29E" w14:textId="77777777" w:rsidR="00D255B4" w:rsidRPr="00881DF8" w:rsidRDefault="00D255B4" w:rsidP="00D255B4">
      <w:pPr>
        <w:ind w:left="720" w:hanging="720"/>
        <w:rPr>
          <w:rFonts w:cstheme="minorHAnsi"/>
        </w:rPr>
      </w:pPr>
      <w:r w:rsidRPr="00881DF8">
        <w:rPr>
          <w:rFonts w:cstheme="minorHAnsi"/>
        </w:rPr>
        <w:t xml:space="preserve">UNEP (2013b). Consultative process on financing options for chemicals and wastes: implementation of Governing Council decisions </w:t>
      </w:r>
      <w:proofErr w:type="gramStart"/>
      <w:r w:rsidRPr="00881DF8">
        <w:rPr>
          <w:rFonts w:cstheme="minorHAnsi"/>
        </w:rPr>
        <w:t>SS.XI</w:t>
      </w:r>
      <w:proofErr w:type="gramEnd"/>
      <w:r w:rsidRPr="00881DF8">
        <w:rPr>
          <w:rFonts w:cstheme="minorHAnsi"/>
        </w:rPr>
        <w:t xml:space="preserve">/8, 26/7 and SS.XII/4. Report by </w:t>
      </w:r>
      <w:r w:rsidRPr="00881DF8">
        <w:rPr>
          <w:rFonts w:cstheme="minorHAnsi"/>
        </w:rPr>
        <w:lastRenderedPageBreak/>
        <w:t xml:space="preserve">the Executive Director. UN Doc. UNEP/GC.27/7. Available online: </w:t>
      </w:r>
      <w:hyperlink r:id="rId63" w:history="1">
        <w:r w:rsidRPr="00881DF8">
          <w:rPr>
            <w:rStyle w:val="Hyperlink"/>
            <w:rFonts w:cstheme="minorHAnsi"/>
          </w:rPr>
          <w:t>http://bit.ly/2GVDHYM</w:t>
        </w:r>
      </w:hyperlink>
      <w:r w:rsidRPr="00881DF8">
        <w:rPr>
          <w:rFonts w:cstheme="minorHAnsi"/>
        </w:rPr>
        <w:t xml:space="preserve"> </w:t>
      </w:r>
    </w:p>
    <w:p w14:paraId="1A6C4302" w14:textId="77777777" w:rsidR="00D255B4" w:rsidRPr="00881DF8" w:rsidRDefault="00D255B4" w:rsidP="00D255B4">
      <w:pPr>
        <w:ind w:left="720" w:hanging="720"/>
        <w:rPr>
          <w:rFonts w:cstheme="minorHAnsi"/>
        </w:rPr>
      </w:pPr>
      <w:r w:rsidRPr="00881DF8">
        <w:rPr>
          <w:rFonts w:cstheme="minorHAnsi"/>
        </w:rPr>
        <w:t xml:space="preserve">UNEP (2015). Lira Guidance om the Development of Legal Infrastructures and Measures for Recovering Costs of National Administration for Sound Management of Chemicals and Waste. United Nations Environment </w:t>
      </w:r>
      <w:proofErr w:type="spellStart"/>
      <w:r w:rsidRPr="00881DF8">
        <w:rPr>
          <w:rFonts w:cstheme="minorHAnsi"/>
        </w:rPr>
        <w:t>Programme</w:t>
      </w:r>
      <w:proofErr w:type="spellEnd"/>
      <w:r w:rsidRPr="00881DF8">
        <w:rPr>
          <w:rFonts w:cstheme="minorHAnsi"/>
        </w:rPr>
        <w:t xml:space="preserve">. Available online: </w:t>
      </w:r>
      <w:hyperlink r:id="rId64" w:history="1">
        <w:r w:rsidRPr="00881DF8">
          <w:rPr>
            <w:rStyle w:val="Hyperlink"/>
            <w:rFonts w:cstheme="minorHAnsi"/>
          </w:rPr>
          <w:t>https://bit.ly/2KrG2Nf</w:t>
        </w:r>
      </w:hyperlink>
      <w:r w:rsidRPr="00881DF8">
        <w:rPr>
          <w:rFonts w:cstheme="minorHAnsi"/>
        </w:rPr>
        <w:t xml:space="preserve"> </w:t>
      </w:r>
    </w:p>
    <w:p w14:paraId="465372A0" w14:textId="77777777" w:rsidR="00D255B4" w:rsidRPr="00881DF8" w:rsidRDefault="00D255B4" w:rsidP="00D255B4">
      <w:pPr>
        <w:ind w:left="720" w:hanging="720"/>
        <w:rPr>
          <w:rFonts w:cstheme="minorHAnsi"/>
        </w:rPr>
      </w:pPr>
      <w:r w:rsidRPr="00881DF8">
        <w:rPr>
          <w:rFonts w:cstheme="minorHAnsi"/>
        </w:rPr>
        <w:t xml:space="preserve">UNEP (2019a). Global Chemicals Outlook II: From Legacies to Innovative Solutions. United Nations Environment </w:t>
      </w:r>
      <w:proofErr w:type="spellStart"/>
      <w:r w:rsidRPr="00881DF8">
        <w:rPr>
          <w:rFonts w:cstheme="minorHAnsi"/>
        </w:rPr>
        <w:t>Programme</w:t>
      </w:r>
      <w:proofErr w:type="spellEnd"/>
      <w:r w:rsidRPr="00881DF8">
        <w:rPr>
          <w:rFonts w:cstheme="minorHAnsi"/>
        </w:rPr>
        <w:t xml:space="preserve">. Available online: </w:t>
      </w:r>
      <w:hyperlink r:id="rId65" w:history="1">
        <w:r w:rsidRPr="00881DF8">
          <w:rPr>
            <w:rStyle w:val="Hyperlink"/>
            <w:rFonts w:cstheme="minorHAnsi"/>
          </w:rPr>
          <w:t>https://bit.ly/2ZGOlu2</w:t>
        </w:r>
      </w:hyperlink>
      <w:r w:rsidRPr="00881DF8">
        <w:rPr>
          <w:rFonts w:cstheme="minorHAnsi"/>
        </w:rPr>
        <w:t xml:space="preserve"> </w:t>
      </w:r>
    </w:p>
    <w:p w14:paraId="0A61483C" w14:textId="77777777" w:rsidR="00D255B4" w:rsidRPr="009268F8" w:rsidRDefault="00D255B4" w:rsidP="00D255B4">
      <w:pPr>
        <w:pStyle w:val="FootnoteText"/>
        <w:ind w:left="720" w:hanging="720"/>
        <w:rPr>
          <w:rFonts w:cstheme="minorHAnsi"/>
          <w:sz w:val="24"/>
          <w:szCs w:val="24"/>
          <w:lang w:val="fr-CH"/>
        </w:rPr>
      </w:pPr>
      <w:r w:rsidRPr="00881DF8">
        <w:rPr>
          <w:rFonts w:cstheme="minorHAnsi"/>
          <w:sz w:val="24"/>
          <w:szCs w:val="24"/>
        </w:rPr>
        <w:t xml:space="preserve">UNEP (2019b). Evaluation of the implementation of the integrated approach to financing the sound management of chemicals and waste. </w:t>
      </w:r>
      <w:r w:rsidRPr="009268F8">
        <w:rPr>
          <w:rFonts w:cstheme="minorHAnsi"/>
          <w:sz w:val="24"/>
          <w:szCs w:val="24"/>
          <w:lang w:val="fr-CH"/>
        </w:rPr>
        <w:t>UN Doc. UNEP</w:t>
      </w:r>
      <w:r w:rsidRPr="009268F8">
        <w:rPr>
          <w:rFonts w:cstheme="minorHAnsi"/>
          <w:noProof/>
          <w:sz w:val="24"/>
          <w:szCs w:val="24"/>
          <w:lang w:val="fr-CH"/>
        </w:rPr>
        <w:t>/EA.4/</w:t>
      </w:r>
      <w:r w:rsidRPr="009268F8">
        <w:rPr>
          <w:rFonts w:cstheme="minorHAnsi"/>
          <w:sz w:val="24"/>
          <w:szCs w:val="24"/>
          <w:lang w:val="fr-CH"/>
        </w:rPr>
        <w:t>INF.16</w:t>
      </w:r>
      <w:r w:rsidRPr="009268F8">
        <w:rPr>
          <w:rFonts w:cstheme="minorHAnsi"/>
          <w:sz w:val="24"/>
          <w:szCs w:val="24"/>
          <w:shd w:val="clear" w:color="auto" w:fill="FFFFFF"/>
          <w:lang w:val="fr-CH"/>
        </w:rPr>
        <w:t>.</w:t>
      </w:r>
      <w:r w:rsidRPr="009268F8">
        <w:rPr>
          <w:rFonts w:cstheme="minorHAnsi"/>
          <w:sz w:val="24"/>
          <w:szCs w:val="24"/>
          <w:lang w:val="fr-CH"/>
        </w:rPr>
        <w:t xml:space="preserve"> </w:t>
      </w:r>
      <w:proofErr w:type="spellStart"/>
      <w:r w:rsidRPr="009268F8">
        <w:rPr>
          <w:rFonts w:cstheme="minorHAnsi"/>
          <w:sz w:val="24"/>
          <w:szCs w:val="24"/>
          <w:lang w:val="fr-CH"/>
        </w:rPr>
        <w:t>Available</w:t>
      </w:r>
      <w:proofErr w:type="spellEnd"/>
      <w:r w:rsidRPr="009268F8">
        <w:rPr>
          <w:rFonts w:cstheme="minorHAnsi"/>
          <w:sz w:val="24"/>
          <w:szCs w:val="24"/>
          <w:lang w:val="fr-CH"/>
        </w:rPr>
        <w:t xml:space="preserve"> </w:t>
      </w:r>
      <w:proofErr w:type="gramStart"/>
      <w:r w:rsidRPr="009268F8">
        <w:rPr>
          <w:rFonts w:cstheme="minorHAnsi"/>
          <w:sz w:val="24"/>
          <w:szCs w:val="24"/>
          <w:lang w:val="fr-CH"/>
        </w:rPr>
        <w:t>online:</w:t>
      </w:r>
      <w:proofErr w:type="gramEnd"/>
      <w:r w:rsidRPr="009268F8">
        <w:rPr>
          <w:rFonts w:cstheme="minorHAnsi"/>
          <w:sz w:val="24"/>
          <w:szCs w:val="24"/>
          <w:lang w:val="fr-CH"/>
        </w:rPr>
        <w:t xml:space="preserve"> </w:t>
      </w:r>
      <w:hyperlink r:id="rId66" w:history="1">
        <w:r w:rsidRPr="009268F8">
          <w:rPr>
            <w:rStyle w:val="Hyperlink"/>
            <w:rFonts w:cstheme="minorHAnsi"/>
            <w:sz w:val="24"/>
            <w:szCs w:val="24"/>
            <w:lang w:val="fr-CH"/>
          </w:rPr>
          <w:t>http://bit.ly/2Kio1Jp</w:t>
        </w:r>
      </w:hyperlink>
      <w:r w:rsidRPr="009268F8">
        <w:rPr>
          <w:rFonts w:cstheme="minorHAnsi"/>
          <w:sz w:val="24"/>
          <w:szCs w:val="24"/>
          <w:lang w:val="fr-CH"/>
        </w:rPr>
        <w:t xml:space="preserve"> </w:t>
      </w:r>
    </w:p>
    <w:p w14:paraId="511CCCAF" w14:textId="77777777" w:rsidR="00D255B4" w:rsidRPr="00881DF8" w:rsidRDefault="00D255B4" w:rsidP="00D255B4">
      <w:pPr>
        <w:ind w:left="720" w:hanging="720"/>
        <w:jc w:val="both"/>
        <w:rPr>
          <w:rFonts w:cstheme="minorHAnsi"/>
        </w:rPr>
      </w:pPr>
      <w:r w:rsidRPr="00881DF8">
        <w:rPr>
          <w:rFonts w:cstheme="minorHAnsi"/>
        </w:rPr>
        <w:t xml:space="preserve">UNEP (2019c). UNEP Guidance: National authority for chemicals Control - Structure and Funding. Available online: </w:t>
      </w:r>
      <w:hyperlink r:id="rId67" w:history="1">
        <w:r w:rsidRPr="00C34388">
          <w:rPr>
            <w:rStyle w:val="Hyperlink"/>
            <w:rFonts w:cstheme="minorHAnsi"/>
          </w:rPr>
          <w:t>https://bit.ly/2kloLuV</w:t>
        </w:r>
      </w:hyperlink>
      <w:r>
        <w:rPr>
          <w:rFonts w:cstheme="minorHAnsi"/>
        </w:rPr>
        <w:t xml:space="preserve"> </w:t>
      </w:r>
    </w:p>
    <w:p w14:paraId="58E539D4" w14:textId="77777777" w:rsidR="00D255B4" w:rsidRPr="00881DF8" w:rsidRDefault="00D255B4" w:rsidP="00D255B4">
      <w:pPr>
        <w:ind w:left="720" w:hanging="720"/>
        <w:jc w:val="both"/>
        <w:rPr>
          <w:rFonts w:cstheme="minorHAnsi"/>
        </w:rPr>
      </w:pPr>
      <w:r w:rsidRPr="00881DF8">
        <w:rPr>
          <w:rFonts w:cstheme="minorHAnsi"/>
        </w:rPr>
        <w:t xml:space="preserve">UNEP (2019d). UNEP Guidance: Risk Reduction Tools for Chemicals Control. Available online: </w:t>
      </w:r>
      <w:hyperlink r:id="rId68" w:history="1">
        <w:r w:rsidRPr="00881DF8">
          <w:rPr>
            <w:rStyle w:val="Hyperlink"/>
            <w:rFonts w:cstheme="minorHAnsi"/>
          </w:rPr>
          <w:t>https://bit.ly/2NjK248</w:t>
        </w:r>
      </w:hyperlink>
      <w:r w:rsidRPr="00881DF8">
        <w:rPr>
          <w:rFonts w:cstheme="minorHAnsi"/>
        </w:rPr>
        <w:t xml:space="preserve">   </w:t>
      </w:r>
    </w:p>
    <w:p w14:paraId="6CE85533" w14:textId="77777777" w:rsidR="00D255B4" w:rsidRPr="00881DF8" w:rsidRDefault="00D255B4" w:rsidP="00D255B4">
      <w:pPr>
        <w:ind w:left="720" w:hanging="720"/>
        <w:jc w:val="both"/>
        <w:rPr>
          <w:rFonts w:cstheme="minorHAnsi"/>
        </w:rPr>
      </w:pPr>
      <w:r w:rsidRPr="00881DF8">
        <w:rPr>
          <w:rFonts w:cstheme="minorHAnsi"/>
        </w:rPr>
        <w:t>UNEP (2019e). Enhancement of chemicals legislation. Available online: https://bit.ly/2lVTi2L</w:t>
      </w:r>
    </w:p>
    <w:p w14:paraId="281987E8" w14:textId="77777777" w:rsidR="00D255B4" w:rsidRPr="00881DF8" w:rsidRDefault="00D255B4" w:rsidP="00D255B4">
      <w:pPr>
        <w:ind w:left="720" w:hanging="720"/>
        <w:rPr>
          <w:rFonts w:cstheme="minorHAnsi"/>
        </w:rPr>
      </w:pPr>
      <w:r w:rsidRPr="00881DF8">
        <w:rPr>
          <w:rFonts w:cstheme="minorHAnsi"/>
        </w:rPr>
        <w:t xml:space="preserve">VIDC (2018). A climate of fairness. Environmental Taxation and Tax Justice in Developing Countries. Vienna Institute for International Dialogue and Cooperation. Available online: </w:t>
      </w:r>
      <w:hyperlink r:id="rId69" w:history="1">
        <w:r w:rsidRPr="00881DF8">
          <w:rPr>
            <w:rStyle w:val="Hyperlink"/>
            <w:rFonts w:cstheme="minorHAnsi"/>
          </w:rPr>
          <w:t>https://bit.ly/2NJpFxg</w:t>
        </w:r>
      </w:hyperlink>
      <w:r w:rsidRPr="00881DF8">
        <w:rPr>
          <w:rFonts w:cstheme="minorHAnsi"/>
        </w:rPr>
        <w:t xml:space="preserve"> </w:t>
      </w:r>
    </w:p>
    <w:p w14:paraId="767F84DA" w14:textId="77777777" w:rsidR="00D255B4" w:rsidRPr="00881DF8" w:rsidRDefault="00D255B4" w:rsidP="00D255B4">
      <w:pPr>
        <w:ind w:left="720" w:hanging="720"/>
        <w:rPr>
          <w:rFonts w:cstheme="minorHAnsi"/>
        </w:rPr>
      </w:pPr>
      <w:r w:rsidRPr="00881DF8">
        <w:rPr>
          <w:rFonts w:cstheme="minorHAnsi"/>
        </w:rPr>
        <w:t xml:space="preserve">World Bank (1999). Pollution prevention and abatement handbook 1998: Toward Cleaner Production. Available online: </w:t>
      </w:r>
      <w:hyperlink r:id="rId70" w:history="1">
        <w:r w:rsidRPr="00881DF8">
          <w:rPr>
            <w:rStyle w:val="Hyperlink"/>
            <w:rFonts w:cstheme="minorHAnsi"/>
          </w:rPr>
          <w:t>http://bit.ly/2MeCCzs</w:t>
        </w:r>
      </w:hyperlink>
      <w:r w:rsidRPr="00881DF8">
        <w:rPr>
          <w:rFonts w:cstheme="minorHAnsi"/>
        </w:rPr>
        <w:t xml:space="preserve"> </w:t>
      </w:r>
    </w:p>
    <w:p w14:paraId="15189A88" w14:textId="77777777" w:rsidR="00D255B4" w:rsidRPr="00881DF8" w:rsidRDefault="00D255B4" w:rsidP="00D255B4">
      <w:pPr>
        <w:ind w:left="720" w:hanging="720"/>
        <w:jc w:val="both"/>
        <w:rPr>
          <w:rFonts w:cstheme="minorHAnsi"/>
        </w:rPr>
      </w:pPr>
      <w:r w:rsidRPr="00881DF8">
        <w:rPr>
          <w:rFonts w:cstheme="minorHAnsi"/>
        </w:rPr>
        <w:t xml:space="preserve">World Bank (2019). State and trends of carbon pricing 2019. Available online: </w:t>
      </w:r>
      <w:hyperlink r:id="rId71" w:history="1">
        <w:r w:rsidRPr="00881DF8">
          <w:rPr>
            <w:rStyle w:val="Hyperlink"/>
            <w:rFonts w:cstheme="minorHAnsi"/>
          </w:rPr>
          <w:t>https://bit.ly/2QKt5j4</w:t>
        </w:r>
      </w:hyperlink>
      <w:r w:rsidRPr="00881DF8">
        <w:rPr>
          <w:rFonts w:cstheme="minorHAnsi"/>
        </w:rPr>
        <w:t xml:space="preserve"> </w:t>
      </w:r>
    </w:p>
    <w:p w14:paraId="6BED0648" w14:textId="77777777" w:rsidR="00D255B4" w:rsidRPr="00881DF8" w:rsidRDefault="00D255B4" w:rsidP="00D255B4">
      <w:pPr>
        <w:ind w:left="720" w:hanging="720"/>
        <w:rPr>
          <w:rFonts w:cstheme="minorHAnsi"/>
        </w:rPr>
      </w:pPr>
      <w:r w:rsidRPr="00881DF8">
        <w:rPr>
          <w:rFonts w:cstheme="minorHAnsi"/>
        </w:rPr>
        <w:t xml:space="preserve">World Commission (1987). Report of the World Commission on Environment and Development: Our Common Future. Available online: </w:t>
      </w:r>
      <w:hyperlink r:id="rId72" w:history="1">
        <w:r w:rsidRPr="00881DF8">
          <w:rPr>
            <w:rStyle w:val="Hyperlink"/>
            <w:rFonts w:cstheme="minorHAnsi"/>
          </w:rPr>
          <w:t>https://bit.ly/30LjLQs</w:t>
        </w:r>
      </w:hyperlink>
      <w:r w:rsidRPr="00881DF8">
        <w:rPr>
          <w:rFonts w:cstheme="minorHAnsi"/>
        </w:rPr>
        <w:t xml:space="preserve"> </w:t>
      </w:r>
    </w:p>
    <w:p w14:paraId="7F16DECE" w14:textId="77777777" w:rsidR="00D255B4" w:rsidRPr="00881DF8" w:rsidRDefault="00D255B4" w:rsidP="00D255B4">
      <w:pPr>
        <w:ind w:left="720" w:hanging="720"/>
        <w:rPr>
          <w:rFonts w:cstheme="minorHAnsi"/>
        </w:rPr>
      </w:pPr>
      <w:proofErr w:type="spellStart"/>
      <w:r w:rsidRPr="00881DF8">
        <w:rPr>
          <w:rFonts w:cstheme="minorHAnsi"/>
        </w:rPr>
        <w:t>Zahar</w:t>
      </w:r>
      <w:proofErr w:type="spellEnd"/>
      <w:r w:rsidRPr="00881DF8">
        <w:rPr>
          <w:rFonts w:cstheme="minorHAnsi"/>
        </w:rPr>
        <w:t xml:space="preserve">, A. (2018). Implementation of the Polluter Pays Principle in China. </w:t>
      </w:r>
      <w:proofErr w:type="spellStart"/>
      <w:r w:rsidRPr="00881DF8">
        <w:rPr>
          <w:rFonts w:cstheme="minorHAnsi"/>
        </w:rPr>
        <w:t>Reciel</w:t>
      </w:r>
      <w:proofErr w:type="spellEnd"/>
      <w:r w:rsidRPr="00881DF8">
        <w:rPr>
          <w:rFonts w:cstheme="minorHAnsi"/>
        </w:rPr>
        <w:t xml:space="preserve"> 27: 293-305. </w:t>
      </w:r>
    </w:p>
    <w:p w14:paraId="2B6E7F58" w14:textId="77777777" w:rsidR="00D255B4" w:rsidRPr="00881DF8" w:rsidRDefault="00D255B4" w:rsidP="00D255B4">
      <w:pPr>
        <w:ind w:left="720" w:hanging="720"/>
        <w:rPr>
          <w:rFonts w:cstheme="minorHAnsi"/>
        </w:rPr>
      </w:pPr>
      <w:r w:rsidRPr="00881DF8">
        <w:rPr>
          <w:rFonts w:cstheme="minorHAnsi"/>
        </w:rPr>
        <w:t xml:space="preserve">Zero Waste Europe (2017). Extended Producer Responsibility: Creating the Frame for Circular Products. Position Paper. Available online: </w:t>
      </w:r>
      <w:hyperlink r:id="rId73" w:history="1">
        <w:r w:rsidRPr="00881DF8">
          <w:rPr>
            <w:rStyle w:val="Hyperlink"/>
            <w:rFonts w:cstheme="minorHAnsi"/>
          </w:rPr>
          <w:t>http://bit.ly/2ZLpHaF</w:t>
        </w:r>
      </w:hyperlink>
      <w:r w:rsidRPr="00881DF8">
        <w:rPr>
          <w:rFonts w:cstheme="minorHAnsi"/>
        </w:rPr>
        <w:t xml:space="preserve"> </w:t>
      </w:r>
    </w:p>
    <w:p w14:paraId="12DE66E0" w14:textId="57D7EF66" w:rsidR="002D26AF" w:rsidRPr="00D255B4" w:rsidRDefault="002D26AF" w:rsidP="00D255B4">
      <w:pPr>
        <w:rPr>
          <w:rFonts w:asciiTheme="majorBidi" w:hAnsiTheme="majorBidi" w:cstheme="majorBidi"/>
          <w:b/>
          <w:sz w:val="28"/>
          <w:szCs w:val="28"/>
        </w:rPr>
      </w:pPr>
    </w:p>
    <w:sectPr w:rsidR="002D26AF" w:rsidRPr="00D255B4" w:rsidSect="004C5942">
      <w:headerReference w:type="even" r:id="rId74"/>
      <w:headerReference w:type="default" r:id="rId75"/>
      <w:footerReference w:type="even" r:id="rId76"/>
      <w:footerReference w:type="default" r:id="rId77"/>
      <w:pgSz w:w="11900" w:h="16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89E94" w14:textId="77777777" w:rsidR="00D54D68" w:rsidRDefault="00D54D68" w:rsidP="00BC5218">
      <w:r>
        <w:separator/>
      </w:r>
    </w:p>
  </w:endnote>
  <w:endnote w:type="continuationSeparator" w:id="0">
    <w:p w14:paraId="23D212B5" w14:textId="77777777" w:rsidR="00D54D68" w:rsidRDefault="00D54D68" w:rsidP="00BC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65465"/>
      <w:docPartObj>
        <w:docPartGallery w:val="Page Numbers (Bottom of Page)"/>
        <w:docPartUnique/>
      </w:docPartObj>
    </w:sdtPr>
    <w:sdtEndPr>
      <w:rPr>
        <w:rFonts w:asciiTheme="majorBidi" w:hAnsiTheme="majorBidi" w:cstheme="majorBidi"/>
        <w:noProof/>
        <w:sz w:val="20"/>
        <w:szCs w:val="20"/>
      </w:rPr>
    </w:sdtEndPr>
    <w:sdtContent>
      <w:p w14:paraId="5033217A" w14:textId="6D689D1D" w:rsidR="00014F8D" w:rsidRPr="00F60ADC" w:rsidRDefault="00014F8D" w:rsidP="00F60ADC">
        <w:pPr>
          <w:pStyle w:val="Footer"/>
          <w:rPr>
            <w:rFonts w:asciiTheme="majorBidi" w:hAnsiTheme="majorBidi" w:cstheme="majorBidi"/>
            <w:sz w:val="20"/>
            <w:szCs w:val="20"/>
          </w:rPr>
        </w:pPr>
        <w:r w:rsidRPr="00F60ADC">
          <w:rPr>
            <w:rFonts w:asciiTheme="majorBidi" w:hAnsiTheme="majorBidi" w:cstheme="majorBidi"/>
            <w:sz w:val="20"/>
            <w:szCs w:val="20"/>
          </w:rPr>
          <w:fldChar w:fldCharType="begin"/>
        </w:r>
        <w:r w:rsidRPr="00F60ADC">
          <w:rPr>
            <w:rFonts w:asciiTheme="majorBidi" w:hAnsiTheme="majorBidi" w:cstheme="majorBidi"/>
            <w:sz w:val="20"/>
            <w:szCs w:val="20"/>
          </w:rPr>
          <w:instrText xml:space="preserve"> PAGE   \* MERGEFORMAT </w:instrText>
        </w:r>
        <w:r w:rsidRPr="00F60ADC">
          <w:rPr>
            <w:rFonts w:asciiTheme="majorBidi" w:hAnsiTheme="majorBidi" w:cstheme="majorBidi"/>
            <w:sz w:val="20"/>
            <w:szCs w:val="20"/>
          </w:rPr>
          <w:fldChar w:fldCharType="separate"/>
        </w:r>
        <w:r w:rsidR="0047373B">
          <w:rPr>
            <w:rFonts w:asciiTheme="majorBidi" w:hAnsiTheme="majorBidi" w:cstheme="majorBidi"/>
            <w:noProof/>
            <w:sz w:val="20"/>
            <w:szCs w:val="20"/>
          </w:rPr>
          <w:t>14</w:t>
        </w:r>
        <w:r w:rsidRPr="00F60ADC">
          <w:rPr>
            <w:rFonts w:asciiTheme="majorBidi" w:hAnsiTheme="majorBidi" w:cstheme="majorBidi"/>
            <w:noProof/>
            <w:sz w:val="20"/>
            <w:szCs w:val="20"/>
          </w:rPr>
          <w:fldChar w:fldCharType="end"/>
        </w:r>
      </w:p>
    </w:sdtContent>
  </w:sdt>
  <w:p w14:paraId="06A8B376" w14:textId="77777777" w:rsidR="00014F8D" w:rsidRDefault="00014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976893"/>
      <w:docPartObj>
        <w:docPartGallery w:val="Page Numbers (Bottom of Page)"/>
        <w:docPartUnique/>
      </w:docPartObj>
    </w:sdtPr>
    <w:sdtEndPr>
      <w:rPr>
        <w:noProof/>
        <w:sz w:val="20"/>
        <w:szCs w:val="20"/>
      </w:rPr>
    </w:sdtEndPr>
    <w:sdtContent>
      <w:p w14:paraId="5B9E1720" w14:textId="5204D4B8" w:rsidR="00014F8D" w:rsidRPr="00F60ADC" w:rsidRDefault="00014F8D" w:rsidP="00F60ADC">
        <w:pPr>
          <w:pStyle w:val="Footer"/>
          <w:jc w:val="right"/>
          <w:rPr>
            <w:sz w:val="20"/>
            <w:szCs w:val="20"/>
          </w:rPr>
        </w:pPr>
        <w:r w:rsidRPr="00F60ADC">
          <w:rPr>
            <w:sz w:val="20"/>
            <w:szCs w:val="20"/>
          </w:rPr>
          <w:fldChar w:fldCharType="begin"/>
        </w:r>
        <w:r w:rsidRPr="00F60ADC">
          <w:rPr>
            <w:sz w:val="20"/>
            <w:szCs w:val="20"/>
          </w:rPr>
          <w:instrText xml:space="preserve"> PAGE   \* MERGEFORMAT </w:instrText>
        </w:r>
        <w:r w:rsidRPr="00F60ADC">
          <w:rPr>
            <w:sz w:val="20"/>
            <w:szCs w:val="20"/>
          </w:rPr>
          <w:fldChar w:fldCharType="separate"/>
        </w:r>
        <w:r w:rsidR="0047373B">
          <w:rPr>
            <w:noProof/>
            <w:sz w:val="20"/>
            <w:szCs w:val="20"/>
          </w:rPr>
          <w:t>13</w:t>
        </w:r>
        <w:r w:rsidRPr="00F60ADC">
          <w:rPr>
            <w:noProof/>
            <w:sz w:val="20"/>
            <w:szCs w:val="20"/>
          </w:rPr>
          <w:fldChar w:fldCharType="end"/>
        </w:r>
      </w:p>
    </w:sdtContent>
  </w:sdt>
  <w:p w14:paraId="337C9312" w14:textId="4D22FB05" w:rsidR="00014F8D" w:rsidRDefault="00014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9C919" w14:textId="77777777" w:rsidR="00D54D68" w:rsidRDefault="00D54D68" w:rsidP="00BC5218">
      <w:r>
        <w:separator/>
      </w:r>
    </w:p>
  </w:footnote>
  <w:footnote w:type="continuationSeparator" w:id="0">
    <w:p w14:paraId="4505DA16" w14:textId="77777777" w:rsidR="00D54D68" w:rsidRDefault="00D54D68" w:rsidP="00BC5218">
      <w:r>
        <w:continuationSeparator/>
      </w:r>
    </w:p>
  </w:footnote>
  <w:footnote w:id="1">
    <w:p w14:paraId="6F840768" w14:textId="77777777" w:rsidR="00786A3C" w:rsidRPr="00CF5C18" w:rsidRDefault="00786A3C" w:rsidP="00786A3C">
      <w:pPr>
        <w:pStyle w:val="FootnoteText"/>
        <w:rPr>
          <w:lang w:val="fr-CH"/>
        </w:rPr>
      </w:pPr>
      <w:r>
        <w:rPr>
          <w:rStyle w:val="FootnoteReference"/>
        </w:rPr>
        <w:footnoteRef/>
      </w:r>
      <w:r>
        <w:t xml:space="preserve"> </w:t>
      </w:r>
      <w:r w:rsidRPr="0032459A">
        <w:rPr>
          <w:rFonts w:ascii="Times New Roman" w:hAnsi="Times New Roman" w:cs="Times New Roman"/>
          <w:sz w:val="18"/>
          <w:szCs w:val="18"/>
        </w:rPr>
        <w:t>SAICM/IP.3/1</w:t>
      </w:r>
    </w:p>
  </w:footnote>
  <w:footnote w:id="2">
    <w:p w14:paraId="3B7171BE" w14:textId="77777777" w:rsidR="00D255B4" w:rsidRPr="009268F8" w:rsidRDefault="00D255B4" w:rsidP="00D255B4">
      <w:pPr>
        <w:pStyle w:val="FootnoteText"/>
        <w:rPr>
          <w:lang w:val="es-ES"/>
        </w:rPr>
      </w:pPr>
      <w:r>
        <w:rPr>
          <w:rStyle w:val="FootnoteReference"/>
        </w:rPr>
        <w:footnoteRef/>
      </w:r>
      <w:r w:rsidRPr="009268F8">
        <w:rPr>
          <w:lang w:val="es-ES"/>
        </w:rPr>
        <w:t xml:space="preserve"> ICCM4 </w:t>
      </w:r>
      <w:proofErr w:type="spellStart"/>
      <w:r w:rsidRPr="009268F8">
        <w:rPr>
          <w:lang w:val="es-ES"/>
        </w:rPr>
        <w:t>resolution</w:t>
      </w:r>
      <w:proofErr w:type="spellEnd"/>
      <w:r w:rsidRPr="009268F8">
        <w:rPr>
          <w:lang w:val="es-ES"/>
        </w:rPr>
        <w:t xml:space="preserve"> IV/1 (para 1)</w:t>
      </w:r>
    </w:p>
  </w:footnote>
  <w:footnote w:id="3">
    <w:p w14:paraId="0A255D65" w14:textId="77777777" w:rsidR="00D255B4" w:rsidRPr="009268F8" w:rsidRDefault="00D255B4" w:rsidP="00D255B4">
      <w:pPr>
        <w:pStyle w:val="FootnoteText"/>
        <w:rPr>
          <w:lang w:val="es-ES"/>
        </w:rPr>
      </w:pPr>
      <w:r>
        <w:rPr>
          <w:rStyle w:val="FootnoteReference"/>
        </w:rPr>
        <w:footnoteRef/>
      </w:r>
      <w:r w:rsidRPr="009268F8">
        <w:rPr>
          <w:lang w:val="es-ES"/>
        </w:rPr>
        <w:t xml:space="preserve"> UNEP/EA.4/Res. 8 (para 8)</w:t>
      </w:r>
    </w:p>
  </w:footnote>
  <w:footnote w:id="4">
    <w:p w14:paraId="567C9739" w14:textId="77777777" w:rsidR="00D255B4" w:rsidRPr="002444C0" w:rsidRDefault="00D255B4" w:rsidP="00D255B4">
      <w:pPr>
        <w:pStyle w:val="FootnoteText"/>
      </w:pPr>
      <w:r w:rsidRPr="002444C0">
        <w:rPr>
          <w:rStyle w:val="FootnoteReference"/>
        </w:rPr>
        <w:footnoteRef/>
      </w:r>
      <w:r w:rsidRPr="002444C0">
        <w:t xml:space="preserve"> </w:t>
      </w:r>
      <w:r w:rsidRPr="002444C0">
        <w:rPr>
          <w:rFonts w:cstheme="minorHAnsi"/>
        </w:rPr>
        <w:t>Recommendations 2 and 5</w:t>
      </w:r>
    </w:p>
  </w:footnote>
  <w:footnote w:id="5">
    <w:p w14:paraId="04C25401" w14:textId="77777777" w:rsidR="00D255B4" w:rsidRDefault="00D255B4" w:rsidP="00D255B4">
      <w:pPr>
        <w:pStyle w:val="FootnoteText"/>
      </w:pPr>
      <w:r w:rsidRPr="002444C0">
        <w:rPr>
          <w:rStyle w:val="FootnoteReference"/>
        </w:rPr>
        <w:footnoteRef/>
      </w:r>
      <w:r w:rsidRPr="002444C0">
        <w:t xml:space="preserve"> R</w:t>
      </w:r>
      <w:r w:rsidRPr="002444C0">
        <w:rPr>
          <w:rFonts w:cstheme="minorHAnsi"/>
        </w:rPr>
        <w:t>ecommendation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EF93" w14:textId="4EE9C2C9" w:rsidR="00014F8D" w:rsidRDefault="00014F8D">
    <w:pPr>
      <w:pStyle w:val="Header"/>
    </w:pPr>
    <w:r>
      <w:rPr>
        <w:noProof/>
      </w:rPr>
      <mc:AlternateContent>
        <mc:Choice Requires="wps">
          <w:drawing>
            <wp:anchor distT="0" distB="0" distL="114300" distR="114300" simplePos="0" relativeHeight="251656192" behindDoc="0" locked="0" layoutInCell="1" allowOverlap="1" wp14:anchorId="1221CA05" wp14:editId="79E8FF63">
              <wp:simplePos x="0" y="0"/>
              <wp:positionH relativeFrom="margin">
                <wp:align>right</wp:align>
              </wp:positionH>
              <wp:positionV relativeFrom="paragraph">
                <wp:posOffset>139065</wp:posOffset>
              </wp:positionV>
              <wp:extent cx="57252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36966" id="Straight Connector 1" o:spid="_x0000_s1026" style="position:absolute;z-index:251656192;visibility:visible;mso-wrap-style:square;mso-wrap-distance-left:9pt;mso-wrap-distance-top:0;mso-wrap-distance-right:9pt;mso-wrap-distance-bottom:0;mso-position-horizontal:right;mso-position-horizontal-relative:margin;mso-position-vertical:absolute;mso-position-vertical-relative:text" from="399.6pt,10.95pt" to="850.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SItQEAALcDAAAOAAAAZHJzL2Uyb0RvYy54bWysU8GO0zAQvSPxD5bvNG3RLihquoeu4IKg&#10;YtkP8DrjxsL2WGPTpH/P2G2zCBBCiIvjsd+bmfc82dxN3okjULIYOrlaLKWAoLG34dDJxy/vXr2V&#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" strokecolor="black [3200]" strokeweight=".5pt">
              <v:stroke joinstyle="miter"/>
              <w10:wrap anchorx="margin"/>
            </v:line>
          </w:pict>
        </mc:Fallback>
      </mc:AlternateContent>
    </w: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Pr="00817538">
      <w:rPr>
        <w:rFonts w:ascii="Times New Roman" w:hAnsi="Times New Roman"/>
        <w:sz w:val="20"/>
        <w:szCs w:val="20"/>
      </w:rPr>
      <w:t>/</w:t>
    </w:r>
    <w:r w:rsidR="00FB6574">
      <w:rPr>
        <w:rFonts w:ascii="Times New Roman" w:hAnsi="Times New Roman"/>
        <w:sz w:val="20"/>
        <w:szCs w:val="2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02E8" w14:textId="75FE2E8B" w:rsidR="00014F8D" w:rsidRDefault="00014F8D" w:rsidP="00F60ADC">
    <w:pPr>
      <w:pStyle w:val="Header"/>
      <w:jc w:val="right"/>
    </w:pPr>
    <w:r>
      <w:rPr>
        <w:noProof/>
      </w:rPr>
      <mc:AlternateContent>
        <mc:Choice Requires="wps">
          <w:drawing>
            <wp:anchor distT="0" distB="0" distL="114300" distR="114300" simplePos="0" relativeHeight="251660288" behindDoc="0" locked="0" layoutInCell="1" allowOverlap="1" wp14:anchorId="1319965C" wp14:editId="245164FC">
              <wp:simplePos x="0" y="0"/>
              <wp:positionH relativeFrom="margin">
                <wp:align>right</wp:align>
              </wp:positionH>
              <wp:positionV relativeFrom="paragraph">
                <wp:posOffset>135484</wp:posOffset>
              </wp:positionV>
              <wp:extent cx="572523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AEA70" id="Straight Connector 2" o:spid="_x0000_s1026" style="position:absolute;z-index:251660288;visibility:visible;mso-wrap-style:square;mso-wrap-distance-left:9pt;mso-wrap-distance-top:0;mso-wrap-distance-right:9pt;mso-wrap-distance-bottom:0;mso-position-horizontal:right;mso-position-horizontal-relative:margin;mso-position-vertical:absolute;mso-position-vertical-relative:text" from="399.6pt,10.65pt" to="850.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" strokecolor="black [3200]" strokeweight=".5pt">
              <v:stroke joinstyle="miter"/>
              <w10:wrap anchorx="margin"/>
            </v:line>
          </w:pict>
        </mc:Fallback>
      </mc:AlternateContent>
    </w: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Pr="00817538">
      <w:rPr>
        <w:rFonts w:ascii="Times New Roman" w:hAnsi="Times New Roman"/>
        <w:sz w:val="20"/>
        <w:szCs w:val="20"/>
      </w:rPr>
      <w:t>/</w:t>
    </w:r>
    <w:r w:rsidR="00FB6574">
      <w:rPr>
        <w:rFonts w:ascii="Times New Roman" w:hAnsi="Times New Roman"/>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0E67"/>
    <w:multiLevelType w:val="hybridMultilevel"/>
    <w:tmpl w:val="B7F0E046"/>
    <w:lvl w:ilvl="0" w:tplc="E828D04E">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AF8604B"/>
    <w:multiLevelType w:val="hybridMultilevel"/>
    <w:tmpl w:val="C27A4F9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559017D"/>
    <w:multiLevelType w:val="hybridMultilevel"/>
    <w:tmpl w:val="8D8A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E38E7"/>
    <w:multiLevelType w:val="hybridMultilevel"/>
    <w:tmpl w:val="6A82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E2382"/>
    <w:multiLevelType w:val="hybridMultilevel"/>
    <w:tmpl w:val="DD72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66A9D"/>
    <w:multiLevelType w:val="multilevel"/>
    <w:tmpl w:val="1B76E802"/>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6" w15:restartNumberingAfterBreak="0">
    <w:nsid w:val="72F322A7"/>
    <w:multiLevelType w:val="multilevel"/>
    <w:tmpl w:val="9EAEE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0D7DB2"/>
    <w:multiLevelType w:val="hybridMultilevel"/>
    <w:tmpl w:val="D542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7"/>
  </w:num>
  <w:num w:numId="6">
    <w:abstractNumId w:val="2"/>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E8"/>
    <w:rsid w:val="00005508"/>
    <w:rsid w:val="00012933"/>
    <w:rsid w:val="00014F8D"/>
    <w:rsid w:val="00031EF0"/>
    <w:rsid w:val="00037B84"/>
    <w:rsid w:val="00042EB3"/>
    <w:rsid w:val="00045A93"/>
    <w:rsid w:val="0004719C"/>
    <w:rsid w:val="000752D9"/>
    <w:rsid w:val="0009026B"/>
    <w:rsid w:val="000A0E4F"/>
    <w:rsid w:val="000A1322"/>
    <w:rsid w:val="000A664C"/>
    <w:rsid w:val="000A7251"/>
    <w:rsid w:val="000A751B"/>
    <w:rsid w:val="000B4A65"/>
    <w:rsid w:val="00105883"/>
    <w:rsid w:val="00116AFB"/>
    <w:rsid w:val="00127944"/>
    <w:rsid w:val="00127B7E"/>
    <w:rsid w:val="0013103D"/>
    <w:rsid w:val="00153E74"/>
    <w:rsid w:val="001555E6"/>
    <w:rsid w:val="00161E82"/>
    <w:rsid w:val="00174BC6"/>
    <w:rsid w:val="001867B7"/>
    <w:rsid w:val="00192545"/>
    <w:rsid w:val="001B0D9D"/>
    <w:rsid w:val="001D0C0A"/>
    <w:rsid w:val="001D77FD"/>
    <w:rsid w:val="001E1303"/>
    <w:rsid w:val="001E58FC"/>
    <w:rsid w:val="002066EE"/>
    <w:rsid w:val="002176B9"/>
    <w:rsid w:val="00256FDC"/>
    <w:rsid w:val="00257F77"/>
    <w:rsid w:val="00257FEC"/>
    <w:rsid w:val="0026426E"/>
    <w:rsid w:val="002644A3"/>
    <w:rsid w:val="002708C9"/>
    <w:rsid w:val="00271DD7"/>
    <w:rsid w:val="0027222C"/>
    <w:rsid w:val="002A469D"/>
    <w:rsid w:val="002A6BC3"/>
    <w:rsid w:val="002B663C"/>
    <w:rsid w:val="002D26AF"/>
    <w:rsid w:val="002D3952"/>
    <w:rsid w:val="002F0950"/>
    <w:rsid w:val="00300B37"/>
    <w:rsid w:val="00302B17"/>
    <w:rsid w:val="00310FA0"/>
    <w:rsid w:val="003251C6"/>
    <w:rsid w:val="003307B3"/>
    <w:rsid w:val="003340F3"/>
    <w:rsid w:val="00334A84"/>
    <w:rsid w:val="003573F3"/>
    <w:rsid w:val="0035772F"/>
    <w:rsid w:val="00374EA3"/>
    <w:rsid w:val="00381806"/>
    <w:rsid w:val="003822F5"/>
    <w:rsid w:val="003847CC"/>
    <w:rsid w:val="00384C2E"/>
    <w:rsid w:val="0039465F"/>
    <w:rsid w:val="003A1DD8"/>
    <w:rsid w:val="003C239D"/>
    <w:rsid w:val="003C7C09"/>
    <w:rsid w:val="003C7C35"/>
    <w:rsid w:val="003D3132"/>
    <w:rsid w:val="003D3FCB"/>
    <w:rsid w:val="003E10AE"/>
    <w:rsid w:val="00411D3D"/>
    <w:rsid w:val="004148F4"/>
    <w:rsid w:val="00420495"/>
    <w:rsid w:val="00420519"/>
    <w:rsid w:val="00425B24"/>
    <w:rsid w:val="00426091"/>
    <w:rsid w:val="0043057C"/>
    <w:rsid w:val="00433547"/>
    <w:rsid w:val="004542C4"/>
    <w:rsid w:val="00460EB9"/>
    <w:rsid w:val="004618E1"/>
    <w:rsid w:val="0046454B"/>
    <w:rsid w:val="00464F0B"/>
    <w:rsid w:val="004675EF"/>
    <w:rsid w:val="00471639"/>
    <w:rsid w:val="00473061"/>
    <w:rsid w:val="0047373B"/>
    <w:rsid w:val="00485F1C"/>
    <w:rsid w:val="00487EEE"/>
    <w:rsid w:val="004A53DD"/>
    <w:rsid w:val="004A5FA6"/>
    <w:rsid w:val="004C3B72"/>
    <w:rsid w:val="004C5942"/>
    <w:rsid w:val="004D2683"/>
    <w:rsid w:val="004D43D3"/>
    <w:rsid w:val="004E4BEC"/>
    <w:rsid w:val="004E547E"/>
    <w:rsid w:val="004F2672"/>
    <w:rsid w:val="004F6E0B"/>
    <w:rsid w:val="00521AE9"/>
    <w:rsid w:val="00524FAD"/>
    <w:rsid w:val="005259C9"/>
    <w:rsid w:val="00530333"/>
    <w:rsid w:val="00531B9F"/>
    <w:rsid w:val="00533B8F"/>
    <w:rsid w:val="005346D2"/>
    <w:rsid w:val="00536BAC"/>
    <w:rsid w:val="00544FC7"/>
    <w:rsid w:val="005671D6"/>
    <w:rsid w:val="00586EEA"/>
    <w:rsid w:val="005A3F53"/>
    <w:rsid w:val="005C31D1"/>
    <w:rsid w:val="005C4555"/>
    <w:rsid w:val="005C5E14"/>
    <w:rsid w:val="005D1DE1"/>
    <w:rsid w:val="005D1E29"/>
    <w:rsid w:val="005E45CD"/>
    <w:rsid w:val="005F5132"/>
    <w:rsid w:val="006213DE"/>
    <w:rsid w:val="00626758"/>
    <w:rsid w:val="006342E8"/>
    <w:rsid w:val="00637434"/>
    <w:rsid w:val="006440B1"/>
    <w:rsid w:val="00654044"/>
    <w:rsid w:val="006542B4"/>
    <w:rsid w:val="00681866"/>
    <w:rsid w:val="0068287E"/>
    <w:rsid w:val="00693D81"/>
    <w:rsid w:val="006A1C10"/>
    <w:rsid w:val="006A2E86"/>
    <w:rsid w:val="006B1668"/>
    <w:rsid w:val="006B5D17"/>
    <w:rsid w:val="006B7D33"/>
    <w:rsid w:val="006C25CE"/>
    <w:rsid w:val="006C287F"/>
    <w:rsid w:val="006D110C"/>
    <w:rsid w:val="006D3D47"/>
    <w:rsid w:val="006D3D4E"/>
    <w:rsid w:val="006F1805"/>
    <w:rsid w:val="006F2861"/>
    <w:rsid w:val="006F478C"/>
    <w:rsid w:val="00701798"/>
    <w:rsid w:val="00707F06"/>
    <w:rsid w:val="00712C7A"/>
    <w:rsid w:val="007226F5"/>
    <w:rsid w:val="00731668"/>
    <w:rsid w:val="0073235B"/>
    <w:rsid w:val="007374B1"/>
    <w:rsid w:val="00745969"/>
    <w:rsid w:val="007563C8"/>
    <w:rsid w:val="00762E07"/>
    <w:rsid w:val="00765D1C"/>
    <w:rsid w:val="00771798"/>
    <w:rsid w:val="00774843"/>
    <w:rsid w:val="00777408"/>
    <w:rsid w:val="00786A3C"/>
    <w:rsid w:val="00790F29"/>
    <w:rsid w:val="00791D9A"/>
    <w:rsid w:val="00793FA6"/>
    <w:rsid w:val="00795CC7"/>
    <w:rsid w:val="007A02EF"/>
    <w:rsid w:val="007A7591"/>
    <w:rsid w:val="007B3A65"/>
    <w:rsid w:val="007B3B84"/>
    <w:rsid w:val="007F2379"/>
    <w:rsid w:val="00811F2E"/>
    <w:rsid w:val="00820E97"/>
    <w:rsid w:val="00831E0A"/>
    <w:rsid w:val="00840DED"/>
    <w:rsid w:val="00850CCF"/>
    <w:rsid w:val="00855361"/>
    <w:rsid w:val="00863031"/>
    <w:rsid w:val="0089200D"/>
    <w:rsid w:val="008A2160"/>
    <w:rsid w:val="008A79E8"/>
    <w:rsid w:val="008C0729"/>
    <w:rsid w:val="008C72AB"/>
    <w:rsid w:val="008D021F"/>
    <w:rsid w:val="008D0595"/>
    <w:rsid w:val="008E7175"/>
    <w:rsid w:val="008E7819"/>
    <w:rsid w:val="008F1C79"/>
    <w:rsid w:val="0090016B"/>
    <w:rsid w:val="00900AE3"/>
    <w:rsid w:val="00924967"/>
    <w:rsid w:val="00931B45"/>
    <w:rsid w:val="0093575F"/>
    <w:rsid w:val="00955CC7"/>
    <w:rsid w:val="009560C6"/>
    <w:rsid w:val="00970B37"/>
    <w:rsid w:val="009A5687"/>
    <w:rsid w:val="009A7D40"/>
    <w:rsid w:val="009D2012"/>
    <w:rsid w:val="009D4884"/>
    <w:rsid w:val="009E0AD0"/>
    <w:rsid w:val="009F36F3"/>
    <w:rsid w:val="009F6D07"/>
    <w:rsid w:val="00A00825"/>
    <w:rsid w:val="00A02655"/>
    <w:rsid w:val="00A0703A"/>
    <w:rsid w:val="00A16141"/>
    <w:rsid w:val="00A21043"/>
    <w:rsid w:val="00A37A96"/>
    <w:rsid w:val="00A562CD"/>
    <w:rsid w:val="00A62DB6"/>
    <w:rsid w:val="00A85402"/>
    <w:rsid w:val="00A90CCC"/>
    <w:rsid w:val="00A96982"/>
    <w:rsid w:val="00AA6250"/>
    <w:rsid w:val="00AB5070"/>
    <w:rsid w:val="00AC4850"/>
    <w:rsid w:val="00AC743B"/>
    <w:rsid w:val="00AE3C87"/>
    <w:rsid w:val="00AE4E68"/>
    <w:rsid w:val="00AF648A"/>
    <w:rsid w:val="00AF7580"/>
    <w:rsid w:val="00B067B1"/>
    <w:rsid w:val="00B2796B"/>
    <w:rsid w:val="00B40BA9"/>
    <w:rsid w:val="00B45B03"/>
    <w:rsid w:val="00B47F00"/>
    <w:rsid w:val="00B62B19"/>
    <w:rsid w:val="00B66E56"/>
    <w:rsid w:val="00B679DC"/>
    <w:rsid w:val="00B716B9"/>
    <w:rsid w:val="00B76943"/>
    <w:rsid w:val="00BA485F"/>
    <w:rsid w:val="00BA61F0"/>
    <w:rsid w:val="00BB466F"/>
    <w:rsid w:val="00BC5218"/>
    <w:rsid w:val="00BD18BA"/>
    <w:rsid w:val="00BE1AC6"/>
    <w:rsid w:val="00BE246F"/>
    <w:rsid w:val="00BF4565"/>
    <w:rsid w:val="00C02EFF"/>
    <w:rsid w:val="00C14D17"/>
    <w:rsid w:val="00C25A1F"/>
    <w:rsid w:val="00C261B6"/>
    <w:rsid w:val="00C332F5"/>
    <w:rsid w:val="00C404A1"/>
    <w:rsid w:val="00C408FF"/>
    <w:rsid w:val="00C41FA3"/>
    <w:rsid w:val="00C45365"/>
    <w:rsid w:val="00C5268F"/>
    <w:rsid w:val="00C52E52"/>
    <w:rsid w:val="00C6798F"/>
    <w:rsid w:val="00C70849"/>
    <w:rsid w:val="00C72FB1"/>
    <w:rsid w:val="00C75DD7"/>
    <w:rsid w:val="00C82A12"/>
    <w:rsid w:val="00C91AC3"/>
    <w:rsid w:val="00CA4446"/>
    <w:rsid w:val="00CB1D47"/>
    <w:rsid w:val="00CB4C40"/>
    <w:rsid w:val="00CC13D3"/>
    <w:rsid w:val="00CD586F"/>
    <w:rsid w:val="00CD5C3B"/>
    <w:rsid w:val="00CF268D"/>
    <w:rsid w:val="00D01A47"/>
    <w:rsid w:val="00D07CC7"/>
    <w:rsid w:val="00D11813"/>
    <w:rsid w:val="00D155C2"/>
    <w:rsid w:val="00D22AD9"/>
    <w:rsid w:val="00D255B4"/>
    <w:rsid w:val="00D2637B"/>
    <w:rsid w:val="00D34FB8"/>
    <w:rsid w:val="00D42256"/>
    <w:rsid w:val="00D43C2F"/>
    <w:rsid w:val="00D44013"/>
    <w:rsid w:val="00D54D68"/>
    <w:rsid w:val="00D5609B"/>
    <w:rsid w:val="00D67E43"/>
    <w:rsid w:val="00D744A2"/>
    <w:rsid w:val="00D77635"/>
    <w:rsid w:val="00D77FD4"/>
    <w:rsid w:val="00D811D3"/>
    <w:rsid w:val="00D935A3"/>
    <w:rsid w:val="00D94536"/>
    <w:rsid w:val="00DA30D8"/>
    <w:rsid w:val="00DA39E3"/>
    <w:rsid w:val="00DA7691"/>
    <w:rsid w:val="00DA7846"/>
    <w:rsid w:val="00DC14FE"/>
    <w:rsid w:val="00DC5391"/>
    <w:rsid w:val="00DD63CB"/>
    <w:rsid w:val="00DD79B8"/>
    <w:rsid w:val="00DF0DB2"/>
    <w:rsid w:val="00DF33AF"/>
    <w:rsid w:val="00E14A8E"/>
    <w:rsid w:val="00E2398D"/>
    <w:rsid w:val="00E54477"/>
    <w:rsid w:val="00E62D86"/>
    <w:rsid w:val="00E734E7"/>
    <w:rsid w:val="00E82E60"/>
    <w:rsid w:val="00E96131"/>
    <w:rsid w:val="00EA5F7E"/>
    <w:rsid w:val="00EC0A99"/>
    <w:rsid w:val="00EC1924"/>
    <w:rsid w:val="00EC70EF"/>
    <w:rsid w:val="00EC75C5"/>
    <w:rsid w:val="00ED099B"/>
    <w:rsid w:val="00ED49BA"/>
    <w:rsid w:val="00EE0D13"/>
    <w:rsid w:val="00EE4346"/>
    <w:rsid w:val="00EF1F4D"/>
    <w:rsid w:val="00EF2FEA"/>
    <w:rsid w:val="00F2054F"/>
    <w:rsid w:val="00F3274F"/>
    <w:rsid w:val="00F35A5D"/>
    <w:rsid w:val="00F371F5"/>
    <w:rsid w:val="00F37439"/>
    <w:rsid w:val="00F4278F"/>
    <w:rsid w:val="00F45DB6"/>
    <w:rsid w:val="00F55D20"/>
    <w:rsid w:val="00F60ADC"/>
    <w:rsid w:val="00F60CDB"/>
    <w:rsid w:val="00F64729"/>
    <w:rsid w:val="00F759E0"/>
    <w:rsid w:val="00F85596"/>
    <w:rsid w:val="00F92D2C"/>
    <w:rsid w:val="00F9375E"/>
    <w:rsid w:val="00F965AC"/>
    <w:rsid w:val="00FA0981"/>
    <w:rsid w:val="00FA288C"/>
    <w:rsid w:val="00FA3B59"/>
    <w:rsid w:val="00FB6574"/>
    <w:rsid w:val="00FB68F3"/>
    <w:rsid w:val="00FD1316"/>
    <w:rsid w:val="00FD1615"/>
    <w:rsid w:val="00FD5DDC"/>
    <w:rsid w:val="00FD7BD5"/>
    <w:rsid w:val="00FE4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59779"/>
  <w15:docId w15:val="{73B387D0-EE7C-48A9-BB96-EF0B8011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2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D811D3"/>
    <w:pPr>
      <w:keepNext/>
      <w:spacing w:before="240" w:after="60"/>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unhideWhenUsed/>
    <w:qFormat/>
    <w:rsid w:val="00D255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A6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umberChar">
    <w:name w:val="Normal_number Char"/>
    <w:link w:val="Normalnumber"/>
    <w:rsid w:val="006342E8"/>
  </w:style>
  <w:style w:type="numbering" w:customStyle="1" w:styleId="Normallist">
    <w:name w:val="Normal_list"/>
    <w:basedOn w:val="NoList"/>
    <w:rsid w:val="006342E8"/>
    <w:pPr>
      <w:numPr>
        <w:numId w:val="1"/>
      </w:numPr>
    </w:pPr>
  </w:style>
  <w:style w:type="paragraph" w:customStyle="1" w:styleId="Normalnumber">
    <w:name w:val="Normal_number"/>
    <w:basedOn w:val="Normal"/>
    <w:link w:val="NormalnumberChar"/>
    <w:qFormat/>
    <w:rsid w:val="006342E8"/>
    <w:pPr>
      <w:numPr>
        <w:numId w:val="1"/>
      </w:numPr>
      <w:spacing w:after="120"/>
    </w:pPr>
  </w:style>
  <w:style w:type="paragraph" w:styleId="ListParagraph">
    <w:name w:val="List Paragraph"/>
    <w:basedOn w:val="Normal"/>
    <w:uiPriority w:val="34"/>
    <w:qFormat/>
    <w:rsid w:val="006342E8"/>
    <w:pPr>
      <w:ind w:left="720"/>
      <w:contextualSpacing/>
    </w:pPr>
  </w:style>
  <w:style w:type="table" w:styleId="TableGrid">
    <w:name w:val="Table Grid"/>
    <w:basedOn w:val="TableNormal"/>
    <w:uiPriority w:val="39"/>
    <w:rsid w:val="0048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218"/>
    <w:pPr>
      <w:tabs>
        <w:tab w:val="center" w:pos="4680"/>
        <w:tab w:val="right" w:pos="9360"/>
      </w:tabs>
    </w:pPr>
  </w:style>
  <w:style w:type="character" w:customStyle="1" w:styleId="HeaderChar">
    <w:name w:val="Header Char"/>
    <w:basedOn w:val="DefaultParagraphFont"/>
    <w:link w:val="Header"/>
    <w:uiPriority w:val="99"/>
    <w:rsid w:val="00BC5218"/>
  </w:style>
  <w:style w:type="paragraph" w:styleId="Footer">
    <w:name w:val="footer"/>
    <w:basedOn w:val="Normal"/>
    <w:link w:val="FooterChar"/>
    <w:uiPriority w:val="99"/>
    <w:unhideWhenUsed/>
    <w:rsid w:val="00BC5218"/>
    <w:pPr>
      <w:tabs>
        <w:tab w:val="center" w:pos="4680"/>
        <w:tab w:val="right" w:pos="9360"/>
      </w:tabs>
    </w:pPr>
  </w:style>
  <w:style w:type="character" w:customStyle="1" w:styleId="FooterChar">
    <w:name w:val="Footer Char"/>
    <w:basedOn w:val="DefaultParagraphFont"/>
    <w:link w:val="Footer"/>
    <w:uiPriority w:val="99"/>
    <w:rsid w:val="00BC5218"/>
  </w:style>
  <w:style w:type="paragraph" w:styleId="CommentText">
    <w:name w:val="annotation text"/>
    <w:basedOn w:val="Normal"/>
    <w:link w:val="CommentTextChar"/>
    <w:uiPriority w:val="99"/>
    <w:unhideWhenUsed/>
    <w:rsid w:val="00BC5218"/>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BC5218"/>
    <w:rPr>
      <w:rFonts w:ascii="Calibri" w:eastAsia="Calibri" w:hAnsi="Calibri" w:cs="Arial"/>
      <w:sz w:val="20"/>
      <w:szCs w:val="20"/>
    </w:rPr>
  </w:style>
  <w:style w:type="character" w:styleId="CommentReference">
    <w:name w:val="annotation reference"/>
    <w:uiPriority w:val="99"/>
    <w:semiHidden/>
    <w:unhideWhenUsed/>
    <w:rsid w:val="00BC5218"/>
    <w:rPr>
      <w:sz w:val="16"/>
      <w:szCs w:val="16"/>
    </w:rPr>
  </w:style>
  <w:style w:type="paragraph" w:styleId="BalloonText">
    <w:name w:val="Balloon Text"/>
    <w:basedOn w:val="Normal"/>
    <w:link w:val="BalloonTextChar"/>
    <w:uiPriority w:val="99"/>
    <w:semiHidden/>
    <w:unhideWhenUsed/>
    <w:rsid w:val="00BC5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1F4D"/>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1F4D"/>
    <w:rPr>
      <w:rFonts w:ascii="Calibri" w:eastAsia="Calibri" w:hAnsi="Calibri" w:cs="Arial"/>
      <w:b/>
      <w:bCs/>
      <w:sz w:val="20"/>
      <w:szCs w:val="20"/>
    </w:rPr>
  </w:style>
  <w:style w:type="character" w:customStyle="1" w:styleId="Normal-poolChar">
    <w:name w:val="Normal-pool Char"/>
    <w:link w:val="Normal-pool"/>
    <w:locked/>
    <w:rsid w:val="00E62D86"/>
  </w:style>
  <w:style w:type="paragraph" w:customStyle="1" w:styleId="Normal-pool">
    <w:name w:val="Normal-pool"/>
    <w:link w:val="Normal-poolChar"/>
    <w:qFormat/>
    <w:rsid w:val="00E62D86"/>
    <w:pPr>
      <w:tabs>
        <w:tab w:val="left" w:pos="1247"/>
        <w:tab w:val="left" w:pos="1814"/>
        <w:tab w:val="left" w:pos="2381"/>
        <w:tab w:val="left" w:pos="2948"/>
        <w:tab w:val="left" w:pos="3515"/>
        <w:tab w:val="left" w:pos="4082"/>
      </w:tabs>
    </w:pPr>
  </w:style>
  <w:style w:type="paragraph" w:styleId="NormalWeb">
    <w:name w:val="Normal (Web)"/>
    <w:basedOn w:val="Normal"/>
    <w:uiPriority w:val="99"/>
    <w:unhideWhenUsed/>
    <w:rsid w:val="004E547E"/>
    <w:pPr>
      <w:spacing w:before="100" w:beforeAutospacing="1" w:after="100" w:afterAutospacing="1"/>
    </w:pPr>
    <w:rPr>
      <w:rFonts w:ascii="Times New Roman" w:eastAsia="Times New Roman" w:hAnsi="Times New Roman" w:cs="Times New Roman"/>
    </w:rPr>
  </w:style>
  <w:style w:type="table" w:customStyle="1" w:styleId="GridTable5Dark-Accent31">
    <w:name w:val="Grid Table 5 Dark - Accent 31"/>
    <w:basedOn w:val="TableNormal"/>
    <w:uiPriority w:val="50"/>
    <w:rsid w:val="00533B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1">
    <w:name w:val="Grid Table 21"/>
    <w:basedOn w:val="TableNormal"/>
    <w:uiPriority w:val="47"/>
    <w:rsid w:val="00533B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D811D3"/>
    <w:rPr>
      <w:rFonts w:ascii="Arial" w:eastAsia="Times New Roman" w:hAnsi="Arial" w:cs="Arial"/>
      <w:b/>
      <w:bCs/>
      <w:i/>
      <w:iCs/>
      <w:sz w:val="28"/>
      <w:szCs w:val="28"/>
      <w:lang w:val="en-GB"/>
    </w:rPr>
  </w:style>
  <w:style w:type="paragraph" w:customStyle="1" w:styleId="BBTitle">
    <w:name w:val="BB_Title"/>
    <w:basedOn w:val="Normal"/>
    <w:rsid w:val="00F60ADC"/>
    <w:pPr>
      <w:keepNext/>
      <w:keepLines/>
      <w:tabs>
        <w:tab w:val="left" w:pos="1247"/>
        <w:tab w:val="left" w:pos="1814"/>
        <w:tab w:val="left" w:pos="2381"/>
        <w:tab w:val="left" w:pos="2948"/>
        <w:tab w:val="left" w:pos="3515"/>
        <w:tab w:val="left" w:pos="4082"/>
      </w:tabs>
      <w:suppressAutoHyphens/>
      <w:spacing w:before="320" w:after="240"/>
      <w:ind w:left="1247" w:right="567"/>
    </w:pPr>
    <w:rPr>
      <w:rFonts w:ascii="Times New Roman" w:eastAsia="Times New Roman" w:hAnsi="Times New Roman" w:cs="Times New Roman"/>
      <w:b/>
      <w:sz w:val="28"/>
      <w:szCs w:val="28"/>
      <w:lang w:val="en-GB"/>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
    <w:link w:val="FootnoteTextChar"/>
    <w:unhideWhenUsed/>
    <w:rsid w:val="004C3B72"/>
    <w:rPr>
      <w:sz w:val="20"/>
      <w:szCs w:val="20"/>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basedOn w:val="DefaultParagraphFont"/>
    <w:link w:val="FootnoteText"/>
    <w:rsid w:val="004C3B72"/>
    <w:rPr>
      <w:sz w:val="20"/>
      <w:szCs w:val="20"/>
    </w:rPr>
  </w:style>
  <w:style w:type="character" w:styleId="FootnoteReference">
    <w:name w:val="footnote reference"/>
    <w:aliases w:val="SUPERS,ftref,16 Point,Superscript 6 Point,(Ref. de nota al pie),number,Footnote Reference Superscript,Footnote Reference S"/>
    <w:basedOn w:val="DefaultParagraphFont"/>
    <w:uiPriority w:val="99"/>
    <w:unhideWhenUsed/>
    <w:rsid w:val="004C3B72"/>
    <w:rPr>
      <w:vertAlign w:val="superscript"/>
    </w:rPr>
  </w:style>
  <w:style w:type="paragraph" w:customStyle="1" w:styleId="ZZAnxheader">
    <w:name w:val="ZZ_Anx_header"/>
    <w:basedOn w:val="Normal"/>
    <w:rsid w:val="00DF33AF"/>
    <w:pPr>
      <w:tabs>
        <w:tab w:val="left" w:pos="1247"/>
        <w:tab w:val="left" w:pos="1814"/>
        <w:tab w:val="left" w:pos="2381"/>
        <w:tab w:val="left" w:pos="2948"/>
        <w:tab w:val="left" w:pos="3515"/>
        <w:tab w:val="left" w:pos="4082"/>
      </w:tabs>
    </w:pPr>
    <w:rPr>
      <w:rFonts w:ascii="Times New Roman" w:eastAsia="Times New Roman" w:hAnsi="Times New Roman" w:cs="Times New Roman"/>
      <w:b/>
      <w:bCs/>
      <w:sz w:val="28"/>
      <w:szCs w:val="22"/>
      <w:lang w:val="en-GB"/>
    </w:rPr>
  </w:style>
  <w:style w:type="character" w:customStyle="1" w:styleId="Heading1Char">
    <w:name w:val="Heading 1 Char"/>
    <w:basedOn w:val="DefaultParagraphFont"/>
    <w:link w:val="Heading1"/>
    <w:uiPriority w:val="9"/>
    <w:rsid w:val="000A7251"/>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0A7251"/>
  </w:style>
  <w:style w:type="character" w:customStyle="1" w:styleId="Heading4Char">
    <w:name w:val="Heading 4 Char"/>
    <w:basedOn w:val="DefaultParagraphFont"/>
    <w:link w:val="Heading4"/>
    <w:uiPriority w:val="9"/>
    <w:semiHidden/>
    <w:rsid w:val="00AA625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970B37"/>
    <w:rPr>
      <w:b/>
      <w:bCs/>
    </w:rPr>
  </w:style>
  <w:style w:type="paragraph" w:customStyle="1" w:styleId="CH2">
    <w:name w:val="CH2"/>
    <w:basedOn w:val="Normal"/>
    <w:next w:val="Normalnumber"/>
    <w:rsid w:val="00786A3C"/>
    <w:pPr>
      <w:keepNext/>
      <w:keepLines/>
      <w:tabs>
        <w:tab w:val="right" w:pos="851"/>
        <w:tab w:val="left" w:pos="1247"/>
        <w:tab w:val="left" w:pos="1814"/>
        <w:tab w:val="left" w:pos="2381"/>
        <w:tab w:val="left" w:pos="2948"/>
        <w:tab w:val="left" w:pos="3515"/>
        <w:tab w:val="left" w:pos="4082"/>
      </w:tabs>
      <w:suppressAutoHyphens/>
      <w:spacing w:before="80" w:after="120"/>
      <w:ind w:left="1247" w:right="284" w:hanging="1247"/>
    </w:pPr>
    <w:rPr>
      <w:rFonts w:ascii="Times New Roman" w:eastAsia="Times New Roman" w:hAnsi="Times New Roman" w:cs="Times New Roman"/>
      <w:b/>
      <w:lang w:val="en-GB"/>
    </w:rPr>
  </w:style>
  <w:style w:type="character" w:styleId="Hyperlink">
    <w:name w:val="Hyperlink"/>
    <w:basedOn w:val="DefaultParagraphFont"/>
    <w:uiPriority w:val="99"/>
    <w:unhideWhenUsed/>
    <w:rsid w:val="00433547"/>
    <w:rPr>
      <w:color w:val="0000FF"/>
      <w:u w:val="single"/>
    </w:rPr>
  </w:style>
  <w:style w:type="character" w:customStyle="1" w:styleId="Heading3Char">
    <w:name w:val="Heading 3 Char"/>
    <w:basedOn w:val="DefaultParagraphFont"/>
    <w:link w:val="Heading3"/>
    <w:uiPriority w:val="9"/>
    <w:rsid w:val="00D255B4"/>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D255B4"/>
    <w:rPr>
      <w:color w:val="954F72" w:themeColor="followedHyperlink"/>
      <w:u w:val="single"/>
    </w:rPr>
  </w:style>
  <w:style w:type="character" w:styleId="UnresolvedMention">
    <w:name w:val="Unresolved Mention"/>
    <w:basedOn w:val="DefaultParagraphFont"/>
    <w:uiPriority w:val="99"/>
    <w:semiHidden/>
    <w:unhideWhenUsed/>
    <w:rsid w:val="00D255B4"/>
    <w:rPr>
      <w:color w:val="605E5C"/>
      <w:shd w:val="clear" w:color="auto" w:fill="E1DFDD"/>
    </w:rPr>
  </w:style>
  <w:style w:type="paragraph" w:customStyle="1" w:styleId="Dec-titleoneline">
    <w:name w:val="Dec-title one line"/>
    <w:basedOn w:val="Heading2"/>
    <w:rsid w:val="00D255B4"/>
    <w:pPr>
      <w:tabs>
        <w:tab w:val="left" w:pos="720"/>
      </w:tabs>
      <w:spacing w:before="120" w:after="120"/>
      <w:jc w:val="center"/>
    </w:pPr>
    <w:rPr>
      <w:rFonts w:ascii="Times New Roman" w:hAnsi="Times New Roman" w:cs="Times New Roman"/>
      <w:sz w:val="22"/>
      <w:szCs w:val="24"/>
    </w:rPr>
  </w:style>
  <w:style w:type="paragraph" w:styleId="Title">
    <w:name w:val="Title"/>
    <w:basedOn w:val="Normal"/>
    <w:next w:val="Normal"/>
    <w:link w:val="TitleChar"/>
    <w:uiPriority w:val="10"/>
    <w:qFormat/>
    <w:rsid w:val="00D255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5B4"/>
    <w:rPr>
      <w:rFonts w:asciiTheme="majorHAnsi" w:eastAsiaTheme="majorEastAsia" w:hAnsiTheme="majorHAnsi" w:cstheme="majorBidi"/>
      <w:spacing w:val="-10"/>
      <w:kern w:val="28"/>
      <w:sz w:val="56"/>
      <w:szCs w:val="56"/>
    </w:rPr>
  </w:style>
  <w:style w:type="paragraph" w:customStyle="1" w:styleId="Default">
    <w:name w:val="Default"/>
    <w:rsid w:val="00D255B4"/>
    <w:pPr>
      <w:autoSpaceDE w:val="0"/>
      <w:autoSpaceDN w:val="0"/>
      <w:adjustRightInd w:val="0"/>
    </w:pPr>
    <w:rPr>
      <w:rFonts w:ascii="Calibri" w:eastAsiaTheme="minorEastAsia" w:hAnsi="Calibri" w:cs="Calibri"/>
      <w:color w:val="000000"/>
      <w:lang w:eastAsia="zh-CN"/>
    </w:rPr>
  </w:style>
  <w:style w:type="paragraph" w:styleId="TOCHeading">
    <w:name w:val="TOC Heading"/>
    <w:basedOn w:val="Heading1"/>
    <w:next w:val="Normal"/>
    <w:uiPriority w:val="39"/>
    <w:unhideWhenUsed/>
    <w:qFormat/>
    <w:rsid w:val="00D255B4"/>
    <w:pPr>
      <w:spacing w:line="259" w:lineRule="auto"/>
      <w:outlineLvl w:val="9"/>
    </w:pPr>
  </w:style>
  <w:style w:type="paragraph" w:styleId="TOC1">
    <w:name w:val="toc 1"/>
    <w:basedOn w:val="Normal"/>
    <w:next w:val="Normal"/>
    <w:autoRedefine/>
    <w:uiPriority w:val="39"/>
    <w:unhideWhenUsed/>
    <w:rsid w:val="00D255B4"/>
    <w:pPr>
      <w:spacing w:after="100"/>
    </w:pPr>
    <w:rPr>
      <w:rFonts w:ascii="Calibri" w:hAnsi="Calibri" w:cs="Calibri"/>
      <w:sz w:val="22"/>
      <w:szCs w:val="22"/>
    </w:rPr>
  </w:style>
  <w:style w:type="paragraph" w:styleId="TOC2">
    <w:name w:val="toc 2"/>
    <w:basedOn w:val="Normal"/>
    <w:next w:val="Normal"/>
    <w:autoRedefine/>
    <w:uiPriority w:val="39"/>
    <w:unhideWhenUsed/>
    <w:rsid w:val="00D255B4"/>
    <w:pPr>
      <w:spacing w:after="100"/>
      <w:ind w:left="220"/>
    </w:pPr>
    <w:rPr>
      <w:rFonts w:ascii="Calibri" w:hAnsi="Calibri" w:cs="Calibri"/>
      <w:sz w:val="22"/>
      <w:szCs w:val="22"/>
    </w:rPr>
  </w:style>
  <w:style w:type="paragraph" w:styleId="TOC3">
    <w:name w:val="toc 3"/>
    <w:basedOn w:val="Normal"/>
    <w:next w:val="Normal"/>
    <w:autoRedefine/>
    <w:uiPriority w:val="39"/>
    <w:unhideWhenUsed/>
    <w:rsid w:val="00D255B4"/>
    <w:pPr>
      <w:spacing w:after="100"/>
      <w:ind w:left="440"/>
    </w:pPr>
    <w:rPr>
      <w:rFonts w:ascii="Calibri" w:hAnsi="Calibri" w:cs="Calibri"/>
      <w:sz w:val="22"/>
      <w:szCs w:val="22"/>
    </w:rPr>
  </w:style>
  <w:style w:type="character" w:styleId="Emphasis">
    <w:name w:val="Emphasis"/>
    <w:basedOn w:val="DefaultParagraphFont"/>
    <w:uiPriority w:val="20"/>
    <w:qFormat/>
    <w:rsid w:val="00D255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9746">
      <w:bodyDiv w:val="1"/>
      <w:marLeft w:val="0"/>
      <w:marRight w:val="0"/>
      <w:marTop w:val="0"/>
      <w:marBottom w:val="0"/>
      <w:divBdr>
        <w:top w:val="none" w:sz="0" w:space="0" w:color="auto"/>
        <w:left w:val="none" w:sz="0" w:space="0" w:color="auto"/>
        <w:bottom w:val="none" w:sz="0" w:space="0" w:color="auto"/>
        <w:right w:val="none" w:sz="0" w:space="0" w:color="auto"/>
      </w:divBdr>
    </w:div>
    <w:div w:id="583074446">
      <w:bodyDiv w:val="1"/>
      <w:marLeft w:val="0"/>
      <w:marRight w:val="0"/>
      <w:marTop w:val="0"/>
      <w:marBottom w:val="0"/>
      <w:divBdr>
        <w:top w:val="none" w:sz="0" w:space="0" w:color="auto"/>
        <w:left w:val="none" w:sz="0" w:space="0" w:color="auto"/>
        <w:bottom w:val="none" w:sz="0" w:space="0" w:color="auto"/>
        <w:right w:val="none" w:sz="0" w:space="0" w:color="auto"/>
      </w:divBdr>
      <w:divsChild>
        <w:div w:id="1502621350">
          <w:marLeft w:val="0"/>
          <w:marRight w:val="0"/>
          <w:marTop w:val="0"/>
          <w:marBottom w:val="0"/>
          <w:divBdr>
            <w:top w:val="none" w:sz="0" w:space="0" w:color="auto"/>
            <w:left w:val="none" w:sz="0" w:space="0" w:color="auto"/>
            <w:bottom w:val="none" w:sz="0" w:space="0" w:color="auto"/>
            <w:right w:val="none" w:sz="0" w:space="0" w:color="auto"/>
          </w:divBdr>
          <w:divsChild>
            <w:div w:id="1091315530">
              <w:marLeft w:val="0"/>
              <w:marRight w:val="0"/>
              <w:marTop w:val="0"/>
              <w:marBottom w:val="0"/>
              <w:divBdr>
                <w:top w:val="none" w:sz="0" w:space="0" w:color="auto"/>
                <w:left w:val="none" w:sz="0" w:space="0" w:color="auto"/>
                <w:bottom w:val="none" w:sz="0" w:space="0" w:color="auto"/>
                <w:right w:val="none" w:sz="0" w:space="0" w:color="auto"/>
              </w:divBdr>
              <w:divsChild>
                <w:div w:id="10247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5292">
      <w:bodyDiv w:val="1"/>
      <w:marLeft w:val="0"/>
      <w:marRight w:val="0"/>
      <w:marTop w:val="0"/>
      <w:marBottom w:val="0"/>
      <w:divBdr>
        <w:top w:val="none" w:sz="0" w:space="0" w:color="auto"/>
        <w:left w:val="none" w:sz="0" w:space="0" w:color="auto"/>
        <w:bottom w:val="none" w:sz="0" w:space="0" w:color="auto"/>
        <w:right w:val="none" w:sz="0" w:space="0" w:color="auto"/>
      </w:divBdr>
      <w:divsChild>
        <w:div w:id="771315536">
          <w:marLeft w:val="0"/>
          <w:marRight w:val="0"/>
          <w:marTop w:val="0"/>
          <w:marBottom w:val="0"/>
          <w:divBdr>
            <w:top w:val="none" w:sz="0" w:space="0" w:color="auto"/>
            <w:left w:val="none" w:sz="0" w:space="0" w:color="auto"/>
            <w:bottom w:val="none" w:sz="0" w:space="0" w:color="auto"/>
            <w:right w:val="none" w:sz="0" w:space="0" w:color="auto"/>
          </w:divBdr>
          <w:divsChild>
            <w:div w:id="1354376903">
              <w:marLeft w:val="0"/>
              <w:marRight w:val="0"/>
              <w:marTop w:val="0"/>
              <w:marBottom w:val="0"/>
              <w:divBdr>
                <w:top w:val="none" w:sz="0" w:space="0" w:color="auto"/>
                <w:left w:val="none" w:sz="0" w:space="0" w:color="auto"/>
                <w:bottom w:val="none" w:sz="0" w:space="0" w:color="auto"/>
                <w:right w:val="none" w:sz="0" w:space="0" w:color="auto"/>
              </w:divBdr>
              <w:divsChild>
                <w:div w:id="8360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1608">
      <w:bodyDiv w:val="1"/>
      <w:marLeft w:val="0"/>
      <w:marRight w:val="0"/>
      <w:marTop w:val="0"/>
      <w:marBottom w:val="0"/>
      <w:divBdr>
        <w:top w:val="none" w:sz="0" w:space="0" w:color="auto"/>
        <w:left w:val="none" w:sz="0" w:space="0" w:color="auto"/>
        <w:bottom w:val="none" w:sz="0" w:space="0" w:color="auto"/>
        <w:right w:val="none" w:sz="0" w:space="0" w:color="auto"/>
      </w:divBdr>
      <w:divsChild>
        <w:div w:id="1015810407">
          <w:marLeft w:val="0"/>
          <w:marRight w:val="0"/>
          <w:marTop w:val="0"/>
          <w:marBottom w:val="0"/>
          <w:divBdr>
            <w:top w:val="none" w:sz="0" w:space="0" w:color="auto"/>
            <w:left w:val="none" w:sz="0" w:space="0" w:color="auto"/>
            <w:bottom w:val="none" w:sz="0" w:space="0" w:color="auto"/>
            <w:right w:val="none" w:sz="0" w:space="0" w:color="auto"/>
          </w:divBdr>
          <w:divsChild>
            <w:div w:id="1049569448">
              <w:marLeft w:val="0"/>
              <w:marRight w:val="0"/>
              <w:marTop w:val="0"/>
              <w:marBottom w:val="0"/>
              <w:divBdr>
                <w:top w:val="none" w:sz="0" w:space="0" w:color="auto"/>
                <w:left w:val="none" w:sz="0" w:space="0" w:color="auto"/>
                <w:bottom w:val="none" w:sz="0" w:space="0" w:color="auto"/>
                <w:right w:val="none" w:sz="0" w:space="0" w:color="auto"/>
              </w:divBdr>
              <w:divsChild>
                <w:div w:id="18528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95068">
      <w:bodyDiv w:val="1"/>
      <w:marLeft w:val="0"/>
      <w:marRight w:val="0"/>
      <w:marTop w:val="0"/>
      <w:marBottom w:val="0"/>
      <w:divBdr>
        <w:top w:val="none" w:sz="0" w:space="0" w:color="auto"/>
        <w:left w:val="none" w:sz="0" w:space="0" w:color="auto"/>
        <w:bottom w:val="none" w:sz="0" w:space="0" w:color="auto"/>
        <w:right w:val="none" w:sz="0" w:space="0" w:color="auto"/>
      </w:divBdr>
    </w:div>
    <w:div w:id="1303269767">
      <w:bodyDiv w:val="1"/>
      <w:marLeft w:val="0"/>
      <w:marRight w:val="0"/>
      <w:marTop w:val="0"/>
      <w:marBottom w:val="0"/>
      <w:divBdr>
        <w:top w:val="none" w:sz="0" w:space="0" w:color="auto"/>
        <w:left w:val="none" w:sz="0" w:space="0" w:color="auto"/>
        <w:bottom w:val="none" w:sz="0" w:space="0" w:color="auto"/>
        <w:right w:val="none" w:sz="0" w:space="0" w:color="auto"/>
      </w:divBdr>
    </w:div>
    <w:div w:id="1330401484">
      <w:bodyDiv w:val="1"/>
      <w:marLeft w:val="0"/>
      <w:marRight w:val="0"/>
      <w:marTop w:val="0"/>
      <w:marBottom w:val="0"/>
      <w:divBdr>
        <w:top w:val="none" w:sz="0" w:space="0" w:color="auto"/>
        <w:left w:val="none" w:sz="0" w:space="0" w:color="auto"/>
        <w:bottom w:val="none" w:sz="0" w:space="0" w:color="auto"/>
        <w:right w:val="none" w:sz="0" w:space="0" w:color="auto"/>
      </w:divBdr>
    </w:div>
    <w:div w:id="1387995233">
      <w:bodyDiv w:val="1"/>
      <w:marLeft w:val="0"/>
      <w:marRight w:val="0"/>
      <w:marTop w:val="0"/>
      <w:marBottom w:val="0"/>
      <w:divBdr>
        <w:top w:val="none" w:sz="0" w:space="0" w:color="auto"/>
        <w:left w:val="none" w:sz="0" w:space="0" w:color="auto"/>
        <w:bottom w:val="none" w:sz="0" w:space="0" w:color="auto"/>
        <w:right w:val="none" w:sz="0" w:space="0" w:color="auto"/>
      </w:divBdr>
    </w:div>
    <w:div w:id="1493763176">
      <w:bodyDiv w:val="1"/>
      <w:marLeft w:val="0"/>
      <w:marRight w:val="0"/>
      <w:marTop w:val="0"/>
      <w:marBottom w:val="0"/>
      <w:divBdr>
        <w:top w:val="none" w:sz="0" w:space="0" w:color="auto"/>
        <w:left w:val="none" w:sz="0" w:space="0" w:color="auto"/>
        <w:bottom w:val="none" w:sz="0" w:space="0" w:color="auto"/>
        <w:right w:val="none" w:sz="0" w:space="0" w:color="auto"/>
      </w:divBdr>
    </w:div>
    <w:div w:id="1708674175">
      <w:bodyDiv w:val="1"/>
      <w:marLeft w:val="0"/>
      <w:marRight w:val="0"/>
      <w:marTop w:val="0"/>
      <w:marBottom w:val="0"/>
      <w:divBdr>
        <w:top w:val="none" w:sz="0" w:space="0" w:color="auto"/>
        <w:left w:val="none" w:sz="0" w:space="0" w:color="auto"/>
        <w:bottom w:val="none" w:sz="0" w:space="0" w:color="auto"/>
        <w:right w:val="none" w:sz="0" w:space="0" w:color="auto"/>
      </w:divBdr>
    </w:div>
    <w:div w:id="1773357030">
      <w:bodyDiv w:val="1"/>
      <w:marLeft w:val="0"/>
      <w:marRight w:val="0"/>
      <w:marTop w:val="0"/>
      <w:marBottom w:val="0"/>
      <w:divBdr>
        <w:top w:val="none" w:sz="0" w:space="0" w:color="auto"/>
        <w:left w:val="none" w:sz="0" w:space="0" w:color="auto"/>
        <w:bottom w:val="none" w:sz="0" w:space="0" w:color="auto"/>
        <w:right w:val="none" w:sz="0" w:space="0" w:color="auto"/>
      </w:divBdr>
      <w:divsChild>
        <w:div w:id="936787858">
          <w:marLeft w:val="0"/>
          <w:marRight w:val="0"/>
          <w:marTop w:val="0"/>
          <w:marBottom w:val="0"/>
          <w:divBdr>
            <w:top w:val="none" w:sz="0" w:space="0" w:color="auto"/>
            <w:left w:val="none" w:sz="0" w:space="0" w:color="auto"/>
            <w:bottom w:val="none" w:sz="0" w:space="0" w:color="auto"/>
            <w:right w:val="none" w:sz="0" w:space="0" w:color="auto"/>
          </w:divBdr>
          <w:divsChild>
            <w:div w:id="1764951846">
              <w:marLeft w:val="0"/>
              <w:marRight w:val="0"/>
              <w:marTop w:val="0"/>
              <w:marBottom w:val="0"/>
              <w:divBdr>
                <w:top w:val="none" w:sz="0" w:space="0" w:color="auto"/>
                <w:left w:val="none" w:sz="0" w:space="0" w:color="auto"/>
                <w:bottom w:val="none" w:sz="0" w:space="0" w:color="auto"/>
                <w:right w:val="none" w:sz="0" w:space="0" w:color="auto"/>
              </w:divBdr>
              <w:divsChild>
                <w:div w:id="20338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bit.ly/2Ha9dlC" TargetMode="External"/><Relationship Id="rId26" Type="http://schemas.openxmlformats.org/officeDocument/2006/relationships/hyperlink" Target="https://bit.ly/33GJvyW" TargetMode="External"/><Relationship Id="rId39" Type="http://schemas.openxmlformats.org/officeDocument/2006/relationships/hyperlink" Target="http://bit.ly/2NFAu3C" TargetMode="External"/><Relationship Id="rId21" Type="http://schemas.openxmlformats.org/officeDocument/2006/relationships/hyperlink" Target="https://ideas.repec.org/a/eee/enepol/v39y2011i9p5137-5146.html" TargetMode="External"/><Relationship Id="rId34" Type="http://schemas.openxmlformats.org/officeDocument/2006/relationships/hyperlink" Target="http://bit.ly/2ZHoLnp" TargetMode="External"/><Relationship Id="rId42" Type="http://schemas.openxmlformats.org/officeDocument/2006/relationships/hyperlink" Target="http://bit.ly/2Ktw9hX" TargetMode="External"/><Relationship Id="rId47" Type="http://schemas.openxmlformats.org/officeDocument/2006/relationships/hyperlink" Target="https://bit.ly/2Z56zIa" TargetMode="External"/><Relationship Id="rId50" Type="http://schemas.openxmlformats.org/officeDocument/2006/relationships/hyperlink" Target="http://bit.ly/2KGUgtM" TargetMode="External"/><Relationship Id="rId55" Type="http://schemas.openxmlformats.org/officeDocument/2006/relationships/hyperlink" Target="http://bit.ly/32lZfGc" TargetMode="External"/><Relationship Id="rId63" Type="http://schemas.openxmlformats.org/officeDocument/2006/relationships/hyperlink" Target="http://bit.ly/2GVDHYM" TargetMode="External"/><Relationship Id="rId68" Type="http://schemas.openxmlformats.org/officeDocument/2006/relationships/hyperlink" Target="https://bit.ly/2NjK248"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bit.ly/2QKt5j4" TargetMode="Externa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bit.ly/2zuM7lJ" TargetMode="External"/><Relationship Id="rId11" Type="http://schemas.openxmlformats.org/officeDocument/2006/relationships/hyperlink" Target="mailto:saicm.chemicals@unep.org" TargetMode="External"/><Relationship Id="rId24" Type="http://schemas.openxmlformats.org/officeDocument/2006/relationships/hyperlink" Target="https://bit.ly/2Zhidjd" TargetMode="External"/><Relationship Id="rId32" Type="http://schemas.openxmlformats.org/officeDocument/2006/relationships/hyperlink" Target="http://bit.ly/2NEozmw" TargetMode="External"/><Relationship Id="rId37" Type="http://schemas.openxmlformats.org/officeDocument/2006/relationships/hyperlink" Target="http://permalink.obvsg.at/wuw/AC13710313" TargetMode="External"/><Relationship Id="rId40" Type="http://schemas.openxmlformats.org/officeDocument/2006/relationships/hyperlink" Target="http://bit.ly/2ZWB2W6" TargetMode="External"/><Relationship Id="rId45" Type="http://schemas.openxmlformats.org/officeDocument/2006/relationships/hyperlink" Target="http://bit.ly/2Nr7Hjk" TargetMode="External"/><Relationship Id="rId53" Type="http://schemas.openxmlformats.org/officeDocument/2006/relationships/hyperlink" Target="https://bit.ly/2KzxfJ1" TargetMode="External"/><Relationship Id="rId58" Type="http://schemas.openxmlformats.org/officeDocument/2006/relationships/hyperlink" Target="http://bit.ly/2PdmMYe" TargetMode="External"/><Relationship Id="rId66" Type="http://schemas.openxmlformats.org/officeDocument/2006/relationships/hyperlink" Target="http://bit.ly/2KIo1Jp"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bit.ly/2zcPpd2" TargetMode="External"/><Relationship Id="rId10" Type="http://schemas.openxmlformats.org/officeDocument/2006/relationships/image" Target="media/image3.png"/><Relationship Id="rId19" Type="http://schemas.openxmlformats.org/officeDocument/2006/relationships/hyperlink" Target="http://bit.ly/2HosGz7" TargetMode="External"/><Relationship Id="rId31" Type="http://schemas.openxmlformats.org/officeDocument/2006/relationships/hyperlink" Target="http://bit.ly/2Hwt3b5" TargetMode="External"/><Relationship Id="rId44" Type="http://schemas.openxmlformats.org/officeDocument/2006/relationships/hyperlink" Target="http://bit.ly/2MQgo6l" TargetMode="External"/><Relationship Id="rId52" Type="http://schemas.openxmlformats.org/officeDocument/2006/relationships/hyperlink" Target="http://bit.ly/2PpizR4" TargetMode="External"/><Relationship Id="rId60" Type="http://schemas.openxmlformats.org/officeDocument/2006/relationships/hyperlink" Target="https://bit.ly/2H7Pzaw" TargetMode="External"/><Relationship Id="rId65" Type="http://schemas.openxmlformats.org/officeDocument/2006/relationships/hyperlink" Target="https://bit.ly/2ZGOlu2" TargetMode="External"/><Relationship Id="rId73" Type="http://schemas.openxmlformats.org/officeDocument/2006/relationships/hyperlink" Target="http://bit.ly/2ZLpHa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https://ideas.repec.org/s/eee/enepol.html" TargetMode="External"/><Relationship Id="rId27" Type="http://schemas.openxmlformats.org/officeDocument/2006/relationships/hyperlink" Target="https://bit.ly/2z6Q7bO" TargetMode="External"/><Relationship Id="rId30" Type="http://schemas.openxmlformats.org/officeDocument/2006/relationships/hyperlink" Target="http://bit.ly/2LepNU7" TargetMode="External"/><Relationship Id="rId35" Type="http://schemas.openxmlformats.org/officeDocument/2006/relationships/hyperlink" Target="https://bit.ly/2ZijJ5m" TargetMode="External"/><Relationship Id="rId43" Type="http://schemas.openxmlformats.org/officeDocument/2006/relationships/hyperlink" Target="http://bit.ly/34j921h" TargetMode="External"/><Relationship Id="rId48" Type="http://schemas.openxmlformats.org/officeDocument/2006/relationships/hyperlink" Target="https://bit.ly/2Z86CTD" TargetMode="External"/><Relationship Id="rId56" Type="http://schemas.openxmlformats.org/officeDocument/2006/relationships/hyperlink" Target="http://bit.ly/2GZy0Jj" TargetMode="External"/><Relationship Id="rId64" Type="http://schemas.openxmlformats.org/officeDocument/2006/relationships/hyperlink" Target="https://bit.ly/2KrG2Nf" TargetMode="External"/><Relationship Id="rId69" Type="http://schemas.openxmlformats.org/officeDocument/2006/relationships/hyperlink" Target="https://bit.ly/2NJpFxg" TargetMode="External"/><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bit.ly/30cG7K9" TargetMode="External"/><Relationship Id="rId72" Type="http://schemas.openxmlformats.org/officeDocument/2006/relationships/hyperlink" Target="https://bit.ly/30LjLQs" TargetMode="External"/><Relationship Id="rId3" Type="http://schemas.openxmlformats.org/officeDocument/2006/relationships/styles" Target="styles.xml"/><Relationship Id="rId12" Type="http://schemas.openxmlformats.org/officeDocument/2006/relationships/image" Target="media/image4.png"/><Relationship Id="rId17" Type="http://schemas.microsoft.com/office/2007/relationships/diagramDrawing" Target="diagrams/drawing1.xml"/><Relationship Id="rId25" Type="http://schemas.openxmlformats.org/officeDocument/2006/relationships/hyperlink" Target="https://bit.ly/2KTjAeL" TargetMode="External"/><Relationship Id="rId33" Type="http://schemas.openxmlformats.org/officeDocument/2006/relationships/hyperlink" Target="http://bit.ly/2MQkf3V" TargetMode="External"/><Relationship Id="rId38" Type="http://schemas.openxmlformats.org/officeDocument/2006/relationships/hyperlink" Target="http://bit.ly/2H1B5Zs" TargetMode="External"/><Relationship Id="rId46" Type="http://schemas.openxmlformats.org/officeDocument/2006/relationships/hyperlink" Target="https://bit.ly/2Z5sHlI" TargetMode="External"/><Relationship Id="rId59" Type="http://schemas.openxmlformats.org/officeDocument/2006/relationships/hyperlink" Target="http://bit.ly/2KSXFpg" TargetMode="External"/><Relationship Id="rId67" Type="http://schemas.openxmlformats.org/officeDocument/2006/relationships/hyperlink" Target="https://bit.ly/2kloLuV" TargetMode="External"/><Relationship Id="rId20" Type="http://schemas.openxmlformats.org/officeDocument/2006/relationships/hyperlink" Target="http://bit.ly/2ZkLsxM" TargetMode="External"/><Relationship Id="rId41" Type="http://schemas.openxmlformats.org/officeDocument/2006/relationships/hyperlink" Target="http://bit.ly/2NHFXXD" TargetMode="External"/><Relationship Id="rId54" Type="http://schemas.openxmlformats.org/officeDocument/2006/relationships/hyperlink" Target="http://bit.ly/32lZfGc" TargetMode="External"/><Relationship Id="rId62" Type="http://schemas.openxmlformats.org/officeDocument/2006/relationships/hyperlink" Target="https://bit.ly/2ZbT8SX" TargetMode="External"/><Relationship Id="rId70" Type="http://schemas.openxmlformats.org/officeDocument/2006/relationships/hyperlink" Target="http://bit.ly/2MeCCzs"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bit.ly/2Z8a2pu" TargetMode="External"/><Relationship Id="rId28" Type="http://schemas.openxmlformats.org/officeDocument/2006/relationships/hyperlink" Target="http://bit.ly/2ZM3ttb" TargetMode="External"/><Relationship Id="rId36" Type="http://schemas.openxmlformats.org/officeDocument/2006/relationships/hyperlink" Target="http://bit.ly/34fvgkZ" TargetMode="External"/><Relationship Id="rId49" Type="http://schemas.openxmlformats.org/officeDocument/2006/relationships/hyperlink" Target="http://bit.ly/2NOlv7H" TargetMode="External"/><Relationship Id="rId57" Type="http://schemas.openxmlformats.org/officeDocument/2006/relationships/hyperlink" Target="https://bit.ly/2YCKhy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63AB8F-A3F4-40A5-B7EC-E29416EA5C3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90064BC-AB55-4CAF-8CCE-93B04F0FC875}">
      <dgm:prSet phldrT="[Text]" custT="1"/>
      <dgm:spPr/>
      <dgm:t>
        <a:bodyPr/>
        <a:lstStyle/>
        <a:p>
          <a:r>
            <a:rPr lang="en-US" sz="900" b="1"/>
            <a:t>Negative incentives</a:t>
          </a:r>
        </a:p>
        <a:p>
          <a:r>
            <a:rPr lang="en-US" sz="800" b="1" i="1"/>
            <a:t>Measures designed to discourage harmful activities</a:t>
          </a:r>
        </a:p>
        <a:p>
          <a:r>
            <a:rPr lang="en-US" sz="800" b="0" i="0" u="none"/>
            <a:t>User fees or pollution taxes, including taxes on pesticides and fertilizers</a:t>
          </a:r>
          <a:endParaRPr lang="en-US" sz="800"/>
        </a:p>
      </dgm:t>
    </dgm:pt>
    <dgm:pt modelId="{51584841-9B08-4AC7-982F-59EDDB01DFB2}" type="parTrans" cxnId="{DED2CD1B-A223-4369-83AB-85C289996115}">
      <dgm:prSet/>
      <dgm:spPr/>
      <dgm:t>
        <a:bodyPr/>
        <a:lstStyle/>
        <a:p>
          <a:endParaRPr lang="en-US"/>
        </a:p>
      </dgm:t>
    </dgm:pt>
    <dgm:pt modelId="{88B6C552-F89B-4599-AC6F-CBE39F30EF5F}" type="sibTrans" cxnId="{DED2CD1B-A223-4369-83AB-85C289996115}">
      <dgm:prSet/>
      <dgm:spPr/>
      <dgm:t>
        <a:bodyPr/>
        <a:lstStyle/>
        <a:p>
          <a:endParaRPr lang="en-US"/>
        </a:p>
      </dgm:t>
    </dgm:pt>
    <dgm:pt modelId="{D00212B0-7CF2-4518-93B1-1D98F275E93C}">
      <dgm:prSet phldrT="[Text]" custT="1"/>
      <dgm:spPr/>
      <dgm:t>
        <a:bodyPr/>
        <a:lstStyle/>
        <a:p>
          <a:pPr>
            <a:spcAft>
              <a:spcPts val="32"/>
            </a:spcAft>
          </a:pPr>
          <a:r>
            <a:rPr lang="en-US" sz="900" b="1"/>
            <a:t>Direct incentives</a:t>
          </a:r>
        </a:p>
        <a:p>
          <a:pPr>
            <a:spcAft>
              <a:spcPct val="35000"/>
            </a:spcAft>
          </a:pPr>
          <a:r>
            <a:rPr lang="en-US" sz="1200" b="1"/>
            <a:t> </a:t>
          </a:r>
          <a:r>
            <a:rPr lang="en-US" sz="800" b="1" i="1"/>
            <a:t>Monetary incentives which seek to emulate market prices </a:t>
          </a:r>
        </a:p>
        <a:p>
          <a:pPr>
            <a:spcAft>
              <a:spcPct val="35000"/>
            </a:spcAft>
          </a:pPr>
          <a:r>
            <a:rPr lang="en-US" sz="800"/>
            <a:t>Agricultural land set-aside schemes, public or grant-aided land purchases or conservation easements, or payments for ecosystem services </a:t>
          </a:r>
          <a:endParaRPr lang="en-US" sz="800" b="1" i="1"/>
        </a:p>
      </dgm:t>
    </dgm:pt>
    <dgm:pt modelId="{DBA34CB6-ABDB-45B1-9547-5CFDBDCAD2AF}" type="parTrans" cxnId="{41BF1725-190D-4DCF-9B38-604370F2558B}">
      <dgm:prSet/>
      <dgm:spPr/>
      <dgm:t>
        <a:bodyPr/>
        <a:lstStyle/>
        <a:p>
          <a:endParaRPr lang="en-US"/>
        </a:p>
      </dgm:t>
    </dgm:pt>
    <dgm:pt modelId="{A789AF39-91F4-4716-9911-D3F87888E36B}" type="sibTrans" cxnId="{41BF1725-190D-4DCF-9B38-604370F2558B}">
      <dgm:prSet/>
      <dgm:spPr/>
      <dgm:t>
        <a:bodyPr/>
        <a:lstStyle/>
        <a:p>
          <a:endParaRPr lang="en-US"/>
        </a:p>
      </dgm:t>
    </dgm:pt>
    <dgm:pt modelId="{67CEDC8A-8E8C-4133-B94C-57F3F67E4D17}">
      <dgm:prSet phldrT="[Text]" custT="1"/>
      <dgm:spPr/>
      <dgm:t>
        <a:bodyPr/>
        <a:lstStyle/>
        <a:p>
          <a:r>
            <a:rPr lang="en-US" sz="900" b="1"/>
            <a:t>Indirect incentives</a:t>
          </a:r>
        </a:p>
        <a:p>
          <a:r>
            <a:rPr lang="en-US" sz="800" b="1" i="1"/>
            <a:t>Non-monetary incentives that support       desired outcomes  </a:t>
          </a:r>
        </a:p>
        <a:p>
          <a:r>
            <a:rPr lang="en-US" sz="800" b="0" i="0"/>
            <a:t>The removal of barriers to trade; public procurement policies; education and research; certification and eco-labelling schemes </a:t>
          </a:r>
          <a:endParaRPr lang="en-US" sz="800" b="0"/>
        </a:p>
      </dgm:t>
    </dgm:pt>
    <dgm:pt modelId="{7784BFFE-AC9D-4BD4-9C51-2BDA23639373}" type="parTrans" cxnId="{89066FA1-E7E3-4E65-8441-26C5F8CF207E}">
      <dgm:prSet/>
      <dgm:spPr/>
      <dgm:t>
        <a:bodyPr/>
        <a:lstStyle/>
        <a:p>
          <a:endParaRPr lang="en-US"/>
        </a:p>
      </dgm:t>
    </dgm:pt>
    <dgm:pt modelId="{261AC377-42C6-4455-A065-DC9652772554}" type="sibTrans" cxnId="{89066FA1-E7E3-4E65-8441-26C5F8CF207E}">
      <dgm:prSet/>
      <dgm:spPr/>
      <dgm:t>
        <a:bodyPr/>
        <a:lstStyle/>
        <a:p>
          <a:endParaRPr lang="en-US"/>
        </a:p>
      </dgm:t>
    </dgm:pt>
    <dgm:pt modelId="{F89FB449-CDBA-43EF-82BC-C1BAA175B4DF}">
      <dgm:prSet phldrT="[Text]" custT="1"/>
      <dgm:spPr/>
      <dgm:t>
        <a:bodyPr/>
        <a:lstStyle/>
        <a:p>
          <a:r>
            <a:rPr lang="en-US" sz="900" b="1"/>
            <a:t>Harmful incentives</a:t>
          </a:r>
        </a:p>
        <a:p>
          <a:r>
            <a:rPr lang="en-US" sz="800" b="1" i="1"/>
            <a:t>Harmful policies or practices in need  of removal</a:t>
          </a:r>
        </a:p>
        <a:p>
          <a:r>
            <a:rPr lang="en-US" sz="800"/>
            <a:t>Government subsidies or other measures that support unsustainable farming, forestry or fishery activities </a:t>
          </a:r>
        </a:p>
      </dgm:t>
    </dgm:pt>
    <dgm:pt modelId="{23E825F8-5A6D-436A-A647-F20B4C69C538}" type="parTrans" cxnId="{D9C2A380-0BB2-44DB-9551-5264FD589B94}">
      <dgm:prSet/>
      <dgm:spPr/>
      <dgm:t>
        <a:bodyPr/>
        <a:lstStyle/>
        <a:p>
          <a:endParaRPr lang="en-US"/>
        </a:p>
      </dgm:t>
    </dgm:pt>
    <dgm:pt modelId="{56FAA4C4-CB5A-4513-9CA9-EE255D4D3C66}" type="sibTrans" cxnId="{D9C2A380-0BB2-44DB-9551-5264FD589B94}">
      <dgm:prSet/>
      <dgm:spPr/>
      <dgm:t>
        <a:bodyPr/>
        <a:lstStyle/>
        <a:p>
          <a:endParaRPr lang="en-US"/>
        </a:p>
      </dgm:t>
    </dgm:pt>
    <dgm:pt modelId="{18B7539F-4F36-4E75-AB3C-2D7F37981635}">
      <dgm:prSet phldrT="[Text]" custT="1"/>
      <dgm:spPr/>
      <dgm:t>
        <a:bodyPr/>
        <a:lstStyle/>
        <a:p>
          <a:r>
            <a:rPr lang="en-US" sz="900" b="1"/>
            <a:t>Positive incentives </a:t>
          </a:r>
        </a:p>
        <a:p>
          <a:r>
            <a:rPr lang="en-US" sz="800" b="1" i="1"/>
            <a:t>Measures designed to encourage beneficial activities</a:t>
          </a:r>
        </a:p>
        <a:p>
          <a:endParaRPr lang="en-US" sz="800" b="1" i="1"/>
        </a:p>
        <a:p>
          <a:endParaRPr lang="en-US" sz="800" b="1" i="1"/>
        </a:p>
      </dgm:t>
    </dgm:pt>
    <dgm:pt modelId="{39D687A6-B331-4B4E-97F7-C49DD07C87C9}" type="parTrans" cxnId="{EEFBB69F-2B16-453A-8932-172F86238822}">
      <dgm:prSet/>
      <dgm:spPr/>
      <dgm:t>
        <a:bodyPr/>
        <a:lstStyle/>
        <a:p>
          <a:endParaRPr lang="en-US"/>
        </a:p>
      </dgm:t>
    </dgm:pt>
    <dgm:pt modelId="{9D11F77C-8310-4D91-A208-D9CF7C789008}" type="sibTrans" cxnId="{EEFBB69F-2B16-453A-8932-172F86238822}">
      <dgm:prSet/>
      <dgm:spPr/>
      <dgm:t>
        <a:bodyPr/>
        <a:lstStyle/>
        <a:p>
          <a:endParaRPr lang="en-US"/>
        </a:p>
      </dgm:t>
    </dgm:pt>
    <dgm:pt modelId="{B4C9B09C-77AC-4130-A606-EAA9F61B8C02}">
      <dgm:prSet phldrT="[Text]" custT="1"/>
      <dgm:spPr/>
      <dgm:t>
        <a:bodyPr/>
        <a:lstStyle/>
        <a:p>
          <a:r>
            <a:rPr lang="en-US" sz="1200" b="1"/>
            <a:t>Incentives</a:t>
          </a:r>
        </a:p>
      </dgm:t>
    </dgm:pt>
    <dgm:pt modelId="{BBCB820E-D9BA-445B-82C1-1090FC69D539}" type="sibTrans" cxnId="{5482E2CA-1646-4641-A824-797006E9ED82}">
      <dgm:prSet/>
      <dgm:spPr/>
      <dgm:t>
        <a:bodyPr/>
        <a:lstStyle/>
        <a:p>
          <a:endParaRPr lang="en-US"/>
        </a:p>
      </dgm:t>
    </dgm:pt>
    <dgm:pt modelId="{E6BC2B2B-187A-4013-A870-EE7F41365B2A}" type="parTrans" cxnId="{5482E2CA-1646-4641-A824-797006E9ED82}">
      <dgm:prSet/>
      <dgm:spPr/>
      <dgm:t>
        <a:bodyPr/>
        <a:lstStyle/>
        <a:p>
          <a:endParaRPr lang="en-US"/>
        </a:p>
      </dgm:t>
    </dgm:pt>
    <dgm:pt modelId="{2EC6DD2E-E31B-4412-8BC3-EE49391B0F5C}" type="pres">
      <dgm:prSet presAssocID="{BF63AB8F-A3F4-40A5-B7EC-E29416EA5C3F}" presName="hierChild1" presStyleCnt="0">
        <dgm:presLayoutVars>
          <dgm:chPref val="1"/>
          <dgm:dir/>
          <dgm:animOne val="branch"/>
          <dgm:animLvl val="lvl"/>
          <dgm:resizeHandles/>
        </dgm:presLayoutVars>
      </dgm:prSet>
      <dgm:spPr/>
    </dgm:pt>
    <dgm:pt modelId="{DBCF87A1-3570-403F-B615-A4CB6475622A}" type="pres">
      <dgm:prSet presAssocID="{B4C9B09C-77AC-4130-A606-EAA9F61B8C02}" presName="hierRoot1" presStyleCnt="0"/>
      <dgm:spPr/>
    </dgm:pt>
    <dgm:pt modelId="{286070E9-0622-4EA6-9D55-41CA28E44D6F}" type="pres">
      <dgm:prSet presAssocID="{B4C9B09C-77AC-4130-A606-EAA9F61B8C02}" presName="composite" presStyleCnt="0"/>
      <dgm:spPr/>
    </dgm:pt>
    <dgm:pt modelId="{6AB22BC5-92D1-4088-A690-12F0B01B7E89}" type="pres">
      <dgm:prSet presAssocID="{B4C9B09C-77AC-4130-A606-EAA9F61B8C02}" presName="background" presStyleLbl="node0" presStyleIdx="0" presStyleCnt="1"/>
      <dgm:spPr/>
    </dgm:pt>
    <dgm:pt modelId="{1773BBEE-F844-404B-A4A2-989C185C55AC}" type="pres">
      <dgm:prSet presAssocID="{B4C9B09C-77AC-4130-A606-EAA9F61B8C02}" presName="text" presStyleLbl="fgAcc0" presStyleIdx="0" presStyleCnt="1" custScaleX="238716" custScaleY="40890">
        <dgm:presLayoutVars>
          <dgm:chPref val="3"/>
        </dgm:presLayoutVars>
      </dgm:prSet>
      <dgm:spPr/>
    </dgm:pt>
    <dgm:pt modelId="{77B01A60-FAF6-440C-B870-7E97BBA1D112}" type="pres">
      <dgm:prSet presAssocID="{B4C9B09C-77AC-4130-A606-EAA9F61B8C02}" presName="hierChild2" presStyleCnt="0"/>
      <dgm:spPr/>
    </dgm:pt>
    <dgm:pt modelId="{2A4DB320-76B4-4AB0-82B7-7B43173CD906}" type="pres">
      <dgm:prSet presAssocID="{51584841-9B08-4AC7-982F-59EDDB01DFB2}" presName="Name10" presStyleLbl="parChTrans1D2" presStyleIdx="0" presStyleCnt="3"/>
      <dgm:spPr/>
    </dgm:pt>
    <dgm:pt modelId="{50FB223A-8FB9-4F11-A7F8-EF9E09D316E5}" type="pres">
      <dgm:prSet presAssocID="{490064BC-AB55-4CAF-8CCE-93B04F0FC875}" presName="hierRoot2" presStyleCnt="0"/>
      <dgm:spPr/>
    </dgm:pt>
    <dgm:pt modelId="{9AFD8B98-82DE-45F1-A49B-47231CFEC615}" type="pres">
      <dgm:prSet presAssocID="{490064BC-AB55-4CAF-8CCE-93B04F0FC875}" presName="composite2" presStyleCnt="0"/>
      <dgm:spPr/>
    </dgm:pt>
    <dgm:pt modelId="{6719FB47-1914-4442-AC6D-6D4BFD30EC47}" type="pres">
      <dgm:prSet presAssocID="{490064BC-AB55-4CAF-8CCE-93B04F0FC875}" presName="background2" presStyleLbl="node2" presStyleIdx="0" presStyleCnt="3"/>
      <dgm:spPr/>
    </dgm:pt>
    <dgm:pt modelId="{AA5E23FE-D3EF-46FE-9E54-81316E72DE7D}" type="pres">
      <dgm:prSet presAssocID="{490064BC-AB55-4CAF-8CCE-93B04F0FC875}" presName="text2" presStyleLbl="fgAcc2" presStyleIdx="0" presStyleCnt="3" custScaleX="156444" custScaleY="121752">
        <dgm:presLayoutVars>
          <dgm:chPref val="3"/>
        </dgm:presLayoutVars>
      </dgm:prSet>
      <dgm:spPr/>
    </dgm:pt>
    <dgm:pt modelId="{7E3D23DC-12D9-4651-B790-9627608FC9E3}" type="pres">
      <dgm:prSet presAssocID="{490064BC-AB55-4CAF-8CCE-93B04F0FC875}" presName="hierChild3" presStyleCnt="0"/>
      <dgm:spPr/>
    </dgm:pt>
    <dgm:pt modelId="{6F69D9DD-A234-41CC-BBA6-8B4C2D96A80D}" type="pres">
      <dgm:prSet presAssocID="{39D687A6-B331-4B4E-97F7-C49DD07C87C9}" presName="Name10" presStyleLbl="parChTrans1D2" presStyleIdx="1" presStyleCnt="3"/>
      <dgm:spPr/>
    </dgm:pt>
    <dgm:pt modelId="{E2C00F1B-C5E9-4759-87B3-8B680DD35041}" type="pres">
      <dgm:prSet presAssocID="{18B7539F-4F36-4E75-AB3C-2D7F37981635}" presName="hierRoot2" presStyleCnt="0"/>
      <dgm:spPr/>
    </dgm:pt>
    <dgm:pt modelId="{2D4B5E6C-FC17-4DDF-8504-4E143799028B}" type="pres">
      <dgm:prSet presAssocID="{18B7539F-4F36-4E75-AB3C-2D7F37981635}" presName="composite2" presStyleCnt="0"/>
      <dgm:spPr/>
    </dgm:pt>
    <dgm:pt modelId="{C51EEDFA-29B0-44F4-976E-C855CB1C6528}" type="pres">
      <dgm:prSet presAssocID="{18B7539F-4F36-4E75-AB3C-2D7F37981635}" presName="background2" presStyleLbl="node2" presStyleIdx="1" presStyleCnt="3"/>
      <dgm:spPr/>
    </dgm:pt>
    <dgm:pt modelId="{D07BB307-28A3-4040-A512-1D7DB738DB14}" type="pres">
      <dgm:prSet presAssocID="{18B7539F-4F36-4E75-AB3C-2D7F37981635}" presName="text2" presStyleLbl="fgAcc2" presStyleIdx="1" presStyleCnt="3" custScaleX="159174" custScaleY="115724">
        <dgm:presLayoutVars>
          <dgm:chPref val="3"/>
        </dgm:presLayoutVars>
      </dgm:prSet>
      <dgm:spPr/>
    </dgm:pt>
    <dgm:pt modelId="{5F243429-A4E2-45EA-81C0-5E462A666CCA}" type="pres">
      <dgm:prSet presAssocID="{18B7539F-4F36-4E75-AB3C-2D7F37981635}" presName="hierChild3" presStyleCnt="0"/>
      <dgm:spPr/>
    </dgm:pt>
    <dgm:pt modelId="{5AA57232-8036-4E6D-9ECE-D91B7200AEF8}" type="pres">
      <dgm:prSet presAssocID="{DBA34CB6-ABDB-45B1-9547-5CFDBDCAD2AF}" presName="Name17" presStyleLbl="parChTrans1D3" presStyleIdx="0" presStyleCnt="2"/>
      <dgm:spPr/>
    </dgm:pt>
    <dgm:pt modelId="{BCA2EB1E-6AAE-4EA4-B464-EC3431DCFFC2}" type="pres">
      <dgm:prSet presAssocID="{D00212B0-7CF2-4518-93B1-1D98F275E93C}" presName="hierRoot3" presStyleCnt="0"/>
      <dgm:spPr/>
    </dgm:pt>
    <dgm:pt modelId="{A1494219-4454-49D4-A839-A21615F6768B}" type="pres">
      <dgm:prSet presAssocID="{D00212B0-7CF2-4518-93B1-1D98F275E93C}" presName="composite3" presStyleCnt="0"/>
      <dgm:spPr/>
    </dgm:pt>
    <dgm:pt modelId="{4A8A42F4-97EF-4A7C-BD25-11DA58DFB945}" type="pres">
      <dgm:prSet presAssocID="{D00212B0-7CF2-4518-93B1-1D98F275E93C}" presName="background3" presStyleLbl="node3" presStyleIdx="0" presStyleCnt="2"/>
      <dgm:spPr/>
    </dgm:pt>
    <dgm:pt modelId="{FD2839A1-E267-4B23-81AE-E3C818B23BD5}" type="pres">
      <dgm:prSet presAssocID="{D00212B0-7CF2-4518-93B1-1D98F275E93C}" presName="text3" presStyleLbl="fgAcc3" presStyleIdx="0" presStyleCnt="2" custScaleX="194025" custScaleY="126196">
        <dgm:presLayoutVars>
          <dgm:chPref val="3"/>
        </dgm:presLayoutVars>
      </dgm:prSet>
      <dgm:spPr/>
    </dgm:pt>
    <dgm:pt modelId="{2B4C603F-7383-43FA-9559-7A418652D71C}" type="pres">
      <dgm:prSet presAssocID="{D00212B0-7CF2-4518-93B1-1D98F275E93C}" presName="hierChild4" presStyleCnt="0"/>
      <dgm:spPr/>
    </dgm:pt>
    <dgm:pt modelId="{9C8937E3-3274-40EC-93F2-9212BF590E98}" type="pres">
      <dgm:prSet presAssocID="{7784BFFE-AC9D-4BD4-9C51-2BDA23639373}" presName="Name17" presStyleLbl="parChTrans1D3" presStyleIdx="1" presStyleCnt="2"/>
      <dgm:spPr/>
    </dgm:pt>
    <dgm:pt modelId="{A20D3491-52E6-49CB-A2CB-1E4AD47C4986}" type="pres">
      <dgm:prSet presAssocID="{67CEDC8A-8E8C-4133-B94C-57F3F67E4D17}" presName="hierRoot3" presStyleCnt="0"/>
      <dgm:spPr/>
    </dgm:pt>
    <dgm:pt modelId="{0E8159D2-C5AA-41BE-949A-6E9DD14E3F20}" type="pres">
      <dgm:prSet presAssocID="{67CEDC8A-8E8C-4133-B94C-57F3F67E4D17}" presName="composite3" presStyleCnt="0"/>
      <dgm:spPr/>
    </dgm:pt>
    <dgm:pt modelId="{864C7550-4A02-48AA-AAAD-8C55CD752B7D}" type="pres">
      <dgm:prSet presAssocID="{67CEDC8A-8E8C-4133-B94C-57F3F67E4D17}" presName="background3" presStyleLbl="node3" presStyleIdx="1" presStyleCnt="2"/>
      <dgm:spPr/>
    </dgm:pt>
    <dgm:pt modelId="{90A30428-769C-42EF-AB34-32A05F17755F}" type="pres">
      <dgm:prSet presAssocID="{67CEDC8A-8E8C-4133-B94C-57F3F67E4D17}" presName="text3" presStyleLbl="fgAcc3" presStyleIdx="1" presStyleCnt="2" custScaleX="196997" custScaleY="123802">
        <dgm:presLayoutVars>
          <dgm:chPref val="3"/>
        </dgm:presLayoutVars>
      </dgm:prSet>
      <dgm:spPr/>
    </dgm:pt>
    <dgm:pt modelId="{4E9BC32C-C0D6-4D34-853C-EDB1B3A08FC5}" type="pres">
      <dgm:prSet presAssocID="{67CEDC8A-8E8C-4133-B94C-57F3F67E4D17}" presName="hierChild4" presStyleCnt="0"/>
      <dgm:spPr/>
    </dgm:pt>
    <dgm:pt modelId="{61A649D7-8730-418F-A923-CC1CD8B64038}" type="pres">
      <dgm:prSet presAssocID="{23E825F8-5A6D-436A-A647-F20B4C69C538}" presName="Name10" presStyleLbl="parChTrans1D2" presStyleIdx="2" presStyleCnt="3"/>
      <dgm:spPr/>
    </dgm:pt>
    <dgm:pt modelId="{DDDA13CA-6EA6-46F3-BAC3-4FBCC593FDF0}" type="pres">
      <dgm:prSet presAssocID="{F89FB449-CDBA-43EF-82BC-C1BAA175B4DF}" presName="hierRoot2" presStyleCnt="0"/>
      <dgm:spPr/>
    </dgm:pt>
    <dgm:pt modelId="{B9BFE965-A6C9-413E-8FCD-6951B3F537E4}" type="pres">
      <dgm:prSet presAssocID="{F89FB449-CDBA-43EF-82BC-C1BAA175B4DF}" presName="composite2" presStyleCnt="0"/>
      <dgm:spPr/>
    </dgm:pt>
    <dgm:pt modelId="{E7A55C7A-409F-4F82-86B4-C298318CC825}" type="pres">
      <dgm:prSet presAssocID="{F89FB449-CDBA-43EF-82BC-C1BAA175B4DF}" presName="background2" presStyleLbl="node2" presStyleIdx="2" presStyleCnt="3"/>
      <dgm:spPr/>
    </dgm:pt>
    <dgm:pt modelId="{682EB001-8B23-4B6C-BD2D-D8EB67C828F5}" type="pres">
      <dgm:prSet presAssocID="{F89FB449-CDBA-43EF-82BC-C1BAA175B4DF}" presName="text2" presStyleLbl="fgAcc2" presStyleIdx="2" presStyleCnt="3" custScaleX="157900" custScaleY="121286" custLinFactNeighborX="187" custLinFactNeighborY="-1864">
        <dgm:presLayoutVars>
          <dgm:chPref val="3"/>
        </dgm:presLayoutVars>
      </dgm:prSet>
      <dgm:spPr/>
    </dgm:pt>
    <dgm:pt modelId="{DFC9C36D-CF27-45F1-80CA-B8B2D3AAD646}" type="pres">
      <dgm:prSet presAssocID="{F89FB449-CDBA-43EF-82BC-C1BAA175B4DF}" presName="hierChild3" presStyleCnt="0"/>
      <dgm:spPr/>
    </dgm:pt>
  </dgm:ptLst>
  <dgm:cxnLst>
    <dgm:cxn modelId="{DED2CD1B-A223-4369-83AB-85C289996115}" srcId="{B4C9B09C-77AC-4130-A606-EAA9F61B8C02}" destId="{490064BC-AB55-4CAF-8CCE-93B04F0FC875}" srcOrd="0" destOrd="0" parTransId="{51584841-9B08-4AC7-982F-59EDDB01DFB2}" sibTransId="{88B6C552-F89B-4599-AC6F-CBE39F30EF5F}"/>
    <dgm:cxn modelId="{3246681D-BA52-4169-83E7-22F9B7E6616A}" type="presOf" srcId="{F89FB449-CDBA-43EF-82BC-C1BAA175B4DF}" destId="{682EB001-8B23-4B6C-BD2D-D8EB67C828F5}" srcOrd="0" destOrd="0" presId="urn:microsoft.com/office/officeart/2005/8/layout/hierarchy1"/>
    <dgm:cxn modelId="{41BF1725-190D-4DCF-9B38-604370F2558B}" srcId="{18B7539F-4F36-4E75-AB3C-2D7F37981635}" destId="{D00212B0-7CF2-4518-93B1-1D98F275E93C}" srcOrd="0" destOrd="0" parTransId="{DBA34CB6-ABDB-45B1-9547-5CFDBDCAD2AF}" sibTransId="{A789AF39-91F4-4716-9911-D3F87888E36B}"/>
    <dgm:cxn modelId="{8BDA0C32-DFC0-4038-B2EC-FABE7F1589F5}" type="presOf" srcId="{490064BC-AB55-4CAF-8CCE-93B04F0FC875}" destId="{AA5E23FE-D3EF-46FE-9E54-81316E72DE7D}" srcOrd="0" destOrd="0" presId="urn:microsoft.com/office/officeart/2005/8/layout/hierarchy1"/>
    <dgm:cxn modelId="{4094A076-5435-45B1-9566-9863AD0B5929}" type="presOf" srcId="{18B7539F-4F36-4E75-AB3C-2D7F37981635}" destId="{D07BB307-28A3-4040-A512-1D7DB738DB14}" srcOrd="0" destOrd="0" presId="urn:microsoft.com/office/officeart/2005/8/layout/hierarchy1"/>
    <dgm:cxn modelId="{D9C2A380-0BB2-44DB-9551-5264FD589B94}" srcId="{B4C9B09C-77AC-4130-A606-EAA9F61B8C02}" destId="{F89FB449-CDBA-43EF-82BC-C1BAA175B4DF}" srcOrd="2" destOrd="0" parTransId="{23E825F8-5A6D-436A-A647-F20B4C69C538}" sibTransId="{56FAA4C4-CB5A-4513-9CA9-EE255D4D3C66}"/>
    <dgm:cxn modelId="{833AA684-CE01-48CC-93D9-9067847D26DF}" type="presOf" srcId="{23E825F8-5A6D-436A-A647-F20B4C69C538}" destId="{61A649D7-8730-418F-A923-CC1CD8B64038}" srcOrd="0" destOrd="0" presId="urn:microsoft.com/office/officeart/2005/8/layout/hierarchy1"/>
    <dgm:cxn modelId="{87469A86-177F-492F-B0DD-3189E431E8F5}" type="presOf" srcId="{51584841-9B08-4AC7-982F-59EDDB01DFB2}" destId="{2A4DB320-76B4-4AB0-82B7-7B43173CD906}" srcOrd="0" destOrd="0" presId="urn:microsoft.com/office/officeart/2005/8/layout/hierarchy1"/>
    <dgm:cxn modelId="{1C7F9794-9D32-4D7E-9211-F7B1BA2A0640}" type="presOf" srcId="{7784BFFE-AC9D-4BD4-9C51-2BDA23639373}" destId="{9C8937E3-3274-40EC-93F2-9212BF590E98}" srcOrd="0" destOrd="0" presId="urn:microsoft.com/office/officeart/2005/8/layout/hierarchy1"/>
    <dgm:cxn modelId="{EEFBB69F-2B16-453A-8932-172F86238822}" srcId="{B4C9B09C-77AC-4130-A606-EAA9F61B8C02}" destId="{18B7539F-4F36-4E75-AB3C-2D7F37981635}" srcOrd="1" destOrd="0" parTransId="{39D687A6-B331-4B4E-97F7-C49DD07C87C9}" sibTransId="{9D11F77C-8310-4D91-A208-D9CF7C789008}"/>
    <dgm:cxn modelId="{89066FA1-E7E3-4E65-8441-26C5F8CF207E}" srcId="{18B7539F-4F36-4E75-AB3C-2D7F37981635}" destId="{67CEDC8A-8E8C-4133-B94C-57F3F67E4D17}" srcOrd="1" destOrd="0" parTransId="{7784BFFE-AC9D-4BD4-9C51-2BDA23639373}" sibTransId="{261AC377-42C6-4455-A065-DC9652772554}"/>
    <dgm:cxn modelId="{5482E2CA-1646-4641-A824-797006E9ED82}" srcId="{BF63AB8F-A3F4-40A5-B7EC-E29416EA5C3F}" destId="{B4C9B09C-77AC-4130-A606-EAA9F61B8C02}" srcOrd="0" destOrd="0" parTransId="{E6BC2B2B-187A-4013-A870-EE7F41365B2A}" sibTransId="{BBCB820E-D9BA-445B-82C1-1090FC69D539}"/>
    <dgm:cxn modelId="{148171D3-FF37-4A6B-8C39-00F9328D61B5}" type="presOf" srcId="{BF63AB8F-A3F4-40A5-B7EC-E29416EA5C3F}" destId="{2EC6DD2E-E31B-4412-8BC3-EE49391B0F5C}" srcOrd="0" destOrd="0" presId="urn:microsoft.com/office/officeart/2005/8/layout/hierarchy1"/>
    <dgm:cxn modelId="{4341BFE4-EB5C-47BD-82A1-935569E9A166}" type="presOf" srcId="{D00212B0-7CF2-4518-93B1-1D98F275E93C}" destId="{FD2839A1-E267-4B23-81AE-E3C818B23BD5}" srcOrd="0" destOrd="0" presId="urn:microsoft.com/office/officeart/2005/8/layout/hierarchy1"/>
    <dgm:cxn modelId="{92CFD6E9-8887-45AB-8462-1152A06D7016}" type="presOf" srcId="{DBA34CB6-ABDB-45B1-9547-5CFDBDCAD2AF}" destId="{5AA57232-8036-4E6D-9ECE-D91B7200AEF8}" srcOrd="0" destOrd="0" presId="urn:microsoft.com/office/officeart/2005/8/layout/hierarchy1"/>
    <dgm:cxn modelId="{CBE696EB-5A5B-4AED-91DD-687B902BB2F4}" type="presOf" srcId="{39D687A6-B331-4B4E-97F7-C49DD07C87C9}" destId="{6F69D9DD-A234-41CC-BBA6-8B4C2D96A80D}" srcOrd="0" destOrd="0" presId="urn:microsoft.com/office/officeart/2005/8/layout/hierarchy1"/>
    <dgm:cxn modelId="{FF14B5F4-57B6-438B-823C-15BEA8FDD625}" type="presOf" srcId="{67CEDC8A-8E8C-4133-B94C-57F3F67E4D17}" destId="{90A30428-769C-42EF-AB34-32A05F17755F}" srcOrd="0" destOrd="0" presId="urn:microsoft.com/office/officeart/2005/8/layout/hierarchy1"/>
    <dgm:cxn modelId="{8FFB2AF7-8720-4B7D-BE09-24870E08C45C}" type="presOf" srcId="{B4C9B09C-77AC-4130-A606-EAA9F61B8C02}" destId="{1773BBEE-F844-404B-A4A2-989C185C55AC}" srcOrd="0" destOrd="0" presId="urn:microsoft.com/office/officeart/2005/8/layout/hierarchy1"/>
    <dgm:cxn modelId="{C9FC4F3D-C5C9-420B-9FC9-327BC2995BDC}" type="presParOf" srcId="{2EC6DD2E-E31B-4412-8BC3-EE49391B0F5C}" destId="{DBCF87A1-3570-403F-B615-A4CB6475622A}" srcOrd="0" destOrd="0" presId="urn:microsoft.com/office/officeart/2005/8/layout/hierarchy1"/>
    <dgm:cxn modelId="{1E9065E0-EAE2-45A4-B175-20CB45598D09}" type="presParOf" srcId="{DBCF87A1-3570-403F-B615-A4CB6475622A}" destId="{286070E9-0622-4EA6-9D55-41CA28E44D6F}" srcOrd="0" destOrd="0" presId="urn:microsoft.com/office/officeart/2005/8/layout/hierarchy1"/>
    <dgm:cxn modelId="{7F97A9D5-131F-4627-8604-24700A735413}" type="presParOf" srcId="{286070E9-0622-4EA6-9D55-41CA28E44D6F}" destId="{6AB22BC5-92D1-4088-A690-12F0B01B7E89}" srcOrd="0" destOrd="0" presId="urn:microsoft.com/office/officeart/2005/8/layout/hierarchy1"/>
    <dgm:cxn modelId="{4B2316AD-80AC-48B7-893F-E53BDD891511}" type="presParOf" srcId="{286070E9-0622-4EA6-9D55-41CA28E44D6F}" destId="{1773BBEE-F844-404B-A4A2-989C185C55AC}" srcOrd="1" destOrd="0" presId="urn:microsoft.com/office/officeart/2005/8/layout/hierarchy1"/>
    <dgm:cxn modelId="{A441B1D0-A16C-42B1-BF18-A6FE15FA6A44}" type="presParOf" srcId="{DBCF87A1-3570-403F-B615-A4CB6475622A}" destId="{77B01A60-FAF6-440C-B870-7E97BBA1D112}" srcOrd="1" destOrd="0" presId="urn:microsoft.com/office/officeart/2005/8/layout/hierarchy1"/>
    <dgm:cxn modelId="{88FEBCF0-0815-49C9-B5E8-59FFC7AB601D}" type="presParOf" srcId="{77B01A60-FAF6-440C-B870-7E97BBA1D112}" destId="{2A4DB320-76B4-4AB0-82B7-7B43173CD906}" srcOrd="0" destOrd="0" presId="urn:microsoft.com/office/officeart/2005/8/layout/hierarchy1"/>
    <dgm:cxn modelId="{02C5A369-99C7-4858-8254-C363883EFD97}" type="presParOf" srcId="{77B01A60-FAF6-440C-B870-7E97BBA1D112}" destId="{50FB223A-8FB9-4F11-A7F8-EF9E09D316E5}" srcOrd="1" destOrd="0" presId="urn:microsoft.com/office/officeart/2005/8/layout/hierarchy1"/>
    <dgm:cxn modelId="{C6048BE3-12D7-4CBA-9072-2D452B95D48A}" type="presParOf" srcId="{50FB223A-8FB9-4F11-A7F8-EF9E09D316E5}" destId="{9AFD8B98-82DE-45F1-A49B-47231CFEC615}" srcOrd="0" destOrd="0" presId="urn:microsoft.com/office/officeart/2005/8/layout/hierarchy1"/>
    <dgm:cxn modelId="{8E9299A8-C6A2-4345-98CA-50F0C10B4A37}" type="presParOf" srcId="{9AFD8B98-82DE-45F1-A49B-47231CFEC615}" destId="{6719FB47-1914-4442-AC6D-6D4BFD30EC47}" srcOrd="0" destOrd="0" presId="urn:microsoft.com/office/officeart/2005/8/layout/hierarchy1"/>
    <dgm:cxn modelId="{DA33D3BC-9BE2-42D4-86F8-62D00FEC174F}" type="presParOf" srcId="{9AFD8B98-82DE-45F1-A49B-47231CFEC615}" destId="{AA5E23FE-D3EF-46FE-9E54-81316E72DE7D}" srcOrd="1" destOrd="0" presId="urn:microsoft.com/office/officeart/2005/8/layout/hierarchy1"/>
    <dgm:cxn modelId="{126B6302-8703-4CC0-BE5F-9B21F105C70C}" type="presParOf" srcId="{50FB223A-8FB9-4F11-A7F8-EF9E09D316E5}" destId="{7E3D23DC-12D9-4651-B790-9627608FC9E3}" srcOrd="1" destOrd="0" presId="urn:microsoft.com/office/officeart/2005/8/layout/hierarchy1"/>
    <dgm:cxn modelId="{8E2CD03F-1594-4837-A47E-CF6FB4753B90}" type="presParOf" srcId="{77B01A60-FAF6-440C-B870-7E97BBA1D112}" destId="{6F69D9DD-A234-41CC-BBA6-8B4C2D96A80D}" srcOrd="2" destOrd="0" presId="urn:microsoft.com/office/officeart/2005/8/layout/hierarchy1"/>
    <dgm:cxn modelId="{2645C4A0-86B7-4574-ABC5-911EDE5C3106}" type="presParOf" srcId="{77B01A60-FAF6-440C-B870-7E97BBA1D112}" destId="{E2C00F1B-C5E9-4759-87B3-8B680DD35041}" srcOrd="3" destOrd="0" presId="urn:microsoft.com/office/officeart/2005/8/layout/hierarchy1"/>
    <dgm:cxn modelId="{FED524CC-F369-4089-8F6F-665459FCD129}" type="presParOf" srcId="{E2C00F1B-C5E9-4759-87B3-8B680DD35041}" destId="{2D4B5E6C-FC17-4DDF-8504-4E143799028B}" srcOrd="0" destOrd="0" presId="urn:microsoft.com/office/officeart/2005/8/layout/hierarchy1"/>
    <dgm:cxn modelId="{33857E50-DFD3-492D-80DB-F0C1F90705A9}" type="presParOf" srcId="{2D4B5E6C-FC17-4DDF-8504-4E143799028B}" destId="{C51EEDFA-29B0-44F4-976E-C855CB1C6528}" srcOrd="0" destOrd="0" presId="urn:microsoft.com/office/officeart/2005/8/layout/hierarchy1"/>
    <dgm:cxn modelId="{D50ABF56-F12B-4894-987C-88AAC863688B}" type="presParOf" srcId="{2D4B5E6C-FC17-4DDF-8504-4E143799028B}" destId="{D07BB307-28A3-4040-A512-1D7DB738DB14}" srcOrd="1" destOrd="0" presId="urn:microsoft.com/office/officeart/2005/8/layout/hierarchy1"/>
    <dgm:cxn modelId="{9E980E00-C36C-4F37-97ED-F3DB1923F3BD}" type="presParOf" srcId="{E2C00F1B-C5E9-4759-87B3-8B680DD35041}" destId="{5F243429-A4E2-45EA-81C0-5E462A666CCA}" srcOrd="1" destOrd="0" presId="urn:microsoft.com/office/officeart/2005/8/layout/hierarchy1"/>
    <dgm:cxn modelId="{82965959-6644-4BBE-81E1-0A46222711F3}" type="presParOf" srcId="{5F243429-A4E2-45EA-81C0-5E462A666CCA}" destId="{5AA57232-8036-4E6D-9ECE-D91B7200AEF8}" srcOrd="0" destOrd="0" presId="urn:microsoft.com/office/officeart/2005/8/layout/hierarchy1"/>
    <dgm:cxn modelId="{B2D8E4B6-6CB7-4726-81CC-2FF84D4A59A6}" type="presParOf" srcId="{5F243429-A4E2-45EA-81C0-5E462A666CCA}" destId="{BCA2EB1E-6AAE-4EA4-B464-EC3431DCFFC2}" srcOrd="1" destOrd="0" presId="urn:microsoft.com/office/officeart/2005/8/layout/hierarchy1"/>
    <dgm:cxn modelId="{2105D253-54E7-45D1-AC0D-D87163F15E54}" type="presParOf" srcId="{BCA2EB1E-6AAE-4EA4-B464-EC3431DCFFC2}" destId="{A1494219-4454-49D4-A839-A21615F6768B}" srcOrd="0" destOrd="0" presId="urn:microsoft.com/office/officeart/2005/8/layout/hierarchy1"/>
    <dgm:cxn modelId="{453C98CF-2923-42A5-B42F-CAB3573A44CF}" type="presParOf" srcId="{A1494219-4454-49D4-A839-A21615F6768B}" destId="{4A8A42F4-97EF-4A7C-BD25-11DA58DFB945}" srcOrd="0" destOrd="0" presId="urn:microsoft.com/office/officeart/2005/8/layout/hierarchy1"/>
    <dgm:cxn modelId="{DBB92FC9-9D6E-4938-BA4B-F525987D7B6C}" type="presParOf" srcId="{A1494219-4454-49D4-A839-A21615F6768B}" destId="{FD2839A1-E267-4B23-81AE-E3C818B23BD5}" srcOrd="1" destOrd="0" presId="urn:microsoft.com/office/officeart/2005/8/layout/hierarchy1"/>
    <dgm:cxn modelId="{1A20C6F9-7070-4520-831E-D93D0E3B3D15}" type="presParOf" srcId="{BCA2EB1E-6AAE-4EA4-B464-EC3431DCFFC2}" destId="{2B4C603F-7383-43FA-9559-7A418652D71C}" srcOrd="1" destOrd="0" presId="urn:microsoft.com/office/officeart/2005/8/layout/hierarchy1"/>
    <dgm:cxn modelId="{F0BB7291-FBAF-4254-A4E2-105C2088C929}" type="presParOf" srcId="{5F243429-A4E2-45EA-81C0-5E462A666CCA}" destId="{9C8937E3-3274-40EC-93F2-9212BF590E98}" srcOrd="2" destOrd="0" presId="urn:microsoft.com/office/officeart/2005/8/layout/hierarchy1"/>
    <dgm:cxn modelId="{FF6D4AAA-0E13-48AD-BD7A-700CA1FC8884}" type="presParOf" srcId="{5F243429-A4E2-45EA-81C0-5E462A666CCA}" destId="{A20D3491-52E6-49CB-A2CB-1E4AD47C4986}" srcOrd="3" destOrd="0" presId="urn:microsoft.com/office/officeart/2005/8/layout/hierarchy1"/>
    <dgm:cxn modelId="{658CA4EA-8603-4F2D-9595-606A7009E050}" type="presParOf" srcId="{A20D3491-52E6-49CB-A2CB-1E4AD47C4986}" destId="{0E8159D2-C5AA-41BE-949A-6E9DD14E3F20}" srcOrd="0" destOrd="0" presId="urn:microsoft.com/office/officeart/2005/8/layout/hierarchy1"/>
    <dgm:cxn modelId="{75CBF071-7700-43EE-85E6-A623328C3248}" type="presParOf" srcId="{0E8159D2-C5AA-41BE-949A-6E9DD14E3F20}" destId="{864C7550-4A02-48AA-AAAD-8C55CD752B7D}" srcOrd="0" destOrd="0" presId="urn:microsoft.com/office/officeart/2005/8/layout/hierarchy1"/>
    <dgm:cxn modelId="{F6A337BF-54E5-4999-A6C4-EA7A4FEBDEC0}" type="presParOf" srcId="{0E8159D2-C5AA-41BE-949A-6E9DD14E3F20}" destId="{90A30428-769C-42EF-AB34-32A05F17755F}" srcOrd="1" destOrd="0" presId="urn:microsoft.com/office/officeart/2005/8/layout/hierarchy1"/>
    <dgm:cxn modelId="{AD62E7BD-1081-419F-AB78-0A27758289E9}" type="presParOf" srcId="{A20D3491-52E6-49CB-A2CB-1E4AD47C4986}" destId="{4E9BC32C-C0D6-4D34-853C-EDB1B3A08FC5}" srcOrd="1" destOrd="0" presId="urn:microsoft.com/office/officeart/2005/8/layout/hierarchy1"/>
    <dgm:cxn modelId="{775397A5-CE00-4BAC-B3F6-1A7A23C9B378}" type="presParOf" srcId="{77B01A60-FAF6-440C-B870-7E97BBA1D112}" destId="{61A649D7-8730-418F-A923-CC1CD8B64038}" srcOrd="4" destOrd="0" presId="urn:microsoft.com/office/officeart/2005/8/layout/hierarchy1"/>
    <dgm:cxn modelId="{3BFB6676-BFA4-4E95-8D53-D9163FF01964}" type="presParOf" srcId="{77B01A60-FAF6-440C-B870-7E97BBA1D112}" destId="{DDDA13CA-6EA6-46F3-BAC3-4FBCC593FDF0}" srcOrd="5" destOrd="0" presId="urn:microsoft.com/office/officeart/2005/8/layout/hierarchy1"/>
    <dgm:cxn modelId="{93F7F5BF-43DF-4491-8AC0-C31F1409FC54}" type="presParOf" srcId="{DDDA13CA-6EA6-46F3-BAC3-4FBCC593FDF0}" destId="{B9BFE965-A6C9-413E-8FCD-6951B3F537E4}" srcOrd="0" destOrd="0" presId="urn:microsoft.com/office/officeart/2005/8/layout/hierarchy1"/>
    <dgm:cxn modelId="{E2C9B413-763F-496A-8A33-0BECF3273288}" type="presParOf" srcId="{B9BFE965-A6C9-413E-8FCD-6951B3F537E4}" destId="{E7A55C7A-409F-4F82-86B4-C298318CC825}" srcOrd="0" destOrd="0" presId="urn:microsoft.com/office/officeart/2005/8/layout/hierarchy1"/>
    <dgm:cxn modelId="{C2698F63-2A2A-4C55-AE6D-4B01C399F437}" type="presParOf" srcId="{B9BFE965-A6C9-413E-8FCD-6951B3F537E4}" destId="{682EB001-8B23-4B6C-BD2D-D8EB67C828F5}" srcOrd="1" destOrd="0" presId="urn:microsoft.com/office/officeart/2005/8/layout/hierarchy1"/>
    <dgm:cxn modelId="{11E10E74-B2F6-43E4-9E38-2112EB8666D3}" type="presParOf" srcId="{DDDA13CA-6EA6-46F3-BAC3-4FBCC593FDF0}" destId="{DFC9C36D-CF27-45F1-80CA-B8B2D3AAD646}"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A649D7-8730-418F-A923-CC1CD8B64038}">
      <dsp:nvSpPr>
        <dsp:cNvPr id="0" name=""/>
        <dsp:cNvSpPr/>
      </dsp:nvSpPr>
      <dsp:spPr>
        <a:xfrm>
          <a:off x="2886609" y="506058"/>
          <a:ext cx="2006844" cy="310895"/>
        </a:xfrm>
        <a:custGeom>
          <a:avLst/>
          <a:gdLst/>
          <a:ahLst/>
          <a:cxnLst/>
          <a:rect l="0" t="0" r="0" b="0"/>
          <a:pathLst>
            <a:path>
              <a:moveTo>
                <a:pt x="0" y="0"/>
              </a:moveTo>
              <a:lnTo>
                <a:pt x="0" y="207664"/>
              </a:lnTo>
              <a:lnTo>
                <a:pt x="2006844" y="207664"/>
              </a:lnTo>
              <a:lnTo>
                <a:pt x="2006844" y="310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8937E3-3274-40EC-93F2-9212BF590E98}">
      <dsp:nvSpPr>
        <dsp:cNvPr id="0" name=""/>
        <dsp:cNvSpPr/>
      </dsp:nvSpPr>
      <dsp:spPr>
        <a:xfrm>
          <a:off x="2878496" y="1649007"/>
          <a:ext cx="1204855" cy="324084"/>
        </a:xfrm>
        <a:custGeom>
          <a:avLst/>
          <a:gdLst/>
          <a:ahLst/>
          <a:cxnLst/>
          <a:rect l="0" t="0" r="0" b="0"/>
          <a:pathLst>
            <a:path>
              <a:moveTo>
                <a:pt x="0" y="0"/>
              </a:moveTo>
              <a:lnTo>
                <a:pt x="0" y="220854"/>
              </a:lnTo>
              <a:lnTo>
                <a:pt x="1204855" y="220854"/>
              </a:lnTo>
              <a:lnTo>
                <a:pt x="1204855" y="3240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A57232-8036-4E6D-9ECE-D91B7200AEF8}">
      <dsp:nvSpPr>
        <dsp:cNvPr id="0" name=""/>
        <dsp:cNvSpPr/>
      </dsp:nvSpPr>
      <dsp:spPr>
        <a:xfrm>
          <a:off x="1657081" y="1649007"/>
          <a:ext cx="1221414" cy="324084"/>
        </a:xfrm>
        <a:custGeom>
          <a:avLst/>
          <a:gdLst/>
          <a:ahLst/>
          <a:cxnLst/>
          <a:rect l="0" t="0" r="0" b="0"/>
          <a:pathLst>
            <a:path>
              <a:moveTo>
                <a:pt x="1221414" y="0"/>
              </a:moveTo>
              <a:lnTo>
                <a:pt x="1221414" y="220854"/>
              </a:lnTo>
              <a:lnTo>
                <a:pt x="0" y="220854"/>
              </a:lnTo>
              <a:lnTo>
                <a:pt x="0" y="3240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69D9DD-A234-41CC-BBA6-8B4C2D96A80D}">
      <dsp:nvSpPr>
        <dsp:cNvPr id="0" name=""/>
        <dsp:cNvSpPr/>
      </dsp:nvSpPr>
      <dsp:spPr>
        <a:xfrm>
          <a:off x="2832776" y="506058"/>
          <a:ext cx="91440" cy="324084"/>
        </a:xfrm>
        <a:custGeom>
          <a:avLst/>
          <a:gdLst/>
          <a:ahLst/>
          <a:cxnLst/>
          <a:rect l="0" t="0" r="0" b="0"/>
          <a:pathLst>
            <a:path>
              <a:moveTo>
                <a:pt x="53832" y="0"/>
              </a:moveTo>
              <a:lnTo>
                <a:pt x="53832" y="220854"/>
              </a:lnTo>
              <a:lnTo>
                <a:pt x="45720" y="220854"/>
              </a:lnTo>
              <a:lnTo>
                <a:pt x="45720" y="3240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4DB320-76B4-4AB0-82B7-7B43173CD906}">
      <dsp:nvSpPr>
        <dsp:cNvPr id="0" name=""/>
        <dsp:cNvSpPr/>
      </dsp:nvSpPr>
      <dsp:spPr>
        <a:xfrm>
          <a:off x="872351" y="506058"/>
          <a:ext cx="2014257" cy="324084"/>
        </a:xfrm>
        <a:custGeom>
          <a:avLst/>
          <a:gdLst/>
          <a:ahLst/>
          <a:cxnLst/>
          <a:rect l="0" t="0" r="0" b="0"/>
          <a:pathLst>
            <a:path>
              <a:moveTo>
                <a:pt x="2014257" y="0"/>
              </a:moveTo>
              <a:lnTo>
                <a:pt x="2014257" y="220854"/>
              </a:lnTo>
              <a:lnTo>
                <a:pt x="0" y="220854"/>
              </a:lnTo>
              <a:lnTo>
                <a:pt x="0" y="3240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B22BC5-92D1-4088-A690-12F0B01B7E89}">
      <dsp:nvSpPr>
        <dsp:cNvPr id="0" name=""/>
        <dsp:cNvSpPr/>
      </dsp:nvSpPr>
      <dsp:spPr>
        <a:xfrm>
          <a:off x="1556564" y="216720"/>
          <a:ext cx="2660088" cy="289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73BBEE-F844-404B-A4A2-989C185C55AC}">
      <dsp:nvSpPr>
        <dsp:cNvPr id="0" name=""/>
        <dsp:cNvSpPr/>
      </dsp:nvSpPr>
      <dsp:spPr>
        <a:xfrm>
          <a:off x="1680379" y="334344"/>
          <a:ext cx="2660088" cy="2893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Incentives</a:t>
          </a:r>
        </a:p>
      </dsp:txBody>
      <dsp:txXfrm>
        <a:off x="1688853" y="342818"/>
        <a:ext cx="2643140" cy="272389"/>
      </dsp:txXfrm>
    </dsp:sp>
    <dsp:sp modelId="{6719FB47-1914-4442-AC6D-6D4BFD30EC47}">
      <dsp:nvSpPr>
        <dsp:cNvPr id="0" name=""/>
        <dsp:cNvSpPr/>
      </dsp:nvSpPr>
      <dsp:spPr>
        <a:xfrm>
          <a:off x="698" y="830143"/>
          <a:ext cx="1743305" cy="86151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5E23FE-D3EF-46FE-9E54-81316E72DE7D}">
      <dsp:nvSpPr>
        <dsp:cNvPr id="0" name=""/>
        <dsp:cNvSpPr/>
      </dsp:nvSpPr>
      <dsp:spPr>
        <a:xfrm>
          <a:off x="124513" y="947767"/>
          <a:ext cx="1743305" cy="86151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t>Negative incentives</a:t>
          </a:r>
        </a:p>
        <a:p>
          <a:pPr marL="0" lvl="0" indent="0" algn="ctr" defTabSz="400050">
            <a:lnSpc>
              <a:spcPct val="90000"/>
            </a:lnSpc>
            <a:spcBef>
              <a:spcPct val="0"/>
            </a:spcBef>
            <a:spcAft>
              <a:spcPct val="35000"/>
            </a:spcAft>
            <a:buNone/>
          </a:pPr>
          <a:r>
            <a:rPr lang="en-US" sz="800" b="1" i="1" kern="1200"/>
            <a:t>Measures designed to discourage harmful activities</a:t>
          </a:r>
        </a:p>
        <a:p>
          <a:pPr marL="0" lvl="0" indent="0" algn="ctr" defTabSz="400050">
            <a:lnSpc>
              <a:spcPct val="90000"/>
            </a:lnSpc>
            <a:spcBef>
              <a:spcPct val="0"/>
            </a:spcBef>
            <a:spcAft>
              <a:spcPct val="35000"/>
            </a:spcAft>
            <a:buNone/>
          </a:pPr>
          <a:r>
            <a:rPr lang="en-US" sz="800" b="0" i="0" u="none" kern="1200"/>
            <a:t>User fees or pollution taxes, including taxes on pesticides and fertilizers</a:t>
          </a:r>
          <a:endParaRPr lang="en-US" sz="800" kern="1200"/>
        </a:p>
      </dsp:txBody>
      <dsp:txXfrm>
        <a:off x="149746" y="973000"/>
        <a:ext cx="1692839" cy="811052"/>
      </dsp:txXfrm>
    </dsp:sp>
    <dsp:sp modelId="{C51EEDFA-29B0-44F4-976E-C855CB1C6528}">
      <dsp:nvSpPr>
        <dsp:cNvPr id="0" name=""/>
        <dsp:cNvSpPr/>
      </dsp:nvSpPr>
      <dsp:spPr>
        <a:xfrm>
          <a:off x="1991633" y="830143"/>
          <a:ext cx="1773726" cy="8188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7BB307-28A3-4040-A512-1D7DB738DB14}">
      <dsp:nvSpPr>
        <dsp:cNvPr id="0" name=""/>
        <dsp:cNvSpPr/>
      </dsp:nvSpPr>
      <dsp:spPr>
        <a:xfrm>
          <a:off x="2115448" y="947767"/>
          <a:ext cx="1773726" cy="8188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t>Positive incentives </a:t>
          </a:r>
        </a:p>
        <a:p>
          <a:pPr marL="0" lvl="0" indent="0" algn="ctr" defTabSz="400050">
            <a:lnSpc>
              <a:spcPct val="90000"/>
            </a:lnSpc>
            <a:spcBef>
              <a:spcPct val="0"/>
            </a:spcBef>
            <a:spcAft>
              <a:spcPct val="35000"/>
            </a:spcAft>
            <a:buNone/>
          </a:pPr>
          <a:r>
            <a:rPr lang="en-US" sz="800" b="1" i="1" kern="1200"/>
            <a:t>Measures designed to encourage beneficial activities</a:t>
          </a:r>
        </a:p>
        <a:p>
          <a:pPr marL="0" lvl="0" indent="0" algn="ctr" defTabSz="400050">
            <a:lnSpc>
              <a:spcPct val="90000"/>
            </a:lnSpc>
            <a:spcBef>
              <a:spcPct val="0"/>
            </a:spcBef>
            <a:spcAft>
              <a:spcPct val="35000"/>
            </a:spcAft>
            <a:buNone/>
          </a:pPr>
          <a:endParaRPr lang="en-US" sz="800" b="1" i="1" kern="1200"/>
        </a:p>
        <a:p>
          <a:pPr marL="0" lvl="0" indent="0" algn="ctr" defTabSz="400050">
            <a:lnSpc>
              <a:spcPct val="90000"/>
            </a:lnSpc>
            <a:spcBef>
              <a:spcPct val="0"/>
            </a:spcBef>
            <a:spcAft>
              <a:spcPct val="35000"/>
            </a:spcAft>
            <a:buNone/>
          </a:pPr>
          <a:endParaRPr lang="en-US" sz="800" b="1" i="1" kern="1200"/>
        </a:p>
      </dsp:txBody>
      <dsp:txXfrm>
        <a:off x="2139432" y="971751"/>
        <a:ext cx="1725758" cy="770895"/>
      </dsp:txXfrm>
    </dsp:sp>
    <dsp:sp modelId="{4A8A42F4-97EF-4A7C-BD25-11DA58DFB945}">
      <dsp:nvSpPr>
        <dsp:cNvPr id="0" name=""/>
        <dsp:cNvSpPr/>
      </dsp:nvSpPr>
      <dsp:spPr>
        <a:xfrm>
          <a:off x="576040" y="1973091"/>
          <a:ext cx="2162082" cy="8929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2839A1-E267-4B23-81AE-E3C818B23BD5}">
      <dsp:nvSpPr>
        <dsp:cNvPr id="0" name=""/>
        <dsp:cNvSpPr/>
      </dsp:nvSpPr>
      <dsp:spPr>
        <a:xfrm>
          <a:off x="699855" y="2090715"/>
          <a:ext cx="2162082" cy="8929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ts val="32"/>
            </a:spcAft>
            <a:buNone/>
          </a:pPr>
          <a:r>
            <a:rPr lang="en-US" sz="900" b="1" kern="1200"/>
            <a:t>Direct incentives</a:t>
          </a:r>
        </a:p>
        <a:p>
          <a:pPr marL="0" lvl="0" indent="0" algn="ctr" defTabSz="400050">
            <a:lnSpc>
              <a:spcPct val="90000"/>
            </a:lnSpc>
            <a:spcBef>
              <a:spcPct val="0"/>
            </a:spcBef>
            <a:spcAft>
              <a:spcPct val="35000"/>
            </a:spcAft>
            <a:buNone/>
          </a:pPr>
          <a:r>
            <a:rPr lang="en-US" sz="1200" b="1" kern="1200"/>
            <a:t> </a:t>
          </a:r>
          <a:r>
            <a:rPr lang="en-US" sz="800" b="1" i="1" kern="1200"/>
            <a:t>Monetary incentives which seek to emulate market prices </a:t>
          </a:r>
        </a:p>
        <a:p>
          <a:pPr marL="0" lvl="0" indent="0" algn="ctr" defTabSz="400050">
            <a:lnSpc>
              <a:spcPct val="90000"/>
            </a:lnSpc>
            <a:spcBef>
              <a:spcPct val="0"/>
            </a:spcBef>
            <a:spcAft>
              <a:spcPct val="35000"/>
            </a:spcAft>
            <a:buNone/>
          </a:pPr>
          <a:r>
            <a:rPr lang="en-US" sz="800" kern="1200"/>
            <a:t>Agricultural land set-aside schemes, public or grant-aided land purchases or conservation easements, or payments for ecosystem services </a:t>
          </a:r>
          <a:endParaRPr lang="en-US" sz="800" b="1" i="1" kern="1200"/>
        </a:p>
      </dsp:txBody>
      <dsp:txXfrm>
        <a:off x="726009" y="2116869"/>
        <a:ext cx="2109774" cy="840655"/>
      </dsp:txXfrm>
    </dsp:sp>
    <dsp:sp modelId="{864C7550-4A02-48AA-AAAD-8C55CD752B7D}">
      <dsp:nvSpPr>
        <dsp:cNvPr id="0" name=""/>
        <dsp:cNvSpPr/>
      </dsp:nvSpPr>
      <dsp:spPr>
        <a:xfrm>
          <a:off x="2985752" y="1973091"/>
          <a:ext cx="2195200" cy="8760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A30428-769C-42EF-AB34-32A05F17755F}">
      <dsp:nvSpPr>
        <dsp:cNvPr id="0" name=""/>
        <dsp:cNvSpPr/>
      </dsp:nvSpPr>
      <dsp:spPr>
        <a:xfrm>
          <a:off x="3109567" y="2090715"/>
          <a:ext cx="2195200" cy="8760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t>Indirect incentives</a:t>
          </a:r>
        </a:p>
        <a:p>
          <a:pPr marL="0" lvl="0" indent="0" algn="ctr" defTabSz="400050">
            <a:lnSpc>
              <a:spcPct val="90000"/>
            </a:lnSpc>
            <a:spcBef>
              <a:spcPct val="0"/>
            </a:spcBef>
            <a:spcAft>
              <a:spcPct val="35000"/>
            </a:spcAft>
            <a:buNone/>
          </a:pPr>
          <a:r>
            <a:rPr lang="en-US" sz="800" b="1" i="1" kern="1200"/>
            <a:t>Non-monetary incentives that support       desired outcomes  </a:t>
          </a:r>
        </a:p>
        <a:p>
          <a:pPr marL="0" lvl="0" indent="0" algn="ctr" defTabSz="400050">
            <a:lnSpc>
              <a:spcPct val="90000"/>
            </a:lnSpc>
            <a:spcBef>
              <a:spcPct val="0"/>
            </a:spcBef>
            <a:spcAft>
              <a:spcPct val="35000"/>
            </a:spcAft>
            <a:buNone/>
          </a:pPr>
          <a:r>
            <a:rPr lang="en-US" sz="800" b="0" i="0" kern="1200"/>
            <a:t>The removal of barriers to trade; public procurement policies; education and research; certification and eco-labelling schemes </a:t>
          </a:r>
          <a:endParaRPr lang="en-US" sz="800" b="0" kern="1200"/>
        </a:p>
      </dsp:txBody>
      <dsp:txXfrm>
        <a:off x="3135225" y="2116373"/>
        <a:ext cx="2143884" cy="824707"/>
      </dsp:txXfrm>
    </dsp:sp>
    <dsp:sp modelId="{E7A55C7A-409F-4F82-86B4-C298318CC825}">
      <dsp:nvSpPr>
        <dsp:cNvPr id="0" name=""/>
        <dsp:cNvSpPr/>
      </dsp:nvSpPr>
      <dsp:spPr>
        <a:xfrm>
          <a:off x="4013688" y="816953"/>
          <a:ext cx="1759530" cy="858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2EB001-8B23-4B6C-BD2D-D8EB67C828F5}">
      <dsp:nvSpPr>
        <dsp:cNvPr id="0" name=""/>
        <dsp:cNvSpPr/>
      </dsp:nvSpPr>
      <dsp:spPr>
        <a:xfrm>
          <a:off x="4137502" y="934577"/>
          <a:ext cx="1759530" cy="858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t>Harmful incentives</a:t>
          </a:r>
        </a:p>
        <a:p>
          <a:pPr marL="0" lvl="0" indent="0" algn="ctr" defTabSz="400050">
            <a:lnSpc>
              <a:spcPct val="90000"/>
            </a:lnSpc>
            <a:spcBef>
              <a:spcPct val="0"/>
            </a:spcBef>
            <a:spcAft>
              <a:spcPct val="35000"/>
            </a:spcAft>
            <a:buNone/>
          </a:pPr>
          <a:r>
            <a:rPr lang="en-US" sz="800" b="1" i="1" kern="1200"/>
            <a:t>Harmful policies or practices in need  of removal</a:t>
          </a:r>
        </a:p>
        <a:p>
          <a:pPr marL="0" lvl="0" indent="0" algn="ctr" defTabSz="400050">
            <a:lnSpc>
              <a:spcPct val="90000"/>
            </a:lnSpc>
            <a:spcBef>
              <a:spcPct val="0"/>
            </a:spcBef>
            <a:spcAft>
              <a:spcPct val="35000"/>
            </a:spcAft>
            <a:buNone/>
          </a:pPr>
          <a:r>
            <a:rPr lang="en-US" sz="800" kern="1200"/>
            <a:t>Government subsidies or other measures that support unsustainable farming, forestry or fishery activities </a:t>
          </a:r>
        </a:p>
      </dsp:txBody>
      <dsp:txXfrm>
        <a:off x="4162638" y="959713"/>
        <a:ext cx="1709258" cy="8079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8404-632E-4F24-AAD0-31A06BBA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10850</Words>
  <Characters>61850</Characters>
  <Application>Microsoft Office Word</Application>
  <DocSecurity>0</DocSecurity>
  <Lines>515</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Benedetti</cp:lastModifiedBy>
  <cp:revision>8</cp:revision>
  <cp:lastPrinted>2019-09-13T11:56:00Z</cp:lastPrinted>
  <dcterms:created xsi:type="dcterms:W3CDTF">2019-09-13T09:35:00Z</dcterms:created>
  <dcterms:modified xsi:type="dcterms:W3CDTF">2019-09-13T11:57:00Z</dcterms:modified>
</cp:coreProperties>
</file>