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176" w:type="dxa"/>
        <w:tblLayout w:type="fixed"/>
        <w:tblLook w:val="0000" w:firstRow="0" w:lastRow="0" w:firstColumn="0" w:lastColumn="0" w:noHBand="0" w:noVBand="0"/>
      </w:tblPr>
      <w:tblGrid>
        <w:gridCol w:w="6644"/>
        <w:gridCol w:w="19"/>
        <w:gridCol w:w="3402"/>
      </w:tblGrid>
      <w:tr w:rsidR="00C932DC" w:rsidRPr="00097EB6" w14:paraId="0E7805ED" w14:textId="77777777" w:rsidTr="000976C0">
        <w:trPr>
          <w:cantSplit/>
          <w:trHeight w:val="1418"/>
        </w:trPr>
        <w:tc>
          <w:tcPr>
            <w:tcW w:w="6644" w:type="dxa"/>
            <w:tcBorders>
              <w:bottom w:val="single" w:sz="2" w:space="0" w:color="auto"/>
            </w:tcBorders>
          </w:tcPr>
          <w:p w14:paraId="03197982" w14:textId="4789247A" w:rsidR="00C932DC" w:rsidRPr="00097EB6" w:rsidRDefault="00C932DC" w:rsidP="000976C0">
            <w:bookmarkStart w:id="0" w:name="_Hlk14958132"/>
            <w:bookmarkStart w:id="1" w:name="_GoBack"/>
            <w:bookmarkEnd w:id="1"/>
            <w:r w:rsidRPr="00097EB6">
              <w:rPr>
                <w:noProof/>
                <w:lang w:eastAsia="zh-CN"/>
              </w:rPr>
              <w:drawing>
                <wp:anchor distT="0" distB="0" distL="114300" distR="114300" simplePos="0" relativeHeight="251660288" behindDoc="1" locked="0" layoutInCell="1" allowOverlap="1" wp14:anchorId="60269AEB" wp14:editId="625DE78E">
                  <wp:simplePos x="0" y="0"/>
                  <wp:positionH relativeFrom="page">
                    <wp:posOffset>1092835</wp:posOffset>
                  </wp:positionH>
                  <wp:positionV relativeFrom="page">
                    <wp:posOffset>8890</wp:posOffset>
                  </wp:positionV>
                  <wp:extent cx="659130" cy="556895"/>
                  <wp:effectExtent l="0" t="0" r="762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9130" cy="556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7EB6">
              <w:rPr>
                <w:noProof/>
                <w:lang w:eastAsia="zh-CN"/>
              </w:rPr>
              <w:drawing>
                <wp:anchor distT="0" distB="0" distL="114300" distR="114300" simplePos="0" relativeHeight="251659264" behindDoc="1" locked="0" layoutInCell="1" allowOverlap="1" wp14:anchorId="44121B0A" wp14:editId="2BF72AD8">
                  <wp:simplePos x="0" y="0"/>
                  <wp:positionH relativeFrom="column">
                    <wp:posOffset>180975</wp:posOffset>
                  </wp:positionH>
                  <wp:positionV relativeFrom="paragraph">
                    <wp:posOffset>21590</wp:posOffset>
                  </wp:positionV>
                  <wp:extent cx="673735" cy="574040"/>
                  <wp:effectExtent l="0" t="0" r="0" b="0"/>
                  <wp:wrapTight wrapText="bothSides">
                    <wp:wrapPolygon edited="0">
                      <wp:start x="6107" y="0"/>
                      <wp:lineTo x="0" y="717"/>
                      <wp:lineTo x="0" y="20071"/>
                      <wp:lineTo x="6718" y="20788"/>
                      <wp:lineTo x="14047" y="20788"/>
                      <wp:lineTo x="20765" y="20071"/>
                      <wp:lineTo x="20765" y="717"/>
                      <wp:lineTo x="14658" y="0"/>
                      <wp:lineTo x="6107" y="0"/>
                    </wp:wrapPolygon>
                  </wp:wrapTight>
                  <wp:docPr id="4" name="Picture 4" descr="C:\Users\montills\Documents\Publications\Logos\other logos (Thad - Oct 07)\UN\UN-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ntills\Documents\Publications\Logos\other logos (Thad - Oct 07)\UN\UN-Logo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3735" cy="5740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21" w:type="dxa"/>
            <w:gridSpan w:val="2"/>
            <w:tcBorders>
              <w:bottom w:val="single" w:sz="2" w:space="0" w:color="auto"/>
            </w:tcBorders>
          </w:tcPr>
          <w:p w14:paraId="03571C23" w14:textId="77777777" w:rsidR="00C932DC" w:rsidRPr="00097EB6" w:rsidRDefault="00C932DC" w:rsidP="000976C0">
            <w:pPr>
              <w:pStyle w:val="Heading2"/>
              <w:rPr>
                <w:rFonts w:ascii="Times New Roman" w:hAnsi="Times New Roman" w:cs="Times New Roman"/>
                <w:sz w:val="20"/>
                <w:szCs w:val="20"/>
              </w:rPr>
            </w:pPr>
          </w:p>
          <w:p w14:paraId="3FDF2F21" w14:textId="77777777" w:rsidR="00C932DC" w:rsidRPr="00097EB6" w:rsidRDefault="00C932DC" w:rsidP="000976C0">
            <w:pPr>
              <w:rPr>
                <w:rFonts w:ascii="Times New Roman" w:hAnsi="Times New Roman"/>
                <w:sz w:val="20"/>
                <w:szCs w:val="20"/>
              </w:rPr>
            </w:pPr>
          </w:p>
          <w:p w14:paraId="701FC93C" w14:textId="176F3797" w:rsidR="00C932DC" w:rsidRPr="00097EB6" w:rsidRDefault="00C932DC" w:rsidP="000976C0">
            <w:pPr>
              <w:rPr>
                <w:rFonts w:ascii="Times New Roman" w:hAnsi="Times New Roman"/>
                <w:sz w:val="20"/>
                <w:szCs w:val="20"/>
              </w:rPr>
            </w:pPr>
            <w:r w:rsidRPr="00097EB6">
              <w:rPr>
                <w:rFonts w:ascii="Times New Roman" w:hAnsi="Times New Roman"/>
                <w:b/>
                <w:sz w:val="20"/>
                <w:szCs w:val="20"/>
              </w:rPr>
              <w:t>SAICM</w:t>
            </w:r>
            <w:r w:rsidRPr="00097EB6">
              <w:rPr>
                <w:rFonts w:ascii="Times New Roman" w:hAnsi="Times New Roman"/>
                <w:sz w:val="20"/>
                <w:szCs w:val="20"/>
              </w:rPr>
              <w:t>/IP.3/</w:t>
            </w:r>
            <w:r w:rsidR="00CF2C52" w:rsidRPr="00097EB6">
              <w:rPr>
                <w:rFonts w:ascii="Times New Roman" w:hAnsi="Times New Roman"/>
                <w:sz w:val="20"/>
                <w:szCs w:val="20"/>
              </w:rPr>
              <w:t>6</w:t>
            </w:r>
          </w:p>
        </w:tc>
      </w:tr>
      <w:tr w:rsidR="00C932DC" w:rsidRPr="00097EB6" w14:paraId="08B89DC3" w14:textId="77777777" w:rsidTr="000976C0">
        <w:trPr>
          <w:cantSplit/>
          <w:trHeight w:val="2028"/>
        </w:trPr>
        <w:tc>
          <w:tcPr>
            <w:tcW w:w="6663" w:type="dxa"/>
            <w:gridSpan w:val="2"/>
            <w:tcBorders>
              <w:top w:val="single" w:sz="2" w:space="0" w:color="auto"/>
              <w:bottom w:val="single" w:sz="24" w:space="0" w:color="auto"/>
            </w:tcBorders>
          </w:tcPr>
          <w:p w14:paraId="2D8803C8" w14:textId="77777777" w:rsidR="00C932DC" w:rsidRPr="00097EB6" w:rsidRDefault="00C932DC" w:rsidP="000976C0"/>
          <w:p w14:paraId="5605C95A" w14:textId="77777777" w:rsidR="00C932DC" w:rsidRPr="00097EB6" w:rsidRDefault="00C932DC" w:rsidP="000976C0"/>
          <w:p w14:paraId="370A564A" w14:textId="670E2B96" w:rsidR="00C932DC" w:rsidRPr="00097EB6" w:rsidRDefault="00C932DC" w:rsidP="000976C0">
            <w:r w:rsidRPr="00097EB6">
              <w:rPr>
                <w:noProof/>
              </w:rPr>
              <w:drawing>
                <wp:inline distT="0" distB="0" distL="0" distR="0" wp14:anchorId="05A4172B" wp14:editId="46849327">
                  <wp:extent cx="2486025" cy="400050"/>
                  <wp:effectExtent l="0" t="0" r="9525" b="0"/>
                  <wp:docPr id="3" name="Picture 3" descr="#log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t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6025" cy="400050"/>
                          </a:xfrm>
                          <a:prstGeom prst="rect">
                            <a:avLst/>
                          </a:prstGeom>
                          <a:noFill/>
                          <a:ln>
                            <a:noFill/>
                          </a:ln>
                        </pic:spPr>
                      </pic:pic>
                    </a:graphicData>
                  </a:graphic>
                </wp:inline>
              </w:drawing>
            </w:r>
          </w:p>
        </w:tc>
        <w:tc>
          <w:tcPr>
            <w:tcW w:w="3402" w:type="dxa"/>
            <w:tcBorders>
              <w:top w:val="single" w:sz="2" w:space="0" w:color="auto"/>
              <w:bottom w:val="single" w:sz="24" w:space="0" w:color="auto"/>
            </w:tcBorders>
          </w:tcPr>
          <w:p w14:paraId="229D317F" w14:textId="77777777" w:rsidR="00C932DC" w:rsidRPr="00097EB6" w:rsidRDefault="00C932DC" w:rsidP="000976C0">
            <w:pPr>
              <w:rPr>
                <w:rFonts w:ascii="Times New Roman" w:hAnsi="Times New Roman"/>
                <w:sz w:val="20"/>
              </w:rPr>
            </w:pPr>
          </w:p>
          <w:p w14:paraId="03809C19" w14:textId="77777777" w:rsidR="00C932DC" w:rsidRPr="00097EB6" w:rsidRDefault="00C932DC" w:rsidP="000976C0">
            <w:pPr>
              <w:ind w:left="33"/>
              <w:rPr>
                <w:rFonts w:ascii="Times New Roman" w:hAnsi="Times New Roman"/>
                <w:sz w:val="20"/>
              </w:rPr>
            </w:pPr>
            <w:r w:rsidRPr="00097EB6">
              <w:rPr>
                <w:rFonts w:ascii="Times New Roman" w:hAnsi="Times New Roman"/>
                <w:sz w:val="20"/>
              </w:rPr>
              <w:t>Distr.: General</w:t>
            </w:r>
          </w:p>
          <w:p w14:paraId="77F11F14" w14:textId="5583ECF0" w:rsidR="00C932DC" w:rsidRPr="00097EB6" w:rsidRDefault="00421FA4" w:rsidP="000976C0">
            <w:pPr>
              <w:ind w:left="33"/>
              <w:rPr>
                <w:rFonts w:ascii="Times New Roman" w:hAnsi="Times New Roman"/>
                <w:sz w:val="20"/>
              </w:rPr>
            </w:pPr>
            <w:r w:rsidRPr="00097EB6">
              <w:rPr>
                <w:rFonts w:ascii="Times New Roman" w:hAnsi="Times New Roman"/>
                <w:sz w:val="20"/>
              </w:rPr>
              <w:t>2</w:t>
            </w:r>
            <w:r w:rsidR="00C932DC" w:rsidRPr="00097EB6">
              <w:rPr>
                <w:rFonts w:ascii="Times New Roman" w:hAnsi="Times New Roman"/>
                <w:sz w:val="20"/>
              </w:rPr>
              <w:t xml:space="preserve"> </w:t>
            </w:r>
            <w:r w:rsidRPr="00097EB6">
              <w:rPr>
                <w:rFonts w:ascii="Times New Roman" w:hAnsi="Times New Roman"/>
                <w:sz w:val="20"/>
              </w:rPr>
              <w:t>September</w:t>
            </w:r>
            <w:r w:rsidR="00C932DC" w:rsidRPr="00097EB6">
              <w:rPr>
                <w:rFonts w:ascii="Times New Roman" w:hAnsi="Times New Roman"/>
                <w:sz w:val="20"/>
              </w:rPr>
              <w:t xml:space="preserve"> 2019</w:t>
            </w:r>
          </w:p>
          <w:p w14:paraId="784244B6" w14:textId="77777777" w:rsidR="00C932DC" w:rsidRPr="00097EB6" w:rsidRDefault="00C932DC" w:rsidP="000976C0">
            <w:pPr>
              <w:ind w:left="317"/>
              <w:rPr>
                <w:rFonts w:ascii="Times New Roman" w:hAnsi="Times New Roman"/>
                <w:sz w:val="20"/>
              </w:rPr>
            </w:pPr>
          </w:p>
          <w:p w14:paraId="21530377" w14:textId="77777777" w:rsidR="00C932DC" w:rsidRPr="00097EB6" w:rsidRDefault="00C932DC" w:rsidP="000976C0">
            <w:pPr>
              <w:rPr>
                <w:rFonts w:ascii="Times New Roman" w:hAnsi="Times New Roman"/>
                <w:sz w:val="20"/>
              </w:rPr>
            </w:pPr>
            <w:r w:rsidRPr="00097EB6">
              <w:rPr>
                <w:rFonts w:ascii="Times New Roman" w:hAnsi="Times New Roman"/>
                <w:sz w:val="20"/>
              </w:rPr>
              <w:t xml:space="preserve">English only </w:t>
            </w:r>
          </w:p>
        </w:tc>
      </w:tr>
    </w:tbl>
    <w:p w14:paraId="2D88F7CA" w14:textId="06F2F0EA" w:rsidR="00C932DC" w:rsidRPr="00097EB6" w:rsidRDefault="00C932DC" w:rsidP="00C932DC">
      <w:pPr>
        <w:rPr>
          <w:rFonts w:ascii="Times New Roman" w:hAnsi="Times New Roman"/>
          <w:b/>
          <w:sz w:val="20"/>
        </w:rPr>
      </w:pPr>
    </w:p>
    <w:p w14:paraId="074939B9" w14:textId="77777777" w:rsidR="00C932DC" w:rsidRPr="00097EB6" w:rsidRDefault="00C932DC" w:rsidP="00C932DC">
      <w:pPr>
        <w:spacing w:after="60"/>
        <w:rPr>
          <w:rFonts w:ascii="Times New Roman" w:hAnsi="Times New Roman"/>
          <w:b/>
          <w:bCs/>
        </w:rPr>
      </w:pPr>
      <w:r w:rsidRPr="00097EB6">
        <w:rPr>
          <w:rFonts w:ascii="Times New Roman" w:hAnsi="Times New Roman"/>
          <w:b/>
          <w:bCs/>
        </w:rPr>
        <w:t xml:space="preserve">Third meeting of the intersessional process considering the Strategic Approach </w:t>
      </w:r>
    </w:p>
    <w:p w14:paraId="1F382355" w14:textId="77777777" w:rsidR="00C932DC" w:rsidRPr="00097EB6" w:rsidRDefault="00C932DC" w:rsidP="00C932DC">
      <w:pPr>
        <w:spacing w:after="60"/>
        <w:rPr>
          <w:rFonts w:ascii="Times New Roman" w:hAnsi="Times New Roman"/>
          <w:b/>
          <w:bCs/>
        </w:rPr>
      </w:pPr>
      <w:r w:rsidRPr="00097EB6">
        <w:rPr>
          <w:rFonts w:ascii="Times New Roman" w:hAnsi="Times New Roman"/>
          <w:b/>
          <w:bCs/>
        </w:rPr>
        <w:t>and sound management of chemicals and waste beyond 2020</w:t>
      </w:r>
    </w:p>
    <w:p w14:paraId="7B912643" w14:textId="77777777" w:rsidR="00097EB6" w:rsidRPr="00097EB6" w:rsidRDefault="00097EB6" w:rsidP="00097EB6">
      <w:pPr>
        <w:spacing w:after="60"/>
        <w:rPr>
          <w:rFonts w:ascii="Times New Roman" w:hAnsi="Times New Roman"/>
        </w:rPr>
      </w:pPr>
      <w:r w:rsidRPr="00097EB6">
        <w:rPr>
          <w:rFonts w:ascii="Times New Roman" w:hAnsi="Times New Roman"/>
        </w:rPr>
        <w:t>Bangkok, Thailand, 1-4 October 2019</w:t>
      </w:r>
    </w:p>
    <w:p w14:paraId="5EF78B9C" w14:textId="0B434410" w:rsidR="00E80667" w:rsidRPr="00097EB6" w:rsidRDefault="00E80667" w:rsidP="00CF5C18">
      <w:pPr>
        <w:spacing w:after="60"/>
        <w:rPr>
          <w:rFonts w:ascii="Times New Roman" w:hAnsi="Times New Roman"/>
        </w:rPr>
      </w:pPr>
      <w:r w:rsidRPr="00097EB6">
        <w:rPr>
          <w:rFonts w:ascii="Times New Roman" w:hAnsi="Times New Roman"/>
        </w:rPr>
        <w:t xml:space="preserve">Item </w:t>
      </w:r>
      <w:r w:rsidR="00A37F0E" w:rsidRPr="00097EB6">
        <w:rPr>
          <w:rFonts w:ascii="Times New Roman" w:hAnsi="Times New Roman"/>
        </w:rPr>
        <w:t>3(b)</w:t>
      </w:r>
      <w:r w:rsidR="00D96FC9" w:rsidRPr="00097EB6">
        <w:rPr>
          <w:rFonts w:ascii="Times New Roman" w:hAnsi="Times New Roman"/>
        </w:rPr>
        <w:t>i</w:t>
      </w:r>
      <w:r w:rsidR="00CF2C52" w:rsidRPr="00097EB6">
        <w:rPr>
          <w:rFonts w:ascii="Times New Roman" w:hAnsi="Times New Roman"/>
        </w:rPr>
        <w:t xml:space="preserve"> </w:t>
      </w:r>
      <w:r w:rsidRPr="00097EB6">
        <w:rPr>
          <w:rFonts w:ascii="Times New Roman" w:hAnsi="Times New Roman"/>
        </w:rPr>
        <w:t>of the provisional agenda</w:t>
      </w:r>
      <w:r w:rsidR="00CF5C18" w:rsidRPr="00097EB6">
        <w:rPr>
          <w:rStyle w:val="FootnoteReference"/>
          <w:rFonts w:ascii="Times New Roman" w:hAnsi="Times New Roman"/>
        </w:rPr>
        <w:footnoteReference w:id="1"/>
      </w:r>
      <w:r w:rsidR="002D4C0B">
        <w:rPr>
          <w:rFonts w:ascii="Times New Roman" w:hAnsi="Times New Roman"/>
        </w:rPr>
        <w:br/>
      </w:r>
      <w:r w:rsidR="002D4C0B" w:rsidRPr="007303D8">
        <w:rPr>
          <w:rFonts w:ascii="Times New Roman" w:hAnsi="Times New Roman"/>
          <w:b/>
          <w:bCs/>
        </w:rPr>
        <w:t>Reflections on and outcomes of the OEWG3: Co-chairs of the intersessional process to present the papers drafted at the request of the OEWG3</w:t>
      </w:r>
    </w:p>
    <w:bookmarkEnd w:id="0"/>
    <w:p w14:paraId="0B8C1A1D" w14:textId="77777777" w:rsidR="004F7F90" w:rsidRDefault="004F7F90" w:rsidP="009D5991">
      <w:pPr>
        <w:pStyle w:val="BBTitle"/>
        <w:rPr>
          <w:rFonts w:eastAsia="Calibri"/>
          <w:lang w:val="en-US"/>
        </w:rPr>
      </w:pPr>
    </w:p>
    <w:p w14:paraId="585D003D" w14:textId="2A7CA9D5" w:rsidR="00C932DC" w:rsidRPr="00097EB6" w:rsidRDefault="00004F49" w:rsidP="009D5991">
      <w:pPr>
        <w:pStyle w:val="BBTitle"/>
        <w:rPr>
          <w:rFonts w:eastAsia="Calibri"/>
        </w:rPr>
      </w:pPr>
      <w:r w:rsidRPr="00097EB6">
        <w:rPr>
          <w:rFonts w:eastAsia="Calibri"/>
        </w:rPr>
        <w:t>Principles and approaches</w:t>
      </w:r>
      <w:r w:rsidR="00B74C96" w:rsidRPr="00097EB6">
        <w:rPr>
          <w:rFonts w:eastAsia="Calibri"/>
        </w:rPr>
        <w:t>, prepared by the co-chairs of the intersessional process</w:t>
      </w:r>
    </w:p>
    <w:p w14:paraId="7D549220" w14:textId="6D6EE2D6" w:rsidR="00BC5218" w:rsidRPr="00097EB6" w:rsidRDefault="009D5991" w:rsidP="009D5991">
      <w:pPr>
        <w:pStyle w:val="CH2"/>
        <w:ind w:left="2494"/>
        <w:rPr>
          <w:rFonts w:eastAsia="Calibri"/>
        </w:rPr>
      </w:pPr>
      <w:r w:rsidRPr="00097EB6">
        <w:rPr>
          <w:rFonts w:eastAsia="Calibri"/>
        </w:rPr>
        <w:t>Note by the secretariat</w:t>
      </w:r>
    </w:p>
    <w:p w14:paraId="74AB2414" w14:textId="652DD34C" w:rsidR="00B435B4" w:rsidRPr="00097EB6" w:rsidRDefault="00B435B4" w:rsidP="00141EE7">
      <w:pPr>
        <w:pStyle w:val="ListParagraph"/>
        <w:numPr>
          <w:ilvl w:val="0"/>
          <w:numId w:val="2"/>
        </w:numPr>
        <w:tabs>
          <w:tab w:val="left" w:pos="720"/>
        </w:tabs>
        <w:spacing w:beforeLines="120" w:before="288" w:afterLines="120" w:after="288"/>
        <w:rPr>
          <w:rFonts w:asciiTheme="majorBidi" w:hAnsiTheme="majorBidi" w:cstheme="majorBidi"/>
          <w:sz w:val="22"/>
          <w:szCs w:val="22"/>
        </w:rPr>
      </w:pPr>
      <w:r w:rsidRPr="00097EB6">
        <w:rPr>
          <w:rFonts w:asciiTheme="majorBidi" w:hAnsiTheme="majorBidi" w:cstheme="majorBidi"/>
          <w:sz w:val="22"/>
          <w:szCs w:val="22"/>
        </w:rPr>
        <w:t xml:space="preserve">The secretariat has the </w:t>
      </w:r>
      <w:proofErr w:type="spellStart"/>
      <w:r w:rsidRPr="00097EB6">
        <w:rPr>
          <w:rFonts w:asciiTheme="majorBidi" w:hAnsiTheme="majorBidi" w:cstheme="majorBidi"/>
          <w:sz w:val="22"/>
          <w:szCs w:val="22"/>
        </w:rPr>
        <w:t>honour</w:t>
      </w:r>
      <w:proofErr w:type="spellEnd"/>
      <w:r w:rsidRPr="00097EB6">
        <w:rPr>
          <w:rFonts w:asciiTheme="majorBidi" w:hAnsiTheme="majorBidi" w:cstheme="majorBidi"/>
          <w:sz w:val="22"/>
          <w:szCs w:val="22"/>
        </w:rPr>
        <w:t xml:space="preserve"> to submit to the intersessional process a paper on addressing issues of concern developed by the co-chairs of the intersessional process on the Strategic Approach and the sound management of chemicals and waste beyond 2020 (see annex).  The co-chairs were requested to develop the paper by the third meeting of the Strategic Approach Open-ended Working Group held from 2-4 April 2019 in Montevideo, Uruguay.  </w:t>
      </w:r>
      <w:r w:rsidRPr="00097EB6">
        <w:rPr>
          <w:rFonts w:asciiTheme="majorBidi" w:hAnsiTheme="majorBidi" w:cstheme="majorBidi"/>
          <w:sz w:val="22"/>
          <w:szCs w:val="22"/>
        </w:rPr>
        <w:br/>
      </w:r>
    </w:p>
    <w:p w14:paraId="6C72A6DE" w14:textId="77777777" w:rsidR="00004F49" w:rsidRPr="00097EB6" w:rsidRDefault="00004F49" w:rsidP="00004F49">
      <w:pPr>
        <w:pStyle w:val="ListParagraph"/>
        <w:numPr>
          <w:ilvl w:val="0"/>
          <w:numId w:val="2"/>
        </w:numPr>
        <w:rPr>
          <w:rFonts w:asciiTheme="majorBidi" w:hAnsiTheme="majorBidi" w:cstheme="majorBidi"/>
          <w:sz w:val="22"/>
          <w:szCs w:val="22"/>
        </w:rPr>
      </w:pPr>
      <w:r w:rsidRPr="00097EB6">
        <w:rPr>
          <w:rFonts w:asciiTheme="majorBidi" w:hAnsiTheme="majorBidi" w:cstheme="majorBidi"/>
          <w:sz w:val="22"/>
          <w:szCs w:val="22"/>
        </w:rPr>
        <w:t xml:space="preserve">Participants may wish to review the proposed text and agree to them as an outcome of the fourth meeting of the intersessional process for consideration in the package of recommendations that are forwarded to the fifth session of International Conference. </w:t>
      </w:r>
    </w:p>
    <w:p w14:paraId="210C0523" w14:textId="58493E1C" w:rsidR="00B435B4" w:rsidRPr="00097EB6" w:rsidRDefault="00B435B4" w:rsidP="00004F49">
      <w:pPr>
        <w:pStyle w:val="ListParagraph"/>
        <w:tabs>
          <w:tab w:val="left" w:pos="720"/>
        </w:tabs>
        <w:spacing w:beforeLines="120" w:before="288" w:afterLines="120" w:after="288"/>
        <w:ind w:left="1607"/>
        <w:rPr>
          <w:rFonts w:asciiTheme="majorBidi" w:hAnsiTheme="majorBidi" w:cstheme="majorBidi"/>
          <w:sz w:val="22"/>
          <w:szCs w:val="22"/>
        </w:rPr>
      </w:pPr>
    </w:p>
    <w:p w14:paraId="158864AD" w14:textId="386F45AF" w:rsidR="00103917" w:rsidRPr="00097EB6" w:rsidRDefault="00103917" w:rsidP="00A37F0E">
      <w:pPr>
        <w:pStyle w:val="ListParagraph"/>
        <w:tabs>
          <w:tab w:val="left" w:pos="720"/>
        </w:tabs>
        <w:spacing w:beforeLines="120" w:before="288" w:afterLines="120" w:after="288"/>
        <w:ind w:left="1607"/>
        <w:rPr>
          <w:rFonts w:asciiTheme="majorBidi" w:hAnsiTheme="majorBidi" w:cstheme="majorBidi"/>
          <w:sz w:val="22"/>
          <w:szCs w:val="22"/>
        </w:rPr>
      </w:pPr>
    </w:p>
    <w:p w14:paraId="07434F0B" w14:textId="3C3C0175" w:rsidR="009D5991" w:rsidRPr="00097EB6" w:rsidRDefault="009D5991" w:rsidP="00542B3D">
      <w:pPr>
        <w:tabs>
          <w:tab w:val="left" w:pos="720"/>
        </w:tabs>
        <w:ind w:left="1247"/>
        <w:rPr>
          <w:rFonts w:cstheme="minorHAnsi"/>
          <w:b/>
          <w:bCs/>
          <w:noProof/>
          <w:sz w:val="22"/>
          <w:szCs w:val="22"/>
        </w:rPr>
      </w:pPr>
    </w:p>
    <w:p w14:paraId="6510C2A3" w14:textId="4F07DEF3" w:rsidR="009D5991" w:rsidRPr="00097EB6" w:rsidRDefault="009D5991" w:rsidP="00BC5218">
      <w:pPr>
        <w:tabs>
          <w:tab w:val="left" w:pos="720"/>
        </w:tabs>
        <w:rPr>
          <w:rFonts w:cstheme="minorHAnsi"/>
          <w:b/>
          <w:bCs/>
          <w:noProof/>
          <w:sz w:val="22"/>
          <w:szCs w:val="22"/>
        </w:rPr>
      </w:pPr>
    </w:p>
    <w:p w14:paraId="7C00F427" w14:textId="4BA3813D" w:rsidR="009D5991" w:rsidRPr="00097EB6" w:rsidRDefault="009D5991" w:rsidP="00BC5218">
      <w:pPr>
        <w:tabs>
          <w:tab w:val="left" w:pos="720"/>
        </w:tabs>
        <w:rPr>
          <w:rFonts w:cstheme="minorHAnsi"/>
          <w:b/>
          <w:bCs/>
          <w:noProof/>
          <w:sz w:val="22"/>
          <w:szCs w:val="22"/>
        </w:rPr>
      </w:pPr>
    </w:p>
    <w:p w14:paraId="5AA1F1C7" w14:textId="11C5395C" w:rsidR="009D5991" w:rsidRPr="00097EB6" w:rsidRDefault="009D5991" w:rsidP="00BC5218">
      <w:pPr>
        <w:tabs>
          <w:tab w:val="left" w:pos="720"/>
        </w:tabs>
        <w:rPr>
          <w:rFonts w:cstheme="minorHAnsi"/>
          <w:b/>
          <w:bCs/>
          <w:noProof/>
          <w:sz w:val="22"/>
          <w:szCs w:val="22"/>
        </w:rPr>
      </w:pPr>
    </w:p>
    <w:p w14:paraId="56363EA2" w14:textId="17CCD429" w:rsidR="00A37F0E" w:rsidRPr="00097EB6" w:rsidRDefault="00A37F0E">
      <w:pPr>
        <w:rPr>
          <w:rFonts w:cstheme="minorHAnsi"/>
          <w:b/>
          <w:bCs/>
          <w:noProof/>
          <w:sz w:val="22"/>
          <w:szCs w:val="22"/>
        </w:rPr>
      </w:pPr>
    </w:p>
    <w:p w14:paraId="1E48179A" w14:textId="77777777" w:rsidR="009D5991" w:rsidRPr="00097EB6" w:rsidRDefault="009D5991" w:rsidP="00BC5218">
      <w:pPr>
        <w:tabs>
          <w:tab w:val="left" w:pos="720"/>
        </w:tabs>
        <w:rPr>
          <w:rFonts w:cstheme="minorHAnsi"/>
          <w:b/>
          <w:bCs/>
          <w:noProof/>
          <w:sz w:val="22"/>
          <w:szCs w:val="22"/>
        </w:rPr>
      </w:pPr>
    </w:p>
    <w:p w14:paraId="74AF660B" w14:textId="4B2B1F00" w:rsidR="0091169D" w:rsidRPr="00097EB6" w:rsidRDefault="007F6466" w:rsidP="0091169D">
      <w:pPr>
        <w:tabs>
          <w:tab w:val="left" w:pos="720"/>
        </w:tabs>
        <w:spacing w:beforeLines="120" w:before="288" w:afterLines="120" w:after="288"/>
        <w:rPr>
          <w:rFonts w:asciiTheme="majorBidi" w:hAnsiTheme="majorBidi" w:cstheme="majorBidi"/>
          <w:b/>
          <w:sz w:val="28"/>
          <w:szCs w:val="28"/>
        </w:rPr>
      </w:pPr>
      <w:r w:rsidRPr="00097EB6">
        <w:rPr>
          <w:rFonts w:asciiTheme="majorBidi" w:hAnsiTheme="majorBidi" w:cstheme="majorBidi"/>
          <w:b/>
          <w:sz w:val="28"/>
          <w:szCs w:val="28"/>
        </w:rPr>
        <w:lastRenderedPageBreak/>
        <w:t>Annex</w:t>
      </w:r>
    </w:p>
    <w:p w14:paraId="50511532" w14:textId="74A25C5F" w:rsidR="0091169D" w:rsidRPr="00097EB6" w:rsidRDefault="006A518A" w:rsidP="0091169D">
      <w:pPr>
        <w:pStyle w:val="BBTitle"/>
        <w:ind w:left="0"/>
        <w:rPr>
          <w:rFonts w:eastAsia="Calibri"/>
        </w:rPr>
      </w:pPr>
      <w:r w:rsidRPr="00097EB6">
        <w:rPr>
          <w:rFonts w:eastAsia="Calibri"/>
        </w:rPr>
        <w:t>Principles and approaches</w:t>
      </w:r>
      <w:r w:rsidR="00B74C96" w:rsidRPr="00097EB6">
        <w:rPr>
          <w:rFonts w:eastAsia="Calibri"/>
        </w:rPr>
        <w:t>, p</w:t>
      </w:r>
      <w:r w:rsidR="00A37F0E" w:rsidRPr="00097EB6">
        <w:rPr>
          <w:rFonts w:eastAsia="Calibri"/>
        </w:rPr>
        <w:t>repared by the co-chairs of the intersessional process</w:t>
      </w:r>
    </w:p>
    <w:p w14:paraId="6900E520" w14:textId="6262F75B" w:rsidR="00A37F0E" w:rsidRPr="00097EB6" w:rsidRDefault="00A37F0E" w:rsidP="0091169D">
      <w:pPr>
        <w:pStyle w:val="BBTitle"/>
        <w:ind w:left="0"/>
        <w:rPr>
          <w:rFonts w:eastAsia="Calibri"/>
        </w:rPr>
      </w:pPr>
    </w:p>
    <w:p w14:paraId="667AE86C" w14:textId="131C4CD4" w:rsidR="00A37F0E" w:rsidRPr="00097EB6" w:rsidRDefault="00A37F0E" w:rsidP="00A37F0E">
      <w:pPr>
        <w:spacing w:beforeLines="120" w:before="288" w:afterLines="120" w:after="288"/>
        <w:rPr>
          <w:rFonts w:asciiTheme="majorBidi" w:hAnsiTheme="majorBidi" w:cstheme="majorBidi"/>
          <w:b/>
          <w:sz w:val="22"/>
          <w:szCs w:val="22"/>
          <w:u w:val="single"/>
          <w:lang w:val="en-GB"/>
        </w:rPr>
      </w:pPr>
      <w:r w:rsidRPr="00097EB6">
        <w:rPr>
          <w:rFonts w:asciiTheme="majorBidi" w:hAnsiTheme="majorBidi" w:cstheme="majorBidi"/>
          <w:b/>
          <w:sz w:val="22"/>
          <w:szCs w:val="22"/>
          <w:u w:val="single"/>
          <w:lang w:val="en-GB"/>
        </w:rPr>
        <w:t xml:space="preserve">Introduction: </w:t>
      </w:r>
    </w:p>
    <w:p w14:paraId="0E882C67" w14:textId="77777777" w:rsidR="006A518A" w:rsidRPr="00097EB6" w:rsidRDefault="006A518A" w:rsidP="006A518A">
      <w:pPr>
        <w:spacing w:beforeLines="120" w:before="288" w:afterLines="120" w:after="288"/>
        <w:rPr>
          <w:rFonts w:asciiTheme="majorBidi" w:hAnsiTheme="majorBidi" w:cstheme="majorBidi"/>
          <w:bCs/>
          <w:sz w:val="22"/>
          <w:szCs w:val="22"/>
          <w:lang w:val="en-GB"/>
        </w:rPr>
      </w:pPr>
      <w:r w:rsidRPr="00097EB6">
        <w:rPr>
          <w:rFonts w:asciiTheme="majorBidi" w:hAnsiTheme="majorBidi" w:cstheme="majorBidi"/>
          <w:bCs/>
          <w:sz w:val="22"/>
          <w:szCs w:val="22"/>
          <w:lang w:val="en-GB"/>
        </w:rPr>
        <w:t>The third meeting of the Strategic Approach Open-ended Working Group requested that the Co-Chairs, with support of the secretariat, and in consultation with the Bureau, undertake further work on principles and approaches.</w:t>
      </w:r>
    </w:p>
    <w:p w14:paraId="191C3261" w14:textId="77777777" w:rsidR="006A518A" w:rsidRPr="00097EB6" w:rsidRDefault="006A518A" w:rsidP="006A518A">
      <w:pPr>
        <w:spacing w:beforeLines="120" w:before="288" w:afterLines="120" w:after="288"/>
        <w:rPr>
          <w:rFonts w:asciiTheme="majorBidi" w:hAnsiTheme="majorBidi" w:cstheme="majorBidi"/>
          <w:bCs/>
          <w:sz w:val="22"/>
          <w:szCs w:val="22"/>
          <w:lang w:val="en-GB"/>
        </w:rPr>
      </w:pPr>
      <w:r w:rsidRPr="00097EB6">
        <w:rPr>
          <w:rFonts w:asciiTheme="majorBidi" w:hAnsiTheme="majorBidi" w:cstheme="majorBidi"/>
          <w:bCs/>
          <w:sz w:val="22"/>
          <w:szCs w:val="22"/>
          <w:lang w:val="en-GB"/>
        </w:rPr>
        <w:t xml:space="preserve">Section I of this paper sets out the text that was set out in the paper by the Co-Chairs of the intersessional process on the Strategic Approach to International Chemicals Management and the sound management of chemicals and waste beyond 2020 (SAICM/OEWG.3/4). The text was generated from the SAICM Overarching Policy Strategy and includes other proposals by the co-chairs following consultations with stakeholders. </w:t>
      </w:r>
    </w:p>
    <w:p w14:paraId="69C5673C" w14:textId="77777777" w:rsidR="006A518A" w:rsidRPr="00097EB6" w:rsidRDefault="006A518A" w:rsidP="006A518A">
      <w:pPr>
        <w:spacing w:beforeLines="120" w:before="288" w:afterLines="120" w:after="288"/>
        <w:rPr>
          <w:rFonts w:asciiTheme="majorBidi" w:hAnsiTheme="majorBidi" w:cstheme="majorBidi"/>
          <w:bCs/>
          <w:sz w:val="22"/>
          <w:szCs w:val="22"/>
          <w:lang w:val="en-GB"/>
        </w:rPr>
      </w:pPr>
      <w:r w:rsidRPr="00097EB6">
        <w:rPr>
          <w:rFonts w:asciiTheme="majorBidi" w:hAnsiTheme="majorBidi" w:cstheme="majorBidi"/>
          <w:bCs/>
          <w:sz w:val="22"/>
          <w:szCs w:val="22"/>
          <w:lang w:val="en-GB"/>
        </w:rPr>
        <w:t xml:space="preserve">Section II compiles input received from stakeholders following the call for input after the third meeting of the Open-ended Working Group.  </w:t>
      </w:r>
    </w:p>
    <w:p w14:paraId="3FBC12EB" w14:textId="55166B3F" w:rsidR="006B35E8" w:rsidRPr="00097EB6" w:rsidRDefault="006A518A" w:rsidP="006A518A">
      <w:pPr>
        <w:spacing w:beforeLines="120" w:before="288" w:afterLines="120" w:after="288"/>
        <w:rPr>
          <w:rFonts w:asciiTheme="majorBidi" w:hAnsiTheme="majorBidi" w:cstheme="majorBidi"/>
          <w:bCs/>
          <w:sz w:val="22"/>
          <w:szCs w:val="22"/>
          <w:lang w:val="en-GB"/>
        </w:rPr>
      </w:pPr>
      <w:r w:rsidRPr="00097EB6">
        <w:rPr>
          <w:rFonts w:asciiTheme="majorBidi" w:hAnsiTheme="majorBidi" w:cstheme="majorBidi"/>
          <w:bCs/>
          <w:sz w:val="22"/>
          <w:szCs w:val="22"/>
          <w:lang w:val="en-GB"/>
        </w:rPr>
        <w:t xml:space="preserve">In preparing this paper, the co-chairs have </w:t>
      </w:r>
      <w:proofErr w:type="gramStart"/>
      <w:r w:rsidRPr="00097EB6">
        <w:rPr>
          <w:rFonts w:asciiTheme="majorBidi" w:hAnsiTheme="majorBidi" w:cstheme="majorBidi"/>
          <w:bCs/>
          <w:sz w:val="22"/>
          <w:szCs w:val="22"/>
          <w:lang w:val="en-GB"/>
        </w:rPr>
        <w:t>taken into account</w:t>
      </w:r>
      <w:proofErr w:type="gramEnd"/>
      <w:r w:rsidRPr="00097EB6">
        <w:rPr>
          <w:rFonts w:asciiTheme="majorBidi" w:hAnsiTheme="majorBidi" w:cstheme="majorBidi"/>
          <w:bCs/>
          <w:sz w:val="22"/>
          <w:szCs w:val="22"/>
          <w:lang w:val="en-GB"/>
        </w:rPr>
        <w:t xml:space="preserve"> input received at the seventh meeting of the ICCM5 Bureau held from 9-10 July 2019 in St Petersburg, Russia as well as written inputs received from stakeholders since the third meeting of the Open-ended Working Group.</w:t>
      </w:r>
    </w:p>
    <w:p w14:paraId="052D588E" w14:textId="53B780B0" w:rsidR="00E249A0" w:rsidRPr="00097EB6" w:rsidRDefault="007B0BAF" w:rsidP="00E249A0">
      <w:pPr>
        <w:rPr>
          <w:rFonts w:asciiTheme="majorBidi" w:hAnsiTheme="majorBidi" w:cstheme="majorBidi"/>
          <w:noProof/>
          <w:sz w:val="22"/>
          <w:szCs w:val="22"/>
          <w:u w:val="single"/>
        </w:rPr>
      </w:pPr>
      <w:r w:rsidRPr="00097EB6">
        <w:rPr>
          <w:rFonts w:asciiTheme="majorBidi" w:hAnsiTheme="majorBidi" w:cstheme="majorBidi"/>
          <w:bCs/>
          <w:sz w:val="22"/>
          <w:szCs w:val="22"/>
          <w:lang w:val="en-GB"/>
        </w:rPr>
        <w:br w:type="page"/>
      </w:r>
      <w:r w:rsidR="00E249A0" w:rsidRPr="00097EB6">
        <w:rPr>
          <w:rFonts w:asciiTheme="majorBidi" w:hAnsiTheme="majorBidi" w:cstheme="majorBidi"/>
          <w:b/>
          <w:sz w:val="22"/>
          <w:szCs w:val="22"/>
          <w:u w:val="single"/>
        </w:rPr>
        <w:t>Section I:  Proposed text for principles and approaches</w:t>
      </w:r>
      <w:r w:rsidR="00E249A0" w:rsidRPr="00097EB6">
        <w:rPr>
          <w:rStyle w:val="FootnoteReference"/>
          <w:rFonts w:asciiTheme="majorBidi" w:hAnsiTheme="majorBidi" w:cstheme="majorBidi"/>
          <w:noProof/>
          <w:sz w:val="22"/>
          <w:szCs w:val="22"/>
          <w:u w:val="single"/>
        </w:rPr>
        <w:footnoteReference w:id="2"/>
      </w:r>
      <w:r w:rsidR="00E249A0" w:rsidRPr="00097EB6">
        <w:rPr>
          <w:rFonts w:asciiTheme="majorBidi" w:hAnsiTheme="majorBidi" w:cstheme="majorBidi"/>
          <w:b/>
          <w:sz w:val="22"/>
          <w:szCs w:val="22"/>
          <w:u w:val="single"/>
        </w:rPr>
        <w:br/>
      </w:r>
    </w:p>
    <w:p w14:paraId="37AAE760" w14:textId="3E9FAC53" w:rsidR="00E249A0" w:rsidRPr="00097EB6" w:rsidRDefault="00E249A0" w:rsidP="00D42306">
      <w:pPr>
        <w:pStyle w:val="Normalnumber"/>
        <w:numPr>
          <w:ilvl w:val="0"/>
          <w:numId w:val="26"/>
        </w:numPr>
        <w:tabs>
          <w:tab w:val="left" w:pos="624"/>
        </w:tabs>
        <w:rPr>
          <w:rFonts w:asciiTheme="majorBidi" w:hAnsiTheme="majorBidi" w:cstheme="majorBidi"/>
          <w:noProof/>
          <w:sz w:val="22"/>
          <w:szCs w:val="22"/>
        </w:rPr>
      </w:pPr>
      <w:bookmarkStart w:id="2" w:name="_Hlk536089581"/>
      <w:r w:rsidRPr="00097EB6">
        <w:rPr>
          <w:rFonts w:asciiTheme="majorBidi" w:hAnsiTheme="majorBidi" w:cstheme="majorBidi"/>
          <w:noProof/>
          <w:sz w:val="22"/>
          <w:szCs w:val="22"/>
        </w:rPr>
        <w:t xml:space="preserve">In developing and implementing the sound management of chemicals and waste, stakeholders should be guided by: </w:t>
      </w:r>
    </w:p>
    <w:bookmarkEnd w:id="2"/>
    <w:p w14:paraId="327B12A9" w14:textId="77777777" w:rsidR="00E249A0" w:rsidRPr="00097EB6" w:rsidRDefault="00E249A0" w:rsidP="00A252F4">
      <w:pPr>
        <w:pStyle w:val="ListParagraph"/>
        <w:numPr>
          <w:ilvl w:val="2"/>
          <w:numId w:val="26"/>
        </w:numPr>
        <w:spacing w:after="120"/>
        <w:contextualSpacing w:val="0"/>
        <w:rPr>
          <w:rFonts w:asciiTheme="majorBidi" w:hAnsiTheme="majorBidi" w:cstheme="majorBidi"/>
          <w:noProof/>
          <w:color w:val="000000" w:themeColor="text1"/>
          <w:sz w:val="22"/>
          <w:szCs w:val="22"/>
          <w:lang w:val="en-GB"/>
        </w:rPr>
      </w:pPr>
      <w:r w:rsidRPr="00097EB6">
        <w:rPr>
          <w:rFonts w:asciiTheme="majorBidi" w:hAnsiTheme="majorBidi" w:cstheme="majorBidi"/>
          <w:noProof/>
          <w:color w:val="000000" w:themeColor="text1"/>
          <w:sz w:val="22"/>
          <w:szCs w:val="22"/>
          <w:lang w:val="en-GB"/>
        </w:rPr>
        <w:t>Transforming our world: the 2030 Agenda for Sustainable Development (2015);</w:t>
      </w:r>
    </w:p>
    <w:p w14:paraId="3687AD7E" w14:textId="77777777" w:rsidR="00E249A0" w:rsidRPr="00097EB6" w:rsidRDefault="00E249A0" w:rsidP="00A252F4">
      <w:pPr>
        <w:pStyle w:val="ListParagraph"/>
        <w:numPr>
          <w:ilvl w:val="2"/>
          <w:numId w:val="26"/>
        </w:numPr>
        <w:spacing w:after="120"/>
        <w:contextualSpacing w:val="0"/>
        <w:rPr>
          <w:rFonts w:asciiTheme="majorBidi" w:hAnsiTheme="majorBidi" w:cstheme="majorBidi"/>
          <w:noProof/>
          <w:color w:val="000000" w:themeColor="text1"/>
          <w:sz w:val="22"/>
          <w:szCs w:val="22"/>
          <w:lang w:val="en-GB"/>
        </w:rPr>
      </w:pPr>
      <w:r w:rsidRPr="00097EB6">
        <w:rPr>
          <w:rFonts w:asciiTheme="majorBidi" w:hAnsiTheme="majorBidi" w:cstheme="majorBidi"/>
          <w:noProof/>
          <w:color w:val="000000" w:themeColor="text1"/>
          <w:sz w:val="22"/>
          <w:szCs w:val="22"/>
          <w:lang w:val="en-GB"/>
        </w:rPr>
        <w:t>The Future We Want (2012);</w:t>
      </w:r>
    </w:p>
    <w:p w14:paraId="0E179B49" w14:textId="77777777" w:rsidR="00E249A0" w:rsidRPr="00097EB6" w:rsidRDefault="00E249A0" w:rsidP="00A252F4">
      <w:pPr>
        <w:pStyle w:val="ListParagraph"/>
        <w:numPr>
          <w:ilvl w:val="2"/>
          <w:numId w:val="26"/>
        </w:numPr>
        <w:spacing w:after="120"/>
        <w:contextualSpacing w:val="0"/>
        <w:rPr>
          <w:rFonts w:asciiTheme="majorBidi" w:hAnsiTheme="majorBidi" w:cstheme="majorBidi"/>
          <w:noProof/>
          <w:color w:val="000000" w:themeColor="text1"/>
          <w:sz w:val="22"/>
          <w:szCs w:val="22"/>
          <w:lang w:val="en-GB"/>
        </w:rPr>
      </w:pPr>
      <w:r w:rsidRPr="00097EB6">
        <w:rPr>
          <w:rFonts w:asciiTheme="majorBidi" w:hAnsiTheme="majorBidi" w:cstheme="majorBidi"/>
          <w:noProof/>
          <w:color w:val="000000" w:themeColor="text1"/>
          <w:sz w:val="22"/>
          <w:szCs w:val="22"/>
          <w:lang w:val="en-GB"/>
        </w:rPr>
        <w:t>Guiding Principles on Business and Human Rights:</w:t>
      </w:r>
      <w:r w:rsidRPr="00097EB6">
        <w:rPr>
          <w:rFonts w:asciiTheme="majorBidi" w:hAnsiTheme="majorBidi" w:cstheme="majorBidi"/>
          <w:b/>
          <w:noProof/>
          <w:color w:val="000000" w:themeColor="text1"/>
          <w:sz w:val="22"/>
          <w:szCs w:val="22"/>
          <w:lang w:val="en-GB"/>
        </w:rPr>
        <w:t xml:space="preserve"> </w:t>
      </w:r>
      <w:r w:rsidRPr="00097EB6">
        <w:rPr>
          <w:rFonts w:asciiTheme="majorBidi" w:hAnsiTheme="majorBidi" w:cstheme="majorBidi"/>
          <w:bCs/>
          <w:noProof/>
          <w:color w:val="000000" w:themeColor="text1"/>
          <w:sz w:val="22"/>
          <w:szCs w:val="22"/>
          <w:lang w:val="en-GB"/>
        </w:rPr>
        <w:t>Implementing the United Nations “Protect, Respect and Remedy” Framework</w:t>
      </w:r>
      <w:r w:rsidRPr="00097EB6">
        <w:rPr>
          <w:rFonts w:asciiTheme="majorBidi" w:hAnsiTheme="majorBidi" w:cstheme="majorBidi"/>
          <w:noProof/>
          <w:color w:val="000000" w:themeColor="text1"/>
          <w:sz w:val="22"/>
          <w:szCs w:val="22"/>
          <w:lang w:val="en-GB"/>
        </w:rPr>
        <w:t xml:space="preserve"> (2011); </w:t>
      </w:r>
    </w:p>
    <w:p w14:paraId="3AACF133" w14:textId="77777777" w:rsidR="00E249A0" w:rsidRPr="00097EB6" w:rsidRDefault="00E249A0" w:rsidP="00A252F4">
      <w:pPr>
        <w:pStyle w:val="ListParagraph"/>
        <w:numPr>
          <w:ilvl w:val="2"/>
          <w:numId w:val="26"/>
        </w:numPr>
        <w:spacing w:after="120"/>
        <w:contextualSpacing w:val="0"/>
        <w:rPr>
          <w:rFonts w:asciiTheme="majorBidi" w:hAnsiTheme="majorBidi" w:cstheme="majorBidi"/>
          <w:noProof/>
          <w:color w:val="000000" w:themeColor="text1"/>
          <w:sz w:val="22"/>
          <w:szCs w:val="22"/>
          <w:lang w:val="en-GB"/>
        </w:rPr>
      </w:pPr>
      <w:r w:rsidRPr="00097EB6">
        <w:rPr>
          <w:rFonts w:asciiTheme="majorBidi" w:hAnsiTheme="majorBidi" w:cstheme="majorBidi"/>
          <w:noProof/>
          <w:color w:val="000000" w:themeColor="text1"/>
          <w:sz w:val="22"/>
          <w:szCs w:val="22"/>
          <w:lang w:val="en-GB"/>
        </w:rPr>
        <w:t>United Nations Declaration on the Rights of Indigenous Peoples (2007);</w:t>
      </w:r>
    </w:p>
    <w:p w14:paraId="17ADF56A" w14:textId="77777777" w:rsidR="00E249A0" w:rsidRPr="00097EB6" w:rsidRDefault="00E249A0" w:rsidP="00A252F4">
      <w:pPr>
        <w:pStyle w:val="ListParagraph"/>
        <w:numPr>
          <w:ilvl w:val="2"/>
          <w:numId w:val="26"/>
        </w:numPr>
        <w:spacing w:after="120"/>
        <w:contextualSpacing w:val="0"/>
        <w:rPr>
          <w:rFonts w:asciiTheme="majorBidi" w:hAnsiTheme="majorBidi" w:cstheme="majorBidi"/>
          <w:noProof/>
          <w:color w:val="000000" w:themeColor="text1"/>
          <w:sz w:val="22"/>
          <w:szCs w:val="22"/>
          <w:lang w:val="en-GB"/>
        </w:rPr>
      </w:pPr>
      <w:r w:rsidRPr="00097EB6">
        <w:rPr>
          <w:rFonts w:asciiTheme="majorBidi" w:hAnsiTheme="majorBidi" w:cstheme="majorBidi"/>
          <w:noProof/>
          <w:color w:val="000000" w:themeColor="text1"/>
          <w:sz w:val="22"/>
          <w:szCs w:val="22"/>
          <w:lang w:val="en-GB"/>
        </w:rPr>
        <w:t>Dubai Declaration on International Chemicals Management (2006)</w:t>
      </w:r>
    </w:p>
    <w:p w14:paraId="07ACACB7" w14:textId="77777777" w:rsidR="00E249A0" w:rsidRPr="00097EB6" w:rsidRDefault="00E249A0" w:rsidP="00A252F4">
      <w:pPr>
        <w:pStyle w:val="ListParagraph"/>
        <w:numPr>
          <w:ilvl w:val="2"/>
          <w:numId w:val="26"/>
        </w:numPr>
        <w:spacing w:after="120"/>
        <w:contextualSpacing w:val="0"/>
        <w:rPr>
          <w:rFonts w:asciiTheme="majorBidi" w:hAnsiTheme="majorBidi" w:cstheme="majorBidi"/>
          <w:noProof/>
          <w:color w:val="000000" w:themeColor="text1"/>
          <w:sz w:val="22"/>
          <w:szCs w:val="22"/>
          <w:lang w:val="en-GB"/>
        </w:rPr>
      </w:pPr>
      <w:r w:rsidRPr="00097EB6">
        <w:rPr>
          <w:rFonts w:asciiTheme="majorBidi" w:hAnsiTheme="majorBidi" w:cstheme="majorBidi"/>
          <w:noProof/>
          <w:color w:val="000000" w:themeColor="text1"/>
          <w:sz w:val="22"/>
          <w:szCs w:val="22"/>
          <w:lang w:val="en-GB"/>
        </w:rPr>
        <w:t xml:space="preserve">Johannesburg Plan of Implementation (2002) </w:t>
      </w:r>
    </w:p>
    <w:p w14:paraId="066AADB8" w14:textId="77777777" w:rsidR="00E249A0" w:rsidRPr="00097EB6" w:rsidRDefault="00E249A0" w:rsidP="00A252F4">
      <w:pPr>
        <w:pStyle w:val="ListParagraph"/>
        <w:numPr>
          <w:ilvl w:val="2"/>
          <w:numId w:val="26"/>
        </w:numPr>
        <w:spacing w:after="120"/>
        <w:contextualSpacing w:val="0"/>
        <w:rPr>
          <w:rFonts w:asciiTheme="majorBidi" w:hAnsiTheme="majorBidi" w:cstheme="majorBidi"/>
          <w:noProof/>
          <w:color w:val="000000" w:themeColor="text1"/>
          <w:sz w:val="22"/>
          <w:szCs w:val="22"/>
          <w:lang w:val="en-GB"/>
        </w:rPr>
      </w:pPr>
      <w:r w:rsidRPr="00097EB6">
        <w:rPr>
          <w:rFonts w:asciiTheme="majorBidi" w:hAnsiTheme="majorBidi" w:cstheme="majorBidi"/>
          <w:noProof/>
          <w:color w:val="000000" w:themeColor="text1"/>
          <w:sz w:val="22"/>
          <w:szCs w:val="22"/>
          <w:lang w:val="en-GB"/>
        </w:rPr>
        <w:t xml:space="preserve">United Nations Millennium Declaration (2000) </w:t>
      </w:r>
    </w:p>
    <w:p w14:paraId="45971907" w14:textId="77777777" w:rsidR="00E249A0" w:rsidRPr="00097EB6" w:rsidRDefault="00E249A0" w:rsidP="00A252F4">
      <w:pPr>
        <w:pStyle w:val="ListParagraph"/>
        <w:numPr>
          <w:ilvl w:val="2"/>
          <w:numId w:val="26"/>
        </w:numPr>
        <w:spacing w:after="120"/>
        <w:contextualSpacing w:val="0"/>
        <w:rPr>
          <w:rFonts w:asciiTheme="majorBidi" w:hAnsiTheme="majorBidi" w:cstheme="majorBidi"/>
          <w:noProof/>
          <w:color w:val="000000" w:themeColor="text1"/>
          <w:sz w:val="22"/>
          <w:szCs w:val="22"/>
          <w:lang w:val="en-GB"/>
        </w:rPr>
      </w:pPr>
      <w:r w:rsidRPr="00097EB6">
        <w:rPr>
          <w:rFonts w:asciiTheme="majorBidi" w:hAnsiTheme="majorBidi" w:cstheme="majorBidi"/>
          <w:noProof/>
          <w:color w:val="000000" w:themeColor="text1"/>
          <w:sz w:val="22"/>
          <w:szCs w:val="22"/>
          <w:lang w:val="en-GB"/>
        </w:rPr>
        <w:t>Bahia Declaration on Chemical Safety (2000)</w:t>
      </w:r>
    </w:p>
    <w:p w14:paraId="50A7E953" w14:textId="77777777" w:rsidR="00E249A0" w:rsidRPr="00097EB6" w:rsidRDefault="00E249A0" w:rsidP="00A252F4">
      <w:pPr>
        <w:pStyle w:val="ListParagraph"/>
        <w:numPr>
          <w:ilvl w:val="2"/>
          <w:numId w:val="26"/>
        </w:numPr>
        <w:spacing w:after="120"/>
        <w:contextualSpacing w:val="0"/>
        <w:rPr>
          <w:rFonts w:asciiTheme="majorBidi" w:hAnsiTheme="majorBidi" w:cstheme="majorBidi"/>
          <w:noProof/>
          <w:color w:val="000000" w:themeColor="text1"/>
          <w:sz w:val="22"/>
          <w:szCs w:val="22"/>
          <w:lang w:val="en-GB"/>
        </w:rPr>
      </w:pPr>
      <w:r w:rsidRPr="00097EB6">
        <w:rPr>
          <w:rFonts w:asciiTheme="majorBidi" w:hAnsiTheme="majorBidi" w:cstheme="majorBidi"/>
          <w:noProof/>
          <w:color w:val="000000" w:themeColor="text1"/>
          <w:sz w:val="22"/>
          <w:szCs w:val="22"/>
          <w:lang w:val="en-GB"/>
        </w:rPr>
        <w:t>Rio Declaration on Environment and Development (1992)</w:t>
      </w:r>
    </w:p>
    <w:p w14:paraId="54AEEF71" w14:textId="77777777" w:rsidR="00E249A0" w:rsidRPr="00097EB6" w:rsidRDefault="00E249A0" w:rsidP="00A252F4">
      <w:pPr>
        <w:pStyle w:val="ListParagraph"/>
        <w:numPr>
          <w:ilvl w:val="2"/>
          <w:numId w:val="26"/>
        </w:numPr>
        <w:spacing w:after="120"/>
        <w:contextualSpacing w:val="0"/>
        <w:rPr>
          <w:rFonts w:asciiTheme="majorBidi" w:hAnsiTheme="majorBidi" w:cstheme="majorBidi"/>
          <w:noProof/>
          <w:color w:val="000000" w:themeColor="text1"/>
          <w:sz w:val="22"/>
          <w:szCs w:val="22"/>
          <w:lang w:val="en-GB"/>
        </w:rPr>
      </w:pPr>
      <w:r w:rsidRPr="00097EB6">
        <w:rPr>
          <w:rFonts w:asciiTheme="majorBidi" w:hAnsiTheme="majorBidi" w:cstheme="majorBidi"/>
          <w:noProof/>
          <w:color w:val="000000" w:themeColor="text1"/>
          <w:sz w:val="22"/>
          <w:szCs w:val="22"/>
          <w:lang w:val="en-GB"/>
        </w:rPr>
        <w:t>Agenda 21 (1992), in particular chapters 6, 8, 19 and 20 thereof</w:t>
      </w:r>
    </w:p>
    <w:p w14:paraId="3228CF5C" w14:textId="03D946F8" w:rsidR="004F7F90" w:rsidRPr="00097EB6" w:rsidRDefault="00E249A0" w:rsidP="00A252F4">
      <w:pPr>
        <w:pStyle w:val="ListParagraph"/>
        <w:numPr>
          <w:ilvl w:val="2"/>
          <w:numId w:val="26"/>
        </w:numPr>
        <w:spacing w:after="120"/>
        <w:contextualSpacing w:val="0"/>
        <w:rPr>
          <w:rFonts w:asciiTheme="majorBidi" w:hAnsiTheme="majorBidi" w:cstheme="majorBidi"/>
          <w:noProof/>
          <w:color w:val="000000" w:themeColor="text1"/>
          <w:sz w:val="22"/>
          <w:szCs w:val="22"/>
          <w:lang w:val="en-GB"/>
        </w:rPr>
      </w:pPr>
      <w:r w:rsidRPr="00097EB6">
        <w:rPr>
          <w:rFonts w:asciiTheme="majorBidi" w:hAnsiTheme="majorBidi" w:cstheme="majorBidi"/>
          <w:bCs/>
          <w:noProof/>
          <w:color w:val="000000" w:themeColor="text1"/>
          <w:sz w:val="22"/>
          <w:szCs w:val="22"/>
          <w:lang w:val="en-GB"/>
        </w:rPr>
        <w:t>Declaration of the United Nations Conference on the Human Environment</w:t>
      </w:r>
      <w:r w:rsidRPr="00097EB6">
        <w:rPr>
          <w:rFonts w:asciiTheme="majorBidi" w:hAnsiTheme="majorBidi" w:cstheme="majorBidi"/>
          <w:noProof/>
          <w:color w:val="000000" w:themeColor="text1"/>
          <w:sz w:val="22"/>
          <w:szCs w:val="22"/>
          <w:lang w:val="en-GB"/>
        </w:rPr>
        <w:t xml:space="preserve"> (Stockholm Declaration on the Human Environment) (1972), in particular principle 22 therein </w:t>
      </w:r>
    </w:p>
    <w:p w14:paraId="54C833A6" w14:textId="77777777" w:rsidR="00E249A0" w:rsidRPr="00A252F4" w:rsidRDefault="00E249A0" w:rsidP="00A252F4">
      <w:pPr>
        <w:pStyle w:val="ListParagraph"/>
        <w:numPr>
          <w:ilvl w:val="2"/>
          <w:numId w:val="26"/>
        </w:numPr>
        <w:spacing w:after="120"/>
        <w:contextualSpacing w:val="0"/>
        <w:rPr>
          <w:rFonts w:asciiTheme="majorBidi" w:hAnsiTheme="majorBidi" w:cstheme="majorBidi"/>
          <w:noProof/>
          <w:color w:val="000000" w:themeColor="text1"/>
          <w:sz w:val="22"/>
          <w:szCs w:val="22"/>
        </w:rPr>
      </w:pPr>
      <w:r w:rsidRPr="00A252F4">
        <w:rPr>
          <w:rFonts w:asciiTheme="majorBidi" w:hAnsiTheme="majorBidi" w:cstheme="majorBidi"/>
          <w:noProof/>
          <w:color w:val="000000" w:themeColor="text1"/>
          <w:sz w:val="22"/>
          <w:szCs w:val="22"/>
        </w:rPr>
        <w:t>The following agreements, where applicable:</w:t>
      </w:r>
    </w:p>
    <w:p w14:paraId="1F7237C8" w14:textId="77777777" w:rsidR="00E249A0" w:rsidRPr="00097EB6" w:rsidRDefault="00E249A0" w:rsidP="00A252F4">
      <w:pPr>
        <w:pStyle w:val="Normalnumber"/>
        <w:numPr>
          <w:ilvl w:val="0"/>
          <w:numId w:val="29"/>
        </w:numPr>
        <w:tabs>
          <w:tab w:val="left" w:pos="624"/>
        </w:tabs>
        <w:rPr>
          <w:rFonts w:asciiTheme="majorBidi" w:hAnsiTheme="majorBidi" w:cstheme="majorBidi"/>
          <w:noProof/>
          <w:color w:val="000000" w:themeColor="text1"/>
          <w:sz w:val="22"/>
          <w:szCs w:val="22"/>
        </w:rPr>
      </w:pPr>
      <w:r w:rsidRPr="00097EB6">
        <w:rPr>
          <w:rFonts w:asciiTheme="majorBidi" w:hAnsiTheme="majorBidi" w:cstheme="majorBidi"/>
          <w:noProof/>
          <w:color w:val="000000" w:themeColor="text1"/>
          <w:sz w:val="22"/>
          <w:szCs w:val="22"/>
        </w:rPr>
        <w:t>Minamata Convention on Mercury (2017)</w:t>
      </w:r>
    </w:p>
    <w:p w14:paraId="7BD2AA47" w14:textId="77777777" w:rsidR="00E249A0" w:rsidRPr="00097EB6" w:rsidRDefault="00E249A0" w:rsidP="00A252F4">
      <w:pPr>
        <w:pStyle w:val="Normalnumber"/>
        <w:numPr>
          <w:ilvl w:val="0"/>
          <w:numId w:val="29"/>
        </w:numPr>
        <w:tabs>
          <w:tab w:val="left" w:pos="624"/>
        </w:tabs>
        <w:rPr>
          <w:rFonts w:asciiTheme="majorBidi" w:hAnsiTheme="majorBidi" w:cstheme="majorBidi"/>
          <w:noProof/>
          <w:color w:val="000000" w:themeColor="text1"/>
          <w:sz w:val="22"/>
          <w:szCs w:val="22"/>
        </w:rPr>
      </w:pPr>
      <w:r w:rsidRPr="00097EB6">
        <w:rPr>
          <w:rFonts w:asciiTheme="majorBidi" w:hAnsiTheme="majorBidi" w:cstheme="majorBidi"/>
          <w:noProof/>
          <w:color w:val="000000" w:themeColor="text1"/>
          <w:sz w:val="22"/>
          <w:szCs w:val="22"/>
        </w:rPr>
        <w:t>International Code of Conduct on Pesticide Management (2014)</w:t>
      </w:r>
    </w:p>
    <w:p w14:paraId="5BDB4F97" w14:textId="77777777" w:rsidR="00E249A0" w:rsidRPr="00097EB6" w:rsidRDefault="00E249A0" w:rsidP="00A252F4">
      <w:pPr>
        <w:pStyle w:val="Normalnumber"/>
        <w:numPr>
          <w:ilvl w:val="0"/>
          <w:numId w:val="29"/>
        </w:numPr>
        <w:tabs>
          <w:tab w:val="left" w:pos="624"/>
        </w:tabs>
        <w:rPr>
          <w:rFonts w:asciiTheme="majorBidi" w:hAnsiTheme="majorBidi" w:cstheme="majorBidi"/>
          <w:noProof/>
          <w:color w:val="000000" w:themeColor="text1"/>
          <w:sz w:val="22"/>
          <w:szCs w:val="22"/>
        </w:rPr>
      </w:pPr>
      <w:r w:rsidRPr="00097EB6">
        <w:rPr>
          <w:rFonts w:asciiTheme="majorBidi" w:hAnsiTheme="majorBidi" w:cstheme="majorBidi"/>
          <w:noProof/>
          <w:color w:val="000000" w:themeColor="text1"/>
          <w:sz w:val="22"/>
          <w:szCs w:val="22"/>
        </w:rPr>
        <w:t>International Health Regulations (2005)</w:t>
      </w:r>
    </w:p>
    <w:p w14:paraId="07893FFB" w14:textId="77777777" w:rsidR="00E249A0" w:rsidRPr="00097EB6" w:rsidRDefault="00E249A0" w:rsidP="00A252F4">
      <w:pPr>
        <w:pStyle w:val="Normalnumber"/>
        <w:numPr>
          <w:ilvl w:val="0"/>
          <w:numId w:val="29"/>
        </w:numPr>
        <w:tabs>
          <w:tab w:val="left" w:pos="624"/>
        </w:tabs>
        <w:rPr>
          <w:rFonts w:asciiTheme="majorBidi" w:hAnsiTheme="majorBidi" w:cstheme="majorBidi"/>
          <w:noProof/>
          <w:color w:val="000000" w:themeColor="text1"/>
          <w:sz w:val="22"/>
          <w:szCs w:val="22"/>
        </w:rPr>
      </w:pPr>
      <w:r w:rsidRPr="00097EB6">
        <w:rPr>
          <w:rFonts w:asciiTheme="majorBidi" w:hAnsiTheme="majorBidi" w:cstheme="majorBidi"/>
          <w:noProof/>
          <w:color w:val="000000" w:themeColor="text1"/>
          <w:sz w:val="22"/>
          <w:szCs w:val="22"/>
        </w:rPr>
        <w:t>Rotterdam Convention on the Prior Informed Consent Procedure for Certain Hazardous Chemicals and Pesticides in International Trade (2004)</w:t>
      </w:r>
    </w:p>
    <w:p w14:paraId="376837C8" w14:textId="77777777" w:rsidR="00E249A0" w:rsidRPr="00097EB6" w:rsidRDefault="00E249A0" w:rsidP="00A252F4">
      <w:pPr>
        <w:pStyle w:val="Normalnumber"/>
        <w:numPr>
          <w:ilvl w:val="0"/>
          <w:numId w:val="29"/>
        </w:numPr>
        <w:tabs>
          <w:tab w:val="left" w:pos="624"/>
        </w:tabs>
        <w:rPr>
          <w:rFonts w:asciiTheme="majorBidi" w:hAnsiTheme="majorBidi" w:cstheme="majorBidi"/>
          <w:noProof/>
          <w:color w:val="000000" w:themeColor="text1"/>
          <w:sz w:val="22"/>
          <w:szCs w:val="22"/>
        </w:rPr>
      </w:pPr>
      <w:r w:rsidRPr="00097EB6">
        <w:rPr>
          <w:rFonts w:asciiTheme="majorBidi" w:hAnsiTheme="majorBidi" w:cstheme="majorBidi"/>
          <w:noProof/>
          <w:color w:val="000000" w:themeColor="text1"/>
          <w:sz w:val="22"/>
          <w:szCs w:val="22"/>
        </w:rPr>
        <w:t>Stockholm Convention on Persistent Organic Pollutants (2004)</w:t>
      </w:r>
    </w:p>
    <w:p w14:paraId="3430C4F4" w14:textId="77777777" w:rsidR="00E249A0" w:rsidRPr="00097EB6" w:rsidRDefault="00E249A0" w:rsidP="00A252F4">
      <w:pPr>
        <w:pStyle w:val="Normalnumber"/>
        <w:numPr>
          <w:ilvl w:val="0"/>
          <w:numId w:val="29"/>
        </w:numPr>
        <w:tabs>
          <w:tab w:val="left" w:pos="624"/>
        </w:tabs>
        <w:rPr>
          <w:rFonts w:asciiTheme="majorBidi" w:hAnsiTheme="majorBidi" w:cstheme="majorBidi"/>
          <w:noProof/>
          <w:color w:val="000000" w:themeColor="text1"/>
          <w:sz w:val="22"/>
          <w:szCs w:val="22"/>
        </w:rPr>
      </w:pPr>
      <w:r w:rsidRPr="00097EB6">
        <w:rPr>
          <w:rFonts w:asciiTheme="majorBidi" w:hAnsiTheme="majorBidi" w:cstheme="majorBidi"/>
          <w:noProof/>
          <w:color w:val="000000" w:themeColor="text1"/>
          <w:sz w:val="22"/>
          <w:szCs w:val="22"/>
        </w:rPr>
        <w:t>ILO Convention No. 174 concerning the Prevention of Major Industrial Accidents (1993)</w:t>
      </w:r>
    </w:p>
    <w:p w14:paraId="4E00A18D" w14:textId="77777777" w:rsidR="00E249A0" w:rsidRPr="00097EB6" w:rsidRDefault="00E249A0" w:rsidP="00A252F4">
      <w:pPr>
        <w:pStyle w:val="Normalnumber"/>
        <w:numPr>
          <w:ilvl w:val="0"/>
          <w:numId w:val="29"/>
        </w:numPr>
        <w:tabs>
          <w:tab w:val="left" w:pos="624"/>
        </w:tabs>
        <w:rPr>
          <w:rFonts w:asciiTheme="majorBidi" w:hAnsiTheme="majorBidi" w:cstheme="majorBidi"/>
          <w:noProof/>
          <w:sz w:val="22"/>
          <w:szCs w:val="22"/>
        </w:rPr>
      </w:pPr>
      <w:r w:rsidRPr="00097EB6">
        <w:rPr>
          <w:rFonts w:asciiTheme="majorBidi" w:hAnsiTheme="majorBidi" w:cstheme="majorBidi"/>
          <w:noProof/>
          <w:sz w:val="22"/>
          <w:szCs w:val="22"/>
        </w:rPr>
        <w:t>ILO Convention No. 170 concerning Safety in the Use of Chemicals at Work (1990)</w:t>
      </w:r>
    </w:p>
    <w:p w14:paraId="0942810F" w14:textId="77777777" w:rsidR="00E249A0" w:rsidRPr="00097EB6" w:rsidRDefault="00E249A0" w:rsidP="00A252F4">
      <w:pPr>
        <w:pStyle w:val="Normalnumber"/>
        <w:numPr>
          <w:ilvl w:val="0"/>
          <w:numId w:val="29"/>
        </w:numPr>
        <w:tabs>
          <w:tab w:val="left" w:pos="624"/>
        </w:tabs>
        <w:rPr>
          <w:rFonts w:asciiTheme="majorBidi" w:hAnsiTheme="majorBidi" w:cstheme="majorBidi"/>
          <w:noProof/>
          <w:sz w:val="22"/>
          <w:szCs w:val="22"/>
        </w:rPr>
      </w:pPr>
      <w:r w:rsidRPr="00097EB6">
        <w:rPr>
          <w:rFonts w:asciiTheme="majorBidi" w:hAnsiTheme="majorBidi" w:cstheme="majorBidi"/>
          <w:noProof/>
          <w:sz w:val="22"/>
          <w:szCs w:val="22"/>
        </w:rPr>
        <w:t>Basel Convention on the Control of Transboundary Movements of Hazardous Wastes and Their Disposal (1992)</w:t>
      </w:r>
    </w:p>
    <w:p w14:paraId="575DBFF7" w14:textId="77777777" w:rsidR="00E249A0" w:rsidRPr="00097EB6" w:rsidRDefault="00E249A0" w:rsidP="00A252F4">
      <w:pPr>
        <w:pStyle w:val="Normalnumber"/>
        <w:numPr>
          <w:ilvl w:val="0"/>
          <w:numId w:val="29"/>
        </w:numPr>
        <w:tabs>
          <w:tab w:val="left" w:pos="624"/>
        </w:tabs>
        <w:rPr>
          <w:rFonts w:asciiTheme="majorBidi" w:hAnsiTheme="majorBidi" w:cstheme="majorBidi"/>
          <w:noProof/>
          <w:sz w:val="22"/>
          <w:szCs w:val="22"/>
        </w:rPr>
      </w:pPr>
      <w:r w:rsidRPr="00097EB6">
        <w:rPr>
          <w:rFonts w:asciiTheme="majorBidi" w:hAnsiTheme="majorBidi" w:cstheme="majorBidi"/>
          <w:noProof/>
          <w:sz w:val="22"/>
          <w:szCs w:val="22"/>
        </w:rPr>
        <w:t>Montreal Protocol on Substances that Deplete the Ozone Layer (1989).</w:t>
      </w:r>
    </w:p>
    <w:p w14:paraId="429A4451" w14:textId="53F861D1" w:rsidR="00E249A0" w:rsidRPr="00097EB6" w:rsidRDefault="00E249A0" w:rsidP="00A252F4">
      <w:pPr>
        <w:pStyle w:val="Normalnumber"/>
        <w:numPr>
          <w:ilvl w:val="0"/>
          <w:numId w:val="26"/>
        </w:numPr>
        <w:tabs>
          <w:tab w:val="left" w:pos="624"/>
        </w:tabs>
        <w:rPr>
          <w:rFonts w:asciiTheme="majorBidi" w:hAnsiTheme="majorBidi" w:cstheme="majorBidi"/>
          <w:noProof/>
          <w:sz w:val="22"/>
          <w:szCs w:val="22"/>
        </w:rPr>
      </w:pPr>
      <w:r w:rsidRPr="00097EB6">
        <w:rPr>
          <w:rFonts w:asciiTheme="majorBidi" w:hAnsiTheme="majorBidi" w:cstheme="majorBidi"/>
          <w:noProof/>
          <w:sz w:val="22"/>
          <w:szCs w:val="22"/>
        </w:rPr>
        <w:t xml:space="preserve">The list above includes global principles, approaches and agreements. Stakeholders should also be guided by any relevant regional principles, approaches and agreements that are applicable to their specific region or a specific issue. </w:t>
      </w:r>
    </w:p>
    <w:p w14:paraId="333BAC3F" w14:textId="77777777" w:rsidR="00E249A0" w:rsidRPr="00097EB6" w:rsidRDefault="00E249A0" w:rsidP="00E249A0">
      <w:pPr>
        <w:spacing w:line="360" w:lineRule="auto"/>
        <w:rPr>
          <w:rFonts w:asciiTheme="majorBidi" w:hAnsiTheme="majorBidi" w:cstheme="majorBidi"/>
          <w:sz w:val="22"/>
          <w:szCs w:val="22"/>
          <w:lang w:val="en-GB"/>
        </w:rPr>
      </w:pPr>
    </w:p>
    <w:tbl>
      <w:tblPr>
        <w:tblStyle w:val="TableGrid"/>
        <w:tblW w:w="0" w:type="auto"/>
        <w:tblLook w:val="04A0" w:firstRow="1" w:lastRow="0" w:firstColumn="1" w:lastColumn="0" w:noHBand="0" w:noVBand="1"/>
      </w:tblPr>
      <w:tblGrid>
        <w:gridCol w:w="9010"/>
      </w:tblGrid>
      <w:tr w:rsidR="00E249A0" w:rsidRPr="00097EB6" w14:paraId="527692CF" w14:textId="77777777" w:rsidTr="00BD3785">
        <w:tc>
          <w:tcPr>
            <w:tcW w:w="9350" w:type="dxa"/>
          </w:tcPr>
          <w:p w14:paraId="134BB80B" w14:textId="77777777" w:rsidR="00E249A0" w:rsidRPr="00097EB6" w:rsidRDefault="00E249A0" w:rsidP="00BD3785">
            <w:pPr>
              <w:spacing w:line="276" w:lineRule="auto"/>
              <w:rPr>
                <w:rFonts w:asciiTheme="majorBidi" w:hAnsiTheme="majorBidi" w:cstheme="majorBidi"/>
                <w:b/>
                <w:sz w:val="22"/>
                <w:szCs w:val="22"/>
                <w:lang w:val="en-GB"/>
              </w:rPr>
            </w:pPr>
            <w:r w:rsidRPr="00097EB6">
              <w:rPr>
                <w:rFonts w:asciiTheme="majorBidi" w:hAnsiTheme="majorBidi" w:cstheme="majorBidi"/>
                <w:b/>
                <w:sz w:val="22"/>
                <w:szCs w:val="22"/>
                <w:u w:val="single"/>
                <w:lang w:val="en-GB"/>
              </w:rPr>
              <w:t>Considerations</w:t>
            </w:r>
            <w:r w:rsidRPr="00097EB6">
              <w:rPr>
                <w:rFonts w:asciiTheme="majorBidi" w:hAnsiTheme="majorBidi" w:cstheme="majorBidi"/>
                <w:b/>
                <w:sz w:val="22"/>
                <w:szCs w:val="22"/>
                <w:lang w:val="en-GB"/>
              </w:rPr>
              <w:t xml:space="preserve"> (as identified in SAICM/OEWG.3/INF/2 - Annotations to the paper by the Co-Chairs of the intersessional process on the Strategic Approach to International Chemicals Management and the sound management of chemicals and waste beyond 2020):</w:t>
            </w:r>
          </w:p>
          <w:p w14:paraId="5AE03897" w14:textId="77777777" w:rsidR="00E249A0" w:rsidRPr="00097EB6" w:rsidRDefault="00E249A0" w:rsidP="00BD3785">
            <w:pPr>
              <w:spacing w:line="276" w:lineRule="auto"/>
              <w:rPr>
                <w:rFonts w:asciiTheme="majorBidi" w:hAnsiTheme="majorBidi" w:cstheme="majorBidi"/>
                <w:b/>
                <w:sz w:val="22"/>
                <w:szCs w:val="22"/>
                <w:lang w:val="en-GB"/>
              </w:rPr>
            </w:pPr>
          </w:p>
          <w:p w14:paraId="66E7D457" w14:textId="77777777" w:rsidR="00E249A0" w:rsidRPr="00097EB6" w:rsidRDefault="00E249A0" w:rsidP="00BD3785">
            <w:pPr>
              <w:spacing w:line="276" w:lineRule="auto"/>
              <w:rPr>
                <w:rFonts w:asciiTheme="majorBidi" w:eastAsia="Times New Roman" w:hAnsiTheme="majorBidi" w:cstheme="majorBidi"/>
                <w:noProof/>
                <w:sz w:val="22"/>
                <w:szCs w:val="22"/>
                <w:lang w:val="en-GB"/>
              </w:rPr>
            </w:pPr>
            <w:r w:rsidRPr="00097EB6">
              <w:rPr>
                <w:rFonts w:asciiTheme="majorBidi" w:eastAsia="Times New Roman" w:hAnsiTheme="majorBidi" w:cstheme="majorBidi"/>
                <w:noProof/>
                <w:sz w:val="22"/>
                <w:szCs w:val="22"/>
                <w:lang w:val="en-GB"/>
              </w:rPr>
              <w:t xml:space="preserve">The starting point for this list was paragraph 20 of the Overarching Policy Strategy (OPS). The entries have been organised by date and updated with more recent agreements and declarations. The list was further developed with the consideration of new agreements coming in to force since the OPS was agreed to in 2006. </w:t>
            </w:r>
          </w:p>
          <w:p w14:paraId="66CA057D" w14:textId="77777777" w:rsidR="00E249A0" w:rsidRPr="00097EB6" w:rsidRDefault="00E249A0" w:rsidP="00BD3785">
            <w:pPr>
              <w:spacing w:line="276" w:lineRule="auto"/>
              <w:rPr>
                <w:rFonts w:asciiTheme="majorBidi" w:eastAsia="Times New Roman" w:hAnsiTheme="majorBidi" w:cstheme="majorBidi"/>
                <w:noProof/>
                <w:sz w:val="22"/>
                <w:szCs w:val="22"/>
                <w:lang w:val="en-GB"/>
              </w:rPr>
            </w:pPr>
          </w:p>
          <w:p w14:paraId="6F417E39" w14:textId="77777777" w:rsidR="00E249A0" w:rsidRPr="00097EB6" w:rsidRDefault="00E249A0" w:rsidP="00BD3785">
            <w:pPr>
              <w:spacing w:line="276" w:lineRule="auto"/>
              <w:rPr>
                <w:rFonts w:asciiTheme="majorBidi" w:eastAsia="Times New Roman" w:hAnsiTheme="majorBidi" w:cstheme="majorBidi"/>
                <w:noProof/>
                <w:sz w:val="22"/>
                <w:szCs w:val="22"/>
                <w:lang w:val="en-GB"/>
              </w:rPr>
            </w:pPr>
            <w:r w:rsidRPr="00097EB6">
              <w:rPr>
                <w:rFonts w:asciiTheme="majorBidi" w:eastAsia="Times New Roman" w:hAnsiTheme="majorBidi" w:cstheme="majorBidi"/>
                <w:noProof/>
                <w:sz w:val="22"/>
                <w:szCs w:val="22"/>
                <w:lang w:val="en-GB"/>
              </w:rPr>
              <w:t xml:space="preserve">A number of views were expressed at the second meeting of the intersessional process ranging from the suggestion to create a new self-contained list of specific policy principles to guide the future approach, to having no principles listed at all and instead being guided by a strong vision with objectives and milestones. </w:t>
            </w:r>
          </w:p>
          <w:p w14:paraId="3E944D8A" w14:textId="77777777" w:rsidR="00E249A0" w:rsidRPr="00097EB6" w:rsidRDefault="00E249A0" w:rsidP="00BD3785">
            <w:pPr>
              <w:spacing w:line="276" w:lineRule="auto"/>
              <w:rPr>
                <w:rFonts w:asciiTheme="majorBidi" w:eastAsia="Times New Roman" w:hAnsiTheme="majorBidi" w:cstheme="majorBidi"/>
                <w:noProof/>
                <w:sz w:val="22"/>
                <w:szCs w:val="22"/>
                <w:lang w:val="en-GB"/>
              </w:rPr>
            </w:pPr>
          </w:p>
          <w:p w14:paraId="5A6F7249" w14:textId="77777777" w:rsidR="00E249A0" w:rsidRPr="00097EB6" w:rsidRDefault="00E249A0" w:rsidP="00BD3785">
            <w:pPr>
              <w:spacing w:line="276" w:lineRule="auto"/>
              <w:rPr>
                <w:rFonts w:asciiTheme="majorBidi" w:eastAsia="Times New Roman" w:hAnsiTheme="majorBidi" w:cstheme="majorBidi"/>
                <w:noProof/>
                <w:sz w:val="22"/>
                <w:szCs w:val="22"/>
                <w:lang w:val="en-GB"/>
              </w:rPr>
            </w:pPr>
            <w:r w:rsidRPr="00097EB6">
              <w:rPr>
                <w:rFonts w:asciiTheme="majorBidi" w:eastAsia="Times New Roman" w:hAnsiTheme="majorBidi" w:cstheme="majorBidi"/>
                <w:noProof/>
                <w:sz w:val="22"/>
                <w:szCs w:val="22"/>
                <w:lang w:val="en-GB"/>
              </w:rPr>
              <w:t>Recognizing the importance of policy principles as well as efficiency and practicality, the co-chairs recommend referring to the principles and approaches already embodied in the above list of relevant declarations and agreements. We also recommend that this list be limited to declarations and agreements that are global in scope, specifically related to the management of chemicals and waste and agreed to at the highest levels. While this section has referenced a limited number of global agreements, principles and approaches, it is recognized that the sound management of chemicals and waste should also be informed by any future principles and approaches that are reflective of on-going innovation beyond our current thinking.</w:t>
            </w:r>
          </w:p>
          <w:p w14:paraId="00803B7B" w14:textId="77777777" w:rsidR="00E249A0" w:rsidRPr="00097EB6" w:rsidRDefault="00E249A0" w:rsidP="00BD3785">
            <w:pPr>
              <w:spacing w:line="276" w:lineRule="auto"/>
              <w:rPr>
                <w:rFonts w:asciiTheme="majorBidi" w:hAnsiTheme="majorBidi" w:cstheme="majorBidi"/>
                <w:b/>
                <w:sz w:val="22"/>
                <w:szCs w:val="22"/>
                <w:u w:val="single"/>
                <w:lang w:val="en-GB"/>
              </w:rPr>
            </w:pPr>
          </w:p>
        </w:tc>
      </w:tr>
    </w:tbl>
    <w:p w14:paraId="29EAE0B9" w14:textId="77777777" w:rsidR="00E249A0" w:rsidRPr="00097EB6" w:rsidRDefault="00E249A0" w:rsidP="00E249A0">
      <w:pPr>
        <w:spacing w:line="276" w:lineRule="auto"/>
        <w:rPr>
          <w:rFonts w:asciiTheme="majorBidi" w:hAnsiTheme="majorBidi" w:cstheme="majorBidi"/>
          <w:b/>
          <w:sz w:val="22"/>
          <w:szCs w:val="22"/>
          <w:u w:val="single"/>
          <w:lang w:val="en-GB"/>
        </w:rPr>
      </w:pPr>
    </w:p>
    <w:p w14:paraId="32BBF020" w14:textId="77777777" w:rsidR="00E249A0" w:rsidRPr="00097EB6" w:rsidRDefault="00E249A0" w:rsidP="00E249A0">
      <w:pPr>
        <w:spacing w:line="276" w:lineRule="auto"/>
        <w:rPr>
          <w:rFonts w:asciiTheme="majorBidi" w:hAnsiTheme="majorBidi" w:cstheme="majorBidi"/>
          <w:b/>
          <w:sz w:val="22"/>
          <w:szCs w:val="22"/>
          <w:u w:val="single"/>
          <w:lang w:val="en-GB"/>
        </w:rPr>
      </w:pPr>
    </w:p>
    <w:p w14:paraId="6EF7CA13" w14:textId="77777777" w:rsidR="00E249A0" w:rsidRPr="00097EB6" w:rsidRDefault="00E249A0" w:rsidP="00E249A0">
      <w:pPr>
        <w:rPr>
          <w:rFonts w:asciiTheme="majorBidi" w:hAnsiTheme="majorBidi" w:cstheme="majorBidi"/>
          <w:sz w:val="22"/>
          <w:szCs w:val="22"/>
          <w:lang w:val="en-GB"/>
        </w:rPr>
      </w:pPr>
      <w:r w:rsidRPr="00097EB6">
        <w:rPr>
          <w:rFonts w:asciiTheme="majorBidi" w:hAnsiTheme="majorBidi" w:cstheme="majorBidi"/>
          <w:sz w:val="22"/>
          <w:szCs w:val="22"/>
          <w:lang w:val="en-GB"/>
        </w:rPr>
        <w:br w:type="page"/>
      </w:r>
    </w:p>
    <w:p w14:paraId="33101B90" w14:textId="77777777" w:rsidR="00E249A0" w:rsidRPr="00097EB6" w:rsidRDefault="00E249A0" w:rsidP="00E249A0">
      <w:pPr>
        <w:rPr>
          <w:rFonts w:asciiTheme="majorBidi" w:hAnsiTheme="majorBidi" w:cstheme="majorBidi"/>
          <w:sz w:val="22"/>
          <w:szCs w:val="22"/>
          <w:lang w:val="en-GB"/>
        </w:rPr>
      </w:pPr>
    </w:p>
    <w:p w14:paraId="0BFE2314" w14:textId="77777777" w:rsidR="00E249A0" w:rsidRPr="00097EB6" w:rsidRDefault="00E249A0" w:rsidP="00E249A0">
      <w:pPr>
        <w:rPr>
          <w:rFonts w:asciiTheme="majorBidi" w:hAnsiTheme="majorBidi" w:cstheme="majorBidi"/>
          <w:b/>
          <w:sz w:val="22"/>
          <w:szCs w:val="22"/>
          <w:u w:val="single"/>
          <w:lang w:val="en-GB"/>
        </w:rPr>
      </w:pPr>
      <w:r w:rsidRPr="00097EB6">
        <w:rPr>
          <w:rFonts w:asciiTheme="majorBidi" w:hAnsiTheme="majorBidi" w:cstheme="majorBidi"/>
          <w:b/>
          <w:sz w:val="22"/>
          <w:szCs w:val="22"/>
          <w:u w:val="single"/>
          <w:lang w:val="en-GB"/>
        </w:rPr>
        <w:t>Section II:  Additional Suggestions made in response to the call for input made following OEWG3</w:t>
      </w:r>
    </w:p>
    <w:p w14:paraId="2F947FD9" w14:textId="77777777" w:rsidR="00E249A0" w:rsidRPr="00097EB6" w:rsidRDefault="00E249A0" w:rsidP="00E249A0">
      <w:pPr>
        <w:rPr>
          <w:rFonts w:asciiTheme="majorBidi" w:hAnsiTheme="majorBidi" w:cstheme="majorBidi"/>
          <w:sz w:val="22"/>
          <w:szCs w:val="22"/>
          <w:lang w:val="en-GB"/>
        </w:rPr>
      </w:pPr>
    </w:p>
    <w:p w14:paraId="6EF9698B" w14:textId="77777777" w:rsidR="00E249A0" w:rsidRPr="00097EB6" w:rsidRDefault="00E249A0" w:rsidP="00E249A0">
      <w:pPr>
        <w:rPr>
          <w:rFonts w:asciiTheme="majorBidi" w:hAnsiTheme="majorBidi" w:cstheme="majorBidi"/>
          <w:sz w:val="22"/>
          <w:szCs w:val="22"/>
          <w:lang w:val="en-GB"/>
        </w:rPr>
      </w:pPr>
      <w:r w:rsidRPr="00097EB6">
        <w:rPr>
          <w:rFonts w:asciiTheme="majorBidi" w:hAnsiTheme="majorBidi" w:cstheme="majorBidi"/>
          <w:sz w:val="22"/>
          <w:szCs w:val="22"/>
          <w:lang w:val="en-GB"/>
        </w:rPr>
        <w:t>During the call for input made following OEWG3, many stakeholders submitted proposals for additions to the list of referenced treaties. No proposals for deletion were received. The following were suggested additions:</w:t>
      </w:r>
    </w:p>
    <w:p w14:paraId="7152DECC" w14:textId="77777777" w:rsidR="00E249A0" w:rsidRPr="00097EB6" w:rsidRDefault="00E249A0" w:rsidP="00E249A0">
      <w:pPr>
        <w:rPr>
          <w:rFonts w:asciiTheme="majorBidi" w:hAnsiTheme="majorBidi" w:cstheme="majorBidi"/>
          <w:sz w:val="22"/>
          <w:szCs w:val="22"/>
          <w:lang w:val="en-GB"/>
        </w:rPr>
      </w:pPr>
    </w:p>
    <w:p w14:paraId="133A2821" w14:textId="77777777" w:rsidR="00E249A0" w:rsidRPr="00097EB6" w:rsidRDefault="00E249A0" w:rsidP="00E249A0">
      <w:pPr>
        <w:pStyle w:val="ListParagraph"/>
        <w:numPr>
          <w:ilvl w:val="0"/>
          <w:numId w:val="28"/>
        </w:numPr>
        <w:rPr>
          <w:rFonts w:asciiTheme="majorBidi" w:hAnsiTheme="majorBidi" w:cstheme="majorBidi"/>
          <w:sz w:val="22"/>
          <w:szCs w:val="22"/>
          <w:lang w:val="en-GB"/>
        </w:rPr>
      </w:pPr>
      <w:r w:rsidRPr="00097EB6">
        <w:rPr>
          <w:rFonts w:asciiTheme="majorBidi" w:hAnsiTheme="majorBidi" w:cstheme="majorBidi"/>
          <w:sz w:val="22"/>
          <w:szCs w:val="22"/>
          <w:lang w:val="en-GB"/>
        </w:rPr>
        <w:t xml:space="preserve">Guidelines on Highly Hazardous Pesticides (2016) </w:t>
      </w:r>
    </w:p>
    <w:p w14:paraId="392242BF" w14:textId="77777777" w:rsidR="00E249A0" w:rsidRPr="00097EB6" w:rsidRDefault="00E249A0" w:rsidP="00E249A0">
      <w:pPr>
        <w:pStyle w:val="ListParagraph"/>
        <w:numPr>
          <w:ilvl w:val="0"/>
          <w:numId w:val="28"/>
        </w:numPr>
        <w:rPr>
          <w:rFonts w:asciiTheme="majorBidi" w:hAnsiTheme="majorBidi" w:cstheme="majorBidi"/>
          <w:sz w:val="22"/>
          <w:szCs w:val="22"/>
          <w:lang w:val="en-GB"/>
        </w:rPr>
      </w:pPr>
      <w:r w:rsidRPr="00097EB6">
        <w:rPr>
          <w:rFonts w:asciiTheme="majorBidi" w:hAnsiTheme="majorBidi" w:cstheme="majorBidi"/>
          <w:sz w:val="22"/>
          <w:szCs w:val="22"/>
          <w:lang w:val="en-GB"/>
        </w:rPr>
        <w:t xml:space="preserve">Principles of gender equality and the empowerment of women and girls articulated in the 2030 Agenda for Sustainable Development, the Beijing Declaration and Platform for Action (1995) and the Conclusions of the 60thSession of the Commission on the Status of Women (CSW 2016) </w:t>
      </w:r>
    </w:p>
    <w:p w14:paraId="72675B2C" w14:textId="77777777" w:rsidR="00E249A0" w:rsidRPr="00097EB6" w:rsidRDefault="00E249A0" w:rsidP="00E249A0">
      <w:pPr>
        <w:pStyle w:val="ListParagraph"/>
        <w:numPr>
          <w:ilvl w:val="0"/>
          <w:numId w:val="28"/>
        </w:numPr>
        <w:rPr>
          <w:rFonts w:asciiTheme="majorBidi" w:hAnsiTheme="majorBidi" w:cstheme="majorBidi"/>
          <w:sz w:val="22"/>
          <w:szCs w:val="22"/>
          <w:lang w:val="en-GB"/>
        </w:rPr>
      </w:pPr>
      <w:r w:rsidRPr="00097EB6">
        <w:rPr>
          <w:rFonts w:asciiTheme="majorBidi" w:hAnsiTheme="majorBidi" w:cstheme="majorBidi"/>
          <w:sz w:val="22"/>
          <w:szCs w:val="22"/>
          <w:lang w:val="en-GB"/>
        </w:rPr>
        <w:t xml:space="preserve">The International Bill of Human Rights, including the Universal Declaration of Human Rights and the International Covenant on Economic, Social and Cultural Rights </w:t>
      </w:r>
    </w:p>
    <w:p w14:paraId="02219343" w14:textId="77777777" w:rsidR="00E249A0" w:rsidRPr="00097EB6" w:rsidRDefault="00E249A0" w:rsidP="00E249A0">
      <w:pPr>
        <w:pStyle w:val="ListParagraph"/>
        <w:numPr>
          <w:ilvl w:val="0"/>
          <w:numId w:val="28"/>
        </w:numPr>
        <w:rPr>
          <w:rFonts w:asciiTheme="majorBidi" w:hAnsiTheme="majorBidi" w:cstheme="majorBidi"/>
          <w:sz w:val="22"/>
          <w:szCs w:val="22"/>
          <w:lang w:val="en-GB"/>
        </w:rPr>
      </w:pPr>
      <w:r w:rsidRPr="00097EB6">
        <w:rPr>
          <w:rFonts w:asciiTheme="majorBidi" w:hAnsiTheme="majorBidi" w:cstheme="majorBidi"/>
          <w:sz w:val="22"/>
          <w:szCs w:val="22"/>
          <w:lang w:val="en-GB"/>
        </w:rPr>
        <w:t xml:space="preserve">Agenda 21 (1992), </w:t>
      </w:r>
      <w:proofErr w:type="gramStart"/>
      <w:r w:rsidRPr="00097EB6">
        <w:rPr>
          <w:rFonts w:asciiTheme="majorBidi" w:hAnsiTheme="majorBidi" w:cstheme="majorBidi"/>
          <w:sz w:val="22"/>
          <w:szCs w:val="22"/>
          <w:lang w:val="en-GB"/>
        </w:rPr>
        <w:t>in particular chapters</w:t>
      </w:r>
      <w:proofErr w:type="gramEnd"/>
      <w:r w:rsidRPr="00097EB6">
        <w:rPr>
          <w:rFonts w:asciiTheme="majorBidi" w:hAnsiTheme="majorBidi" w:cstheme="majorBidi"/>
          <w:sz w:val="22"/>
          <w:szCs w:val="22"/>
          <w:lang w:val="en-GB"/>
        </w:rPr>
        <w:t xml:space="preserve"> 6, 8, 19 and 20 thereof, and all chapters describing the roles and responsibilities of Major Groups</w:t>
      </w:r>
    </w:p>
    <w:p w14:paraId="5D1B1095" w14:textId="77777777" w:rsidR="00E249A0" w:rsidRPr="00097EB6" w:rsidRDefault="00E249A0" w:rsidP="00E249A0">
      <w:pPr>
        <w:pStyle w:val="ListParagraph"/>
        <w:numPr>
          <w:ilvl w:val="0"/>
          <w:numId w:val="28"/>
        </w:numPr>
        <w:rPr>
          <w:rFonts w:asciiTheme="majorBidi" w:hAnsiTheme="majorBidi" w:cstheme="majorBidi"/>
          <w:sz w:val="22"/>
          <w:szCs w:val="22"/>
          <w:lang w:val="en-GB"/>
        </w:rPr>
      </w:pPr>
      <w:r w:rsidRPr="00097EB6">
        <w:rPr>
          <w:rFonts w:asciiTheme="majorBidi" w:hAnsiTheme="majorBidi" w:cstheme="majorBidi"/>
          <w:sz w:val="22"/>
          <w:szCs w:val="22"/>
          <w:lang w:val="en-GB"/>
        </w:rPr>
        <w:t xml:space="preserve">Convention on the Rights of the Child (1989) </w:t>
      </w:r>
    </w:p>
    <w:p w14:paraId="72581A84" w14:textId="77777777" w:rsidR="00E249A0" w:rsidRPr="00097EB6" w:rsidRDefault="00E249A0" w:rsidP="00E249A0">
      <w:pPr>
        <w:pStyle w:val="ListParagraph"/>
        <w:numPr>
          <w:ilvl w:val="0"/>
          <w:numId w:val="28"/>
        </w:numPr>
        <w:rPr>
          <w:rFonts w:asciiTheme="majorBidi" w:hAnsiTheme="majorBidi" w:cstheme="majorBidi"/>
          <w:sz w:val="22"/>
          <w:szCs w:val="22"/>
          <w:lang w:val="en-GB"/>
        </w:rPr>
      </w:pPr>
      <w:r w:rsidRPr="00097EB6">
        <w:rPr>
          <w:rFonts w:asciiTheme="majorBidi" w:hAnsiTheme="majorBidi" w:cstheme="majorBidi"/>
          <w:sz w:val="22"/>
          <w:szCs w:val="22"/>
          <w:lang w:val="en-GB"/>
        </w:rPr>
        <w:t xml:space="preserve">Convention on the Elimination of all Forms of Discrimination Against Women (CEDAW 1979)  </w:t>
      </w:r>
    </w:p>
    <w:p w14:paraId="38FE2A7F" w14:textId="77777777" w:rsidR="00E249A0" w:rsidRPr="00097EB6" w:rsidRDefault="00E249A0" w:rsidP="00E249A0">
      <w:pPr>
        <w:pStyle w:val="ListParagraph"/>
        <w:numPr>
          <w:ilvl w:val="0"/>
          <w:numId w:val="28"/>
        </w:numPr>
        <w:rPr>
          <w:rFonts w:asciiTheme="majorBidi" w:hAnsiTheme="majorBidi" w:cstheme="majorBidi"/>
          <w:sz w:val="22"/>
          <w:szCs w:val="22"/>
          <w:lang w:val="en-GB"/>
        </w:rPr>
      </w:pPr>
      <w:r w:rsidRPr="00097EB6">
        <w:rPr>
          <w:rFonts w:asciiTheme="majorBidi" w:hAnsiTheme="majorBidi" w:cstheme="majorBidi"/>
          <w:sz w:val="22"/>
          <w:szCs w:val="22"/>
          <w:lang w:val="en-GB"/>
        </w:rPr>
        <w:t xml:space="preserve">Universal Declaration of Human Rights (UDHR) (1948) </w:t>
      </w:r>
    </w:p>
    <w:p w14:paraId="09B11D63" w14:textId="77777777" w:rsidR="00E249A0" w:rsidRPr="00097EB6" w:rsidRDefault="00E249A0" w:rsidP="00E249A0">
      <w:pPr>
        <w:pStyle w:val="ListParagraph"/>
        <w:numPr>
          <w:ilvl w:val="0"/>
          <w:numId w:val="28"/>
        </w:numPr>
        <w:autoSpaceDE w:val="0"/>
        <w:autoSpaceDN w:val="0"/>
        <w:adjustRightInd w:val="0"/>
        <w:rPr>
          <w:rFonts w:asciiTheme="majorBidi" w:hAnsiTheme="majorBidi" w:cstheme="majorBidi"/>
          <w:sz w:val="22"/>
          <w:szCs w:val="22"/>
        </w:rPr>
      </w:pPr>
      <w:r w:rsidRPr="00097EB6">
        <w:rPr>
          <w:rFonts w:asciiTheme="majorBidi" w:hAnsiTheme="majorBidi" w:cstheme="majorBidi"/>
          <w:sz w:val="22"/>
          <w:szCs w:val="22"/>
        </w:rPr>
        <w:t xml:space="preserve">United Nations Declaration on the Rights of Peasants </w:t>
      </w:r>
    </w:p>
    <w:p w14:paraId="6AC10ADF" w14:textId="77777777" w:rsidR="00E249A0" w:rsidRPr="00097EB6" w:rsidRDefault="00E249A0" w:rsidP="00E249A0">
      <w:pPr>
        <w:pStyle w:val="ListParagraph"/>
        <w:numPr>
          <w:ilvl w:val="0"/>
          <w:numId w:val="28"/>
        </w:numPr>
        <w:autoSpaceDE w:val="0"/>
        <w:autoSpaceDN w:val="0"/>
        <w:adjustRightInd w:val="0"/>
        <w:rPr>
          <w:rFonts w:asciiTheme="majorBidi" w:hAnsiTheme="majorBidi" w:cstheme="majorBidi"/>
          <w:sz w:val="22"/>
          <w:szCs w:val="22"/>
        </w:rPr>
      </w:pPr>
      <w:proofErr w:type="spellStart"/>
      <w:r w:rsidRPr="00097EB6">
        <w:rPr>
          <w:rFonts w:asciiTheme="majorBidi" w:hAnsiTheme="majorBidi" w:cstheme="majorBidi"/>
          <w:sz w:val="22"/>
          <w:szCs w:val="22"/>
        </w:rPr>
        <w:t>Escazú</w:t>
      </w:r>
      <w:proofErr w:type="spellEnd"/>
      <w:r w:rsidRPr="00097EB6">
        <w:rPr>
          <w:rFonts w:asciiTheme="majorBidi" w:hAnsiTheme="majorBidi" w:cstheme="majorBidi"/>
          <w:sz w:val="22"/>
          <w:szCs w:val="22"/>
        </w:rPr>
        <w:t xml:space="preserve"> Agreement </w:t>
      </w:r>
    </w:p>
    <w:p w14:paraId="0ACAF7CA" w14:textId="77777777" w:rsidR="00E249A0" w:rsidRPr="00097EB6" w:rsidRDefault="00E249A0" w:rsidP="00E249A0">
      <w:pPr>
        <w:pStyle w:val="ListParagraph"/>
        <w:numPr>
          <w:ilvl w:val="0"/>
          <w:numId w:val="28"/>
        </w:numPr>
        <w:autoSpaceDE w:val="0"/>
        <w:autoSpaceDN w:val="0"/>
        <w:adjustRightInd w:val="0"/>
        <w:rPr>
          <w:rFonts w:asciiTheme="majorBidi" w:hAnsiTheme="majorBidi" w:cstheme="majorBidi"/>
          <w:sz w:val="22"/>
          <w:szCs w:val="22"/>
        </w:rPr>
      </w:pPr>
      <w:r w:rsidRPr="00097EB6">
        <w:rPr>
          <w:rFonts w:asciiTheme="majorBidi" w:hAnsiTheme="majorBidi" w:cstheme="majorBidi"/>
          <w:sz w:val="22"/>
          <w:szCs w:val="22"/>
        </w:rPr>
        <w:t xml:space="preserve">Aarhus Convention </w:t>
      </w:r>
    </w:p>
    <w:p w14:paraId="2790ADA4" w14:textId="77777777" w:rsidR="00E249A0" w:rsidRPr="00097EB6" w:rsidRDefault="00E249A0" w:rsidP="00E249A0">
      <w:pPr>
        <w:pStyle w:val="ListParagraph"/>
        <w:numPr>
          <w:ilvl w:val="0"/>
          <w:numId w:val="28"/>
        </w:numPr>
        <w:autoSpaceDE w:val="0"/>
        <w:autoSpaceDN w:val="0"/>
        <w:adjustRightInd w:val="0"/>
        <w:rPr>
          <w:rFonts w:asciiTheme="majorBidi" w:hAnsiTheme="majorBidi" w:cstheme="majorBidi"/>
          <w:sz w:val="22"/>
          <w:szCs w:val="22"/>
        </w:rPr>
      </w:pPr>
      <w:r w:rsidRPr="00097EB6">
        <w:rPr>
          <w:rFonts w:asciiTheme="majorBidi" w:hAnsiTheme="majorBidi" w:cstheme="majorBidi"/>
          <w:sz w:val="22"/>
          <w:szCs w:val="22"/>
        </w:rPr>
        <w:t xml:space="preserve">Bamako Convention </w:t>
      </w:r>
    </w:p>
    <w:p w14:paraId="74623B53" w14:textId="77777777" w:rsidR="00E249A0" w:rsidRPr="00097EB6" w:rsidRDefault="00E249A0" w:rsidP="00E249A0">
      <w:pPr>
        <w:pStyle w:val="ListParagraph"/>
        <w:numPr>
          <w:ilvl w:val="0"/>
          <w:numId w:val="28"/>
        </w:numPr>
        <w:autoSpaceDE w:val="0"/>
        <w:autoSpaceDN w:val="0"/>
        <w:adjustRightInd w:val="0"/>
        <w:rPr>
          <w:rFonts w:asciiTheme="majorBidi" w:hAnsiTheme="majorBidi" w:cstheme="majorBidi"/>
          <w:sz w:val="22"/>
          <w:szCs w:val="22"/>
        </w:rPr>
      </w:pPr>
      <w:proofErr w:type="spellStart"/>
      <w:r w:rsidRPr="00097EB6">
        <w:rPr>
          <w:rFonts w:asciiTheme="majorBidi" w:hAnsiTheme="majorBidi" w:cstheme="majorBidi"/>
          <w:sz w:val="22"/>
          <w:szCs w:val="22"/>
        </w:rPr>
        <w:t>Waigani</w:t>
      </w:r>
      <w:proofErr w:type="spellEnd"/>
      <w:r w:rsidRPr="00097EB6">
        <w:rPr>
          <w:rFonts w:asciiTheme="majorBidi" w:hAnsiTheme="majorBidi" w:cstheme="majorBidi"/>
          <w:sz w:val="22"/>
          <w:szCs w:val="22"/>
        </w:rPr>
        <w:t xml:space="preserve"> Convention </w:t>
      </w:r>
    </w:p>
    <w:p w14:paraId="778ADBAE" w14:textId="77777777" w:rsidR="00E249A0" w:rsidRPr="00097EB6" w:rsidRDefault="00E249A0" w:rsidP="00E249A0">
      <w:pPr>
        <w:pStyle w:val="ListParagraph"/>
        <w:numPr>
          <w:ilvl w:val="0"/>
          <w:numId w:val="28"/>
        </w:numPr>
        <w:autoSpaceDE w:val="0"/>
        <w:autoSpaceDN w:val="0"/>
        <w:adjustRightInd w:val="0"/>
        <w:rPr>
          <w:rFonts w:asciiTheme="majorBidi" w:hAnsiTheme="majorBidi" w:cstheme="majorBidi"/>
          <w:sz w:val="22"/>
          <w:szCs w:val="22"/>
        </w:rPr>
      </w:pPr>
      <w:r w:rsidRPr="00097EB6">
        <w:rPr>
          <w:rFonts w:asciiTheme="majorBidi" w:hAnsiTheme="majorBidi" w:cstheme="majorBidi"/>
          <w:sz w:val="22"/>
          <w:szCs w:val="22"/>
          <w:lang w:val="en-GB"/>
        </w:rPr>
        <w:t xml:space="preserve">ILO Declaration on Fundamental Principles and Rights at Work (1998) </w:t>
      </w:r>
    </w:p>
    <w:p w14:paraId="251A9E38" w14:textId="77777777" w:rsidR="00E249A0" w:rsidRPr="00097EB6" w:rsidRDefault="00E249A0" w:rsidP="00E249A0">
      <w:pPr>
        <w:pStyle w:val="ListParagraph"/>
        <w:numPr>
          <w:ilvl w:val="0"/>
          <w:numId w:val="28"/>
        </w:numPr>
        <w:autoSpaceDE w:val="0"/>
        <w:autoSpaceDN w:val="0"/>
        <w:adjustRightInd w:val="0"/>
        <w:rPr>
          <w:rFonts w:asciiTheme="majorBidi" w:hAnsiTheme="majorBidi" w:cstheme="majorBidi"/>
          <w:sz w:val="22"/>
          <w:szCs w:val="22"/>
        </w:rPr>
      </w:pPr>
      <w:r w:rsidRPr="00097EB6">
        <w:rPr>
          <w:rFonts w:asciiTheme="majorBidi" w:hAnsiTheme="majorBidi" w:cstheme="majorBidi"/>
          <w:sz w:val="22"/>
          <w:szCs w:val="22"/>
          <w:lang w:val="en-GB"/>
        </w:rPr>
        <w:t xml:space="preserve">ILO Fundamental Conventions </w:t>
      </w:r>
    </w:p>
    <w:p w14:paraId="09349580" w14:textId="77777777" w:rsidR="00E249A0" w:rsidRPr="00097EB6" w:rsidRDefault="00E249A0" w:rsidP="00E249A0">
      <w:pPr>
        <w:pStyle w:val="ListParagraph"/>
        <w:autoSpaceDE w:val="0"/>
        <w:autoSpaceDN w:val="0"/>
        <w:adjustRightInd w:val="0"/>
        <w:rPr>
          <w:rFonts w:asciiTheme="majorBidi" w:hAnsiTheme="majorBidi" w:cstheme="majorBidi"/>
          <w:sz w:val="22"/>
          <w:szCs w:val="22"/>
        </w:rPr>
      </w:pPr>
      <w:r w:rsidRPr="00097EB6">
        <w:rPr>
          <w:rFonts w:asciiTheme="majorBidi" w:hAnsiTheme="majorBidi" w:cstheme="majorBidi"/>
          <w:sz w:val="22"/>
          <w:szCs w:val="22"/>
          <w:lang w:val="en-GB"/>
        </w:rPr>
        <w:t>(Freedom of Association and Protection of the Right to Organize Convention No. 87, Right to Organize and Collective Bargaining Convention No 98, Forced Labour Convention No 29, Abolition of Forced Labour Convention No. 105, Minimum Age Convention No 138, Worst Forms of Child Labour Convention No. 182, Equal Remuneration Convention No 11, Discrimination (Employment and Occupation) Convention No. 111)</w:t>
      </w:r>
      <w:r w:rsidRPr="00097EB6">
        <w:rPr>
          <w:rFonts w:asciiTheme="majorBidi" w:hAnsiTheme="majorBidi" w:cstheme="majorBidi"/>
          <w:sz w:val="22"/>
          <w:szCs w:val="22"/>
        </w:rPr>
        <w:t xml:space="preserve"> </w:t>
      </w:r>
    </w:p>
    <w:p w14:paraId="41580A18" w14:textId="77777777" w:rsidR="00E249A0" w:rsidRPr="00097EB6" w:rsidRDefault="00E249A0" w:rsidP="00E249A0">
      <w:pPr>
        <w:pStyle w:val="ListParagraph"/>
        <w:autoSpaceDE w:val="0"/>
        <w:autoSpaceDN w:val="0"/>
        <w:adjustRightInd w:val="0"/>
        <w:rPr>
          <w:rFonts w:asciiTheme="majorBidi" w:hAnsiTheme="majorBidi" w:cstheme="majorBidi"/>
          <w:sz w:val="22"/>
          <w:szCs w:val="22"/>
        </w:rPr>
      </w:pPr>
    </w:p>
    <w:p w14:paraId="69881634" w14:textId="77777777" w:rsidR="00E249A0" w:rsidRPr="00097EB6" w:rsidRDefault="00E249A0" w:rsidP="00E249A0">
      <w:pPr>
        <w:pStyle w:val="ListParagraph"/>
        <w:numPr>
          <w:ilvl w:val="0"/>
          <w:numId w:val="28"/>
        </w:numPr>
        <w:rPr>
          <w:rFonts w:asciiTheme="majorBidi" w:hAnsiTheme="majorBidi" w:cstheme="majorBidi"/>
          <w:sz w:val="22"/>
          <w:szCs w:val="22"/>
          <w:lang w:val="en-GB"/>
        </w:rPr>
      </w:pPr>
      <w:r w:rsidRPr="00097EB6">
        <w:rPr>
          <w:rFonts w:asciiTheme="majorBidi" w:hAnsiTheme="majorBidi" w:cstheme="majorBidi"/>
          <w:sz w:val="22"/>
          <w:szCs w:val="22"/>
          <w:lang w:val="en-GB"/>
        </w:rPr>
        <w:t>Labour Inspection (Agriculture) Convention, 1969 (No. 129)</w:t>
      </w:r>
    </w:p>
    <w:p w14:paraId="24C8C0C7" w14:textId="77777777" w:rsidR="00E249A0" w:rsidRPr="00097EB6" w:rsidRDefault="00E249A0" w:rsidP="00E249A0">
      <w:pPr>
        <w:pStyle w:val="ListParagraph"/>
        <w:numPr>
          <w:ilvl w:val="0"/>
          <w:numId w:val="28"/>
        </w:numPr>
        <w:rPr>
          <w:rFonts w:asciiTheme="majorBidi" w:hAnsiTheme="majorBidi" w:cstheme="majorBidi"/>
          <w:sz w:val="22"/>
          <w:szCs w:val="22"/>
          <w:lang w:val="en-GB"/>
        </w:rPr>
      </w:pPr>
      <w:r w:rsidRPr="00097EB6">
        <w:rPr>
          <w:rFonts w:asciiTheme="majorBidi" w:hAnsiTheme="majorBidi" w:cstheme="majorBidi"/>
          <w:sz w:val="22"/>
          <w:szCs w:val="22"/>
          <w:lang w:val="en-GB"/>
        </w:rPr>
        <w:t>Benzene Convention, 1971 (No. 136)</w:t>
      </w:r>
    </w:p>
    <w:p w14:paraId="44985DBF" w14:textId="77777777" w:rsidR="00E249A0" w:rsidRPr="00097EB6" w:rsidRDefault="00E249A0" w:rsidP="00E249A0">
      <w:pPr>
        <w:pStyle w:val="ListParagraph"/>
        <w:numPr>
          <w:ilvl w:val="0"/>
          <w:numId w:val="28"/>
        </w:numPr>
        <w:rPr>
          <w:rFonts w:asciiTheme="majorBidi" w:hAnsiTheme="majorBidi" w:cstheme="majorBidi"/>
          <w:sz w:val="22"/>
          <w:szCs w:val="22"/>
          <w:lang w:val="en-GB"/>
        </w:rPr>
      </w:pPr>
      <w:r w:rsidRPr="00097EB6">
        <w:rPr>
          <w:rFonts w:asciiTheme="majorBidi" w:hAnsiTheme="majorBidi" w:cstheme="majorBidi"/>
          <w:sz w:val="22"/>
          <w:szCs w:val="22"/>
          <w:lang w:val="en-GB"/>
        </w:rPr>
        <w:t>Occupational Cancer Convention, 1974 (No. 139)</w:t>
      </w:r>
    </w:p>
    <w:p w14:paraId="24513EDB" w14:textId="77777777" w:rsidR="00E249A0" w:rsidRPr="00097EB6" w:rsidRDefault="00E249A0" w:rsidP="00E249A0">
      <w:pPr>
        <w:pStyle w:val="ListParagraph"/>
        <w:numPr>
          <w:ilvl w:val="0"/>
          <w:numId w:val="28"/>
        </w:numPr>
        <w:rPr>
          <w:rFonts w:asciiTheme="majorBidi" w:hAnsiTheme="majorBidi" w:cstheme="majorBidi"/>
          <w:sz w:val="22"/>
          <w:szCs w:val="22"/>
          <w:lang w:val="en-GB"/>
        </w:rPr>
      </w:pPr>
      <w:r w:rsidRPr="00097EB6">
        <w:rPr>
          <w:rFonts w:asciiTheme="majorBidi" w:hAnsiTheme="majorBidi" w:cstheme="majorBidi"/>
          <w:sz w:val="22"/>
          <w:szCs w:val="22"/>
          <w:lang w:val="en-GB"/>
        </w:rPr>
        <w:t>Working Environment (Air Pollution, Noise and Vibration) Convention, 1977 (No. 148)</w:t>
      </w:r>
    </w:p>
    <w:p w14:paraId="5BE5228F" w14:textId="77777777" w:rsidR="00E249A0" w:rsidRPr="00097EB6" w:rsidRDefault="00E249A0" w:rsidP="00E249A0">
      <w:pPr>
        <w:pStyle w:val="ListParagraph"/>
        <w:numPr>
          <w:ilvl w:val="0"/>
          <w:numId w:val="28"/>
        </w:numPr>
        <w:rPr>
          <w:rFonts w:asciiTheme="majorBidi" w:hAnsiTheme="majorBidi" w:cstheme="majorBidi"/>
          <w:sz w:val="22"/>
          <w:szCs w:val="22"/>
          <w:lang w:val="en-GB"/>
        </w:rPr>
      </w:pPr>
      <w:r w:rsidRPr="00097EB6">
        <w:rPr>
          <w:rFonts w:asciiTheme="majorBidi" w:hAnsiTheme="majorBidi" w:cstheme="majorBidi"/>
          <w:sz w:val="22"/>
          <w:szCs w:val="22"/>
          <w:lang w:val="en-GB"/>
        </w:rPr>
        <w:t>Promotional Framework for Occupational Safety and Health Convention, 1981 (No.187)</w:t>
      </w:r>
    </w:p>
    <w:p w14:paraId="006BC156" w14:textId="77777777" w:rsidR="00E249A0" w:rsidRPr="00097EB6" w:rsidRDefault="00E249A0" w:rsidP="00E249A0">
      <w:pPr>
        <w:pStyle w:val="ListParagraph"/>
        <w:numPr>
          <w:ilvl w:val="0"/>
          <w:numId w:val="28"/>
        </w:numPr>
        <w:rPr>
          <w:rFonts w:asciiTheme="majorBidi" w:hAnsiTheme="majorBidi" w:cstheme="majorBidi"/>
          <w:sz w:val="22"/>
          <w:szCs w:val="22"/>
          <w:lang w:val="en-GB"/>
        </w:rPr>
      </w:pPr>
      <w:r w:rsidRPr="00097EB6">
        <w:rPr>
          <w:rFonts w:asciiTheme="majorBidi" w:hAnsiTheme="majorBidi" w:cstheme="majorBidi"/>
          <w:sz w:val="22"/>
          <w:szCs w:val="22"/>
          <w:lang w:val="en-GB"/>
        </w:rPr>
        <w:t>Asbestos Convention, 1986 (No. 162)</w:t>
      </w:r>
    </w:p>
    <w:p w14:paraId="40E4BD9C" w14:textId="77777777" w:rsidR="00E249A0" w:rsidRPr="00097EB6" w:rsidRDefault="00E249A0" w:rsidP="00E249A0">
      <w:pPr>
        <w:pStyle w:val="ListParagraph"/>
        <w:numPr>
          <w:ilvl w:val="0"/>
          <w:numId w:val="28"/>
        </w:numPr>
        <w:rPr>
          <w:rFonts w:asciiTheme="majorBidi" w:hAnsiTheme="majorBidi" w:cstheme="majorBidi"/>
          <w:sz w:val="22"/>
          <w:szCs w:val="22"/>
          <w:lang w:val="en-GB"/>
        </w:rPr>
      </w:pPr>
      <w:r w:rsidRPr="00097EB6">
        <w:rPr>
          <w:rFonts w:asciiTheme="majorBidi" w:hAnsiTheme="majorBidi" w:cstheme="majorBidi"/>
          <w:sz w:val="22"/>
          <w:szCs w:val="22"/>
          <w:lang w:val="en-GB"/>
        </w:rPr>
        <w:t>Safety and Health in Construction Convention, 1988 (No. 167)</w:t>
      </w:r>
    </w:p>
    <w:p w14:paraId="224ADA73" w14:textId="77777777" w:rsidR="00E249A0" w:rsidRPr="00097EB6" w:rsidRDefault="00E249A0" w:rsidP="00E249A0">
      <w:pPr>
        <w:pStyle w:val="ListParagraph"/>
        <w:numPr>
          <w:ilvl w:val="0"/>
          <w:numId w:val="28"/>
        </w:numPr>
        <w:rPr>
          <w:rFonts w:asciiTheme="majorBidi" w:hAnsiTheme="majorBidi" w:cstheme="majorBidi"/>
          <w:sz w:val="22"/>
          <w:szCs w:val="22"/>
          <w:lang w:val="en-GB"/>
        </w:rPr>
      </w:pPr>
      <w:r w:rsidRPr="00097EB6">
        <w:rPr>
          <w:rFonts w:asciiTheme="majorBidi" w:hAnsiTheme="majorBidi" w:cstheme="majorBidi"/>
          <w:sz w:val="22"/>
          <w:szCs w:val="22"/>
          <w:lang w:val="en-GB"/>
        </w:rPr>
        <w:t xml:space="preserve">Chemicals Convention, 1990 (No. 170) </w:t>
      </w:r>
    </w:p>
    <w:p w14:paraId="2CAB2560" w14:textId="77777777" w:rsidR="00E249A0" w:rsidRPr="00097EB6" w:rsidRDefault="00E249A0" w:rsidP="00E249A0">
      <w:pPr>
        <w:pStyle w:val="ListParagraph"/>
        <w:numPr>
          <w:ilvl w:val="0"/>
          <w:numId w:val="28"/>
        </w:numPr>
        <w:rPr>
          <w:rFonts w:asciiTheme="majorBidi" w:hAnsiTheme="majorBidi" w:cstheme="majorBidi"/>
          <w:sz w:val="22"/>
          <w:szCs w:val="22"/>
          <w:lang w:val="en-GB"/>
        </w:rPr>
      </w:pPr>
      <w:r w:rsidRPr="00097EB6">
        <w:rPr>
          <w:rFonts w:asciiTheme="majorBidi" w:hAnsiTheme="majorBidi" w:cstheme="majorBidi"/>
          <w:sz w:val="22"/>
          <w:szCs w:val="22"/>
          <w:lang w:val="en-GB"/>
        </w:rPr>
        <w:t>Prevention of Major Industrial Accidents Convention, 1993 (No. 174)</w:t>
      </w:r>
    </w:p>
    <w:p w14:paraId="3CC5A52C" w14:textId="77777777" w:rsidR="00E249A0" w:rsidRPr="00097EB6" w:rsidRDefault="00E249A0" w:rsidP="00E249A0">
      <w:pPr>
        <w:pStyle w:val="ListParagraph"/>
        <w:numPr>
          <w:ilvl w:val="0"/>
          <w:numId w:val="28"/>
        </w:numPr>
        <w:rPr>
          <w:rFonts w:asciiTheme="majorBidi" w:hAnsiTheme="majorBidi" w:cstheme="majorBidi"/>
          <w:sz w:val="22"/>
          <w:szCs w:val="22"/>
          <w:lang w:val="en-GB"/>
        </w:rPr>
      </w:pPr>
      <w:r w:rsidRPr="00097EB6">
        <w:rPr>
          <w:rFonts w:asciiTheme="majorBidi" w:hAnsiTheme="majorBidi" w:cstheme="majorBidi"/>
          <w:sz w:val="22"/>
          <w:szCs w:val="22"/>
          <w:lang w:val="en-GB"/>
        </w:rPr>
        <w:t>Safety and Health in Mines Convention, 1995 (No. 176)</w:t>
      </w:r>
    </w:p>
    <w:p w14:paraId="055E65E6" w14:textId="77777777" w:rsidR="00E249A0" w:rsidRPr="00097EB6" w:rsidRDefault="00E249A0" w:rsidP="00E249A0">
      <w:pPr>
        <w:pStyle w:val="ListParagraph"/>
        <w:numPr>
          <w:ilvl w:val="0"/>
          <w:numId w:val="28"/>
        </w:numPr>
        <w:rPr>
          <w:rFonts w:asciiTheme="majorBidi" w:hAnsiTheme="majorBidi" w:cstheme="majorBidi"/>
          <w:sz w:val="22"/>
          <w:szCs w:val="22"/>
          <w:lang w:val="en-GB"/>
        </w:rPr>
      </w:pPr>
      <w:r w:rsidRPr="00097EB6">
        <w:rPr>
          <w:rFonts w:asciiTheme="majorBidi" w:hAnsiTheme="majorBidi" w:cstheme="majorBidi"/>
          <w:sz w:val="22"/>
          <w:szCs w:val="22"/>
          <w:lang w:val="en-GB"/>
        </w:rPr>
        <w:t>Safety and Health in Agriculture Convention, 2001 (No. 184)</w:t>
      </w:r>
    </w:p>
    <w:p w14:paraId="1177E506" w14:textId="77777777" w:rsidR="00E249A0" w:rsidRPr="00097EB6" w:rsidRDefault="00E249A0" w:rsidP="00E249A0">
      <w:pPr>
        <w:pStyle w:val="ListParagraph"/>
        <w:numPr>
          <w:ilvl w:val="0"/>
          <w:numId w:val="28"/>
        </w:numPr>
        <w:rPr>
          <w:rFonts w:asciiTheme="majorBidi" w:hAnsiTheme="majorBidi" w:cstheme="majorBidi"/>
          <w:sz w:val="22"/>
          <w:szCs w:val="22"/>
          <w:lang w:val="en-GB"/>
        </w:rPr>
      </w:pPr>
      <w:r w:rsidRPr="00097EB6">
        <w:rPr>
          <w:rFonts w:asciiTheme="majorBidi" w:hAnsiTheme="majorBidi" w:cstheme="majorBidi"/>
          <w:sz w:val="22"/>
          <w:szCs w:val="22"/>
          <w:lang w:val="en-GB"/>
        </w:rPr>
        <w:t xml:space="preserve">ILO List of Occupational Diseases, Recommendation, 2010 (No. 194).  </w:t>
      </w:r>
    </w:p>
    <w:p w14:paraId="3F99E10F" w14:textId="77777777" w:rsidR="00E249A0" w:rsidRPr="00097EB6" w:rsidRDefault="00E249A0" w:rsidP="00E249A0">
      <w:pPr>
        <w:pStyle w:val="ListParagraph"/>
        <w:numPr>
          <w:ilvl w:val="0"/>
          <w:numId w:val="28"/>
        </w:numPr>
        <w:rPr>
          <w:rFonts w:asciiTheme="majorBidi" w:hAnsiTheme="majorBidi" w:cstheme="majorBidi"/>
          <w:sz w:val="22"/>
          <w:szCs w:val="22"/>
          <w:lang w:val="en-GB"/>
        </w:rPr>
      </w:pPr>
      <w:r w:rsidRPr="00097EB6">
        <w:rPr>
          <w:rFonts w:asciiTheme="majorBidi" w:hAnsiTheme="majorBidi" w:cstheme="majorBidi"/>
          <w:sz w:val="22"/>
          <w:szCs w:val="22"/>
          <w:lang w:val="en-GB"/>
        </w:rPr>
        <w:t>R097 - Protection of Workers' Health Recommendation, 1953 (No. 97), Section I.3-I.6 inclusive, and Section III</w:t>
      </w:r>
    </w:p>
    <w:p w14:paraId="0D5BDA0A" w14:textId="77777777" w:rsidR="00E249A0" w:rsidRPr="00097EB6" w:rsidRDefault="00E249A0" w:rsidP="00E249A0">
      <w:pPr>
        <w:rPr>
          <w:rFonts w:asciiTheme="majorBidi" w:hAnsiTheme="majorBidi" w:cstheme="majorBidi"/>
          <w:sz w:val="22"/>
          <w:szCs w:val="22"/>
          <w:lang w:val="en-GB"/>
        </w:rPr>
      </w:pPr>
    </w:p>
    <w:p w14:paraId="17C86017" w14:textId="77777777" w:rsidR="00E249A0" w:rsidRPr="00E249A0" w:rsidRDefault="00E249A0" w:rsidP="00E249A0">
      <w:pPr>
        <w:rPr>
          <w:rFonts w:asciiTheme="majorBidi" w:hAnsiTheme="majorBidi" w:cstheme="majorBidi"/>
          <w:sz w:val="22"/>
          <w:szCs w:val="22"/>
          <w:lang w:val="en-GB"/>
        </w:rPr>
      </w:pPr>
      <w:r w:rsidRPr="00097EB6">
        <w:rPr>
          <w:rFonts w:asciiTheme="majorBidi" w:hAnsiTheme="majorBidi" w:cstheme="majorBidi"/>
          <w:sz w:val="22"/>
          <w:szCs w:val="22"/>
          <w:lang w:val="en-GB"/>
        </w:rPr>
        <w:t>These additions have not been inserted into the text proposed in Section I at this stage.</w:t>
      </w:r>
      <w:r w:rsidRPr="00E249A0">
        <w:rPr>
          <w:rFonts w:asciiTheme="majorBidi" w:hAnsiTheme="majorBidi" w:cstheme="majorBidi"/>
          <w:sz w:val="22"/>
          <w:szCs w:val="22"/>
          <w:lang w:val="en-GB"/>
        </w:rPr>
        <w:t xml:space="preserve"> </w:t>
      </w:r>
    </w:p>
    <w:p w14:paraId="375DE7FE" w14:textId="525B0B21" w:rsidR="007B0BAF" w:rsidRDefault="007B0BAF">
      <w:pPr>
        <w:rPr>
          <w:rFonts w:asciiTheme="majorBidi" w:hAnsiTheme="majorBidi" w:cstheme="majorBidi"/>
          <w:bCs/>
          <w:sz w:val="22"/>
          <w:szCs w:val="22"/>
          <w:lang w:val="en-GB"/>
        </w:rPr>
      </w:pPr>
    </w:p>
    <w:p w14:paraId="09C6CF54" w14:textId="05426CBF" w:rsidR="004F7F90" w:rsidRPr="00E249A0" w:rsidRDefault="004F7F90" w:rsidP="00A252F4">
      <w:pPr>
        <w:jc w:val="center"/>
        <w:rPr>
          <w:rFonts w:asciiTheme="majorBidi" w:hAnsiTheme="majorBidi" w:cstheme="majorBidi"/>
          <w:bCs/>
          <w:sz w:val="22"/>
          <w:szCs w:val="22"/>
          <w:lang w:val="en-GB"/>
        </w:rPr>
      </w:pPr>
      <w:r>
        <w:rPr>
          <w:rFonts w:asciiTheme="majorBidi" w:hAnsiTheme="majorBidi" w:cstheme="majorBidi"/>
          <w:bCs/>
          <w:sz w:val="22"/>
          <w:szCs w:val="22"/>
          <w:lang w:val="en-GB"/>
        </w:rPr>
        <w:t>___________________</w:t>
      </w:r>
    </w:p>
    <w:sectPr w:rsidR="004F7F90" w:rsidRPr="00E249A0" w:rsidSect="00B2796B">
      <w:headerReference w:type="even" r:id="rId11"/>
      <w:headerReference w:type="default" r:id="rId12"/>
      <w:footerReference w:type="even" r:id="rId13"/>
      <w:footerReference w:type="default" r:id="rId14"/>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2411A" w14:textId="77777777" w:rsidR="00876E4D" w:rsidRDefault="00876E4D" w:rsidP="00BC5218">
      <w:r>
        <w:separator/>
      </w:r>
    </w:p>
  </w:endnote>
  <w:endnote w:type="continuationSeparator" w:id="0">
    <w:p w14:paraId="09626524" w14:textId="77777777" w:rsidR="00876E4D" w:rsidRDefault="00876E4D" w:rsidP="00BC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0586927"/>
      <w:docPartObj>
        <w:docPartGallery w:val="Page Numbers (Bottom of Page)"/>
        <w:docPartUnique/>
      </w:docPartObj>
    </w:sdtPr>
    <w:sdtEndPr>
      <w:rPr>
        <w:rFonts w:asciiTheme="majorBidi" w:hAnsiTheme="majorBidi" w:cstheme="majorBidi"/>
        <w:noProof/>
        <w:sz w:val="20"/>
        <w:szCs w:val="20"/>
      </w:rPr>
    </w:sdtEndPr>
    <w:sdtContent>
      <w:p w14:paraId="5033217A" w14:textId="6D689D1D" w:rsidR="00795CC7" w:rsidRPr="00E66623" w:rsidRDefault="00795CC7" w:rsidP="00E66623">
        <w:pPr>
          <w:pStyle w:val="Footer"/>
          <w:rPr>
            <w:rFonts w:asciiTheme="majorBidi" w:hAnsiTheme="majorBidi" w:cstheme="majorBidi"/>
            <w:sz w:val="20"/>
            <w:szCs w:val="20"/>
          </w:rPr>
        </w:pPr>
        <w:r w:rsidRPr="00E66623">
          <w:rPr>
            <w:rFonts w:asciiTheme="majorBidi" w:hAnsiTheme="majorBidi" w:cstheme="majorBidi"/>
            <w:sz w:val="20"/>
            <w:szCs w:val="20"/>
          </w:rPr>
          <w:fldChar w:fldCharType="begin"/>
        </w:r>
        <w:r w:rsidRPr="00E66623">
          <w:rPr>
            <w:rFonts w:asciiTheme="majorBidi" w:hAnsiTheme="majorBidi" w:cstheme="majorBidi"/>
            <w:sz w:val="20"/>
            <w:szCs w:val="20"/>
          </w:rPr>
          <w:instrText xml:space="preserve"> PAGE   \* MERGEFORMAT </w:instrText>
        </w:r>
        <w:r w:rsidRPr="00E66623">
          <w:rPr>
            <w:rFonts w:asciiTheme="majorBidi" w:hAnsiTheme="majorBidi" w:cstheme="majorBidi"/>
            <w:sz w:val="20"/>
            <w:szCs w:val="20"/>
          </w:rPr>
          <w:fldChar w:fldCharType="separate"/>
        </w:r>
        <w:r w:rsidRPr="00E66623">
          <w:rPr>
            <w:rFonts w:asciiTheme="majorBidi" w:hAnsiTheme="majorBidi" w:cstheme="majorBidi"/>
            <w:noProof/>
            <w:sz w:val="20"/>
            <w:szCs w:val="20"/>
          </w:rPr>
          <w:t>2</w:t>
        </w:r>
        <w:r w:rsidRPr="00E66623">
          <w:rPr>
            <w:rFonts w:asciiTheme="majorBidi" w:hAnsiTheme="majorBidi" w:cstheme="majorBidi"/>
            <w:noProof/>
            <w:sz w:val="20"/>
            <w:szCs w:val="20"/>
          </w:rPr>
          <w:fldChar w:fldCharType="end"/>
        </w:r>
      </w:p>
    </w:sdtContent>
  </w:sdt>
  <w:p w14:paraId="06A8B376" w14:textId="77777777" w:rsidR="00795CC7" w:rsidRDefault="00795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2467764"/>
      <w:docPartObj>
        <w:docPartGallery w:val="Page Numbers (Bottom of Page)"/>
        <w:docPartUnique/>
      </w:docPartObj>
    </w:sdtPr>
    <w:sdtEndPr>
      <w:rPr>
        <w:rFonts w:asciiTheme="majorBidi" w:hAnsiTheme="majorBidi" w:cstheme="majorBidi"/>
        <w:noProof/>
        <w:sz w:val="20"/>
        <w:szCs w:val="20"/>
      </w:rPr>
    </w:sdtEndPr>
    <w:sdtContent>
      <w:p w14:paraId="5B9E1720" w14:textId="624DF6CB" w:rsidR="007374B1" w:rsidRPr="00E66623" w:rsidRDefault="007374B1" w:rsidP="00E66623">
        <w:pPr>
          <w:pStyle w:val="Footer"/>
          <w:jc w:val="right"/>
          <w:rPr>
            <w:rFonts w:asciiTheme="majorBidi" w:hAnsiTheme="majorBidi" w:cstheme="majorBidi"/>
            <w:sz w:val="20"/>
            <w:szCs w:val="20"/>
          </w:rPr>
        </w:pPr>
        <w:r w:rsidRPr="00E66623">
          <w:rPr>
            <w:rFonts w:asciiTheme="majorBidi" w:hAnsiTheme="majorBidi" w:cstheme="majorBidi"/>
            <w:sz w:val="20"/>
            <w:szCs w:val="20"/>
          </w:rPr>
          <w:fldChar w:fldCharType="begin"/>
        </w:r>
        <w:r w:rsidRPr="00E66623">
          <w:rPr>
            <w:rFonts w:asciiTheme="majorBidi" w:hAnsiTheme="majorBidi" w:cstheme="majorBidi"/>
            <w:sz w:val="20"/>
            <w:szCs w:val="20"/>
          </w:rPr>
          <w:instrText xml:space="preserve"> PAGE   \* MERGEFORMAT </w:instrText>
        </w:r>
        <w:r w:rsidRPr="00E66623">
          <w:rPr>
            <w:rFonts w:asciiTheme="majorBidi" w:hAnsiTheme="majorBidi" w:cstheme="majorBidi"/>
            <w:sz w:val="20"/>
            <w:szCs w:val="20"/>
          </w:rPr>
          <w:fldChar w:fldCharType="separate"/>
        </w:r>
        <w:r w:rsidRPr="00E66623">
          <w:rPr>
            <w:rFonts w:asciiTheme="majorBidi" w:hAnsiTheme="majorBidi" w:cstheme="majorBidi"/>
            <w:noProof/>
            <w:sz w:val="20"/>
            <w:szCs w:val="20"/>
          </w:rPr>
          <w:t>2</w:t>
        </w:r>
        <w:r w:rsidRPr="00E66623">
          <w:rPr>
            <w:rFonts w:asciiTheme="majorBidi" w:hAnsiTheme="majorBidi" w:cstheme="majorBidi"/>
            <w:noProof/>
            <w:sz w:val="20"/>
            <w:szCs w:val="20"/>
          </w:rPr>
          <w:fldChar w:fldCharType="end"/>
        </w:r>
      </w:p>
    </w:sdtContent>
  </w:sdt>
  <w:p w14:paraId="577DAD37" w14:textId="77777777" w:rsidR="007374B1" w:rsidRDefault="00737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D08BA" w14:textId="77777777" w:rsidR="00876E4D" w:rsidRDefault="00876E4D" w:rsidP="00BC5218">
      <w:r>
        <w:separator/>
      </w:r>
    </w:p>
  </w:footnote>
  <w:footnote w:type="continuationSeparator" w:id="0">
    <w:p w14:paraId="6572FC54" w14:textId="77777777" w:rsidR="00876E4D" w:rsidRDefault="00876E4D" w:rsidP="00BC5218">
      <w:r>
        <w:continuationSeparator/>
      </w:r>
    </w:p>
  </w:footnote>
  <w:footnote w:id="1">
    <w:p w14:paraId="24F181B3" w14:textId="00FCBF6A" w:rsidR="00CF5C18" w:rsidRPr="00A252F4" w:rsidRDefault="00CF5C18">
      <w:pPr>
        <w:pStyle w:val="FootnoteText"/>
      </w:pPr>
      <w:r>
        <w:rPr>
          <w:rStyle w:val="FootnoteReference"/>
        </w:rPr>
        <w:footnoteRef/>
      </w:r>
      <w:r>
        <w:t xml:space="preserve"> </w:t>
      </w:r>
      <w:r w:rsidRPr="0032459A">
        <w:rPr>
          <w:rFonts w:ascii="Times New Roman" w:hAnsi="Times New Roman" w:cs="Times New Roman"/>
          <w:sz w:val="18"/>
          <w:szCs w:val="18"/>
        </w:rPr>
        <w:t>SAICM/IP.3/1</w:t>
      </w:r>
    </w:p>
  </w:footnote>
  <w:footnote w:id="2">
    <w:p w14:paraId="7D1B1D81" w14:textId="77777777" w:rsidR="00E249A0" w:rsidRPr="00E249A0" w:rsidRDefault="00E249A0" w:rsidP="00E249A0">
      <w:pPr>
        <w:pStyle w:val="FootnoteText"/>
        <w:rPr>
          <w:rFonts w:asciiTheme="majorBidi" w:hAnsiTheme="majorBidi" w:cstheme="majorBidi"/>
        </w:rPr>
      </w:pPr>
      <w:r w:rsidRPr="00E249A0">
        <w:rPr>
          <w:rStyle w:val="FootnoteReference"/>
          <w:rFonts w:asciiTheme="majorBidi" w:hAnsiTheme="majorBidi" w:cstheme="majorBidi"/>
        </w:rPr>
        <w:footnoteRef/>
      </w:r>
      <w:r w:rsidRPr="00E249A0">
        <w:rPr>
          <w:rFonts w:asciiTheme="majorBidi" w:hAnsiTheme="majorBidi" w:cstheme="majorBidi"/>
        </w:rPr>
        <w:t xml:space="preserve"> The text was set out in SAICM/OEWG.3/4 - Paper by the Co-Chairs of the intersessional process on the Strategic Approach to International Chemicals Management and the sound management of chemicals and waste beyond 2020.  The text was generated from the SAICM Overarching Policy Strategy and includes other proposed by the co-chairs following consultations with stakeholders.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AEF93" w14:textId="6B08CF80" w:rsidR="00B2796B" w:rsidRDefault="009D5991">
    <w:pPr>
      <w:pStyle w:val="Header"/>
    </w:pPr>
    <w:r w:rsidRPr="00817538">
      <w:rPr>
        <w:rFonts w:ascii="Times New Roman" w:hAnsi="Times New Roman"/>
        <w:b/>
        <w:sz w:val="20"/>
        <w:szCs w:val="20"/>
      </w:rPr>
      <w:t>SAICM</w:t>
    </w:r>
    <w:r w:rsidRPr="00817538">
      <w:rPr>
        <w:rFonts w:ascii="Times New Roman" w:hAnsi="Times New Roman"/>
        <w:sz w:val="20"/>
        <w:szCs w:val="20"/>
      </w:rPr>
      <w:t>/</w:t>
    </w:r>
    <w:r>
      <w:rPr>
        <w:rFonts w:ascii="Times New Roman" w:hAnsi="Times New Roman"/>
        <w:sz w:val="20"/>
        <w:szCs w:val="20"/>
      </w:rPr>
      <w:t>IP.3</w:t>
    </w:r>
    <w:r w:rsidRPr="00817538">
      <w:rPr>
        <w:rFonts w:ascii="Times New Roman" w:hAnsi="Times New Roman"/>
        <w:sz w:val="20"/>
        <w:szCs w:val="20"/>
      </w:rPr>
      <w:t>/</w:t>
    </w:r>
    <w:r w:rsidR="00B2796B">
      <w:rPr>
        <w:noProof/>
      </w:rPr>
      <mc:AlternateContent>
        <mc:Choice Requires="wps">
          <w:drawing>
            <wp:anchor distT="0" distB="0" distL="114300" distR="114300" simplePos="0" relativeHeight="251659264" behindDoc="0" locked="0" layoutInCell="1" allowOverlap="1" wp14:anchorId="1221CA05" wp14:editId="33A13ACE">
              <wp:simplePos x="0" y="0"/>
              <wp:positionH relativeFrom="margin">
                <wp:align>right</wp:align>
              </wp:positionH>
              <wp:positionV relativeFrom="paragraph">
                <wp:posOffset>170625</wp:posOffset>
              </wp:positionV>
              <wp:extent cx="572523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252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B5DD93" id="Straight Connector 1"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399.6pt,13.45pt" to="850.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" strokecolor="black [3200]" strokeweight=".5pt">
              <v:stroke joinstyle="miter"/>
              <w10:wrap anchorx="margin"/>
            </v:line>
          </w:pict>
        </mc:Fallback>
      </mc:AlternateContent>
    </w:r>
    <w:r w:rsidR="00004F49">
      <w:rPr>
        <w:rFonts w:ascii="Times New Roman" w:hAnsi="Times New Roman"/>
        <w:sz w:val="20"/>
        <w:szCs w:val="20"/>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C02E8" w14:textId="36929D59" w:rsidR="00B2796B" w:rsidRDefault="009D5991" w:rsidP="009D5991">
    <w:pPr>
      <w:pStyle w:val="Header"/>
      <w:jc w:val="right"/>
    </w:pPr>
    <w:r w:rsidRPr="00817538">
      <w:rPr>
        <w:rFonts w:ascii="Times New Roman" w:hAnsi="Times New Roman"/>
        <w:b/>
        <w:sz w:val="20"/>
        <w:szCs w:val="20"/>
      </w:rPr>
      <w:t>SAICM</w:t>
    </w:r>
    <w:r w:rsidRPr="00817538">
      <w:rPr>
        <w:rFonts w:ascii="Times New Roman" w:hAnsi="Times New Roman"/>
        <w:sz w:val="20"/>
        <w:szCs w:val="20"/>
      </w:rPr>
      <w:t>/</w:t>
    </w:r>
    <w:r>
      <w:rPr>
        <w:rFonts w:ascii="Times New Roman" w:hAnsi="Times New Roman"/>
        <w:sz w:val="20"/>
        <w:szCs w:val="20"/>
      </w:rPr>
      <w:t>IP.3</w:t>
    </w:r>
    <w:r w:rsidR="00B2796B">
      <w:rPr>
        <w:noProof/>
      </w:rPr>
      <mc:AlternateContent>
        <mc:Choice Requires="wps">
          <w:drawing>
            <wp:anchor distT="0" distB="0" distL="114300" distR="114300" simplePos="0" relativeHeight="251661312" behindDoc="0" locked="0" layoutInCell="1" allowOverlap="1" wp14:anchorId="1319965C" wp14:editId="5139D1B2">
              <wp:simplePos x="0" y="0"/>
              <wp:positionH relativeFrom="margin">
                <wp:align>right</wp:align>
              </wp:positionH>
              <wp:positionV relativeFrom="paragraph">
                <wp:posOffset>176994</wp:posOffset>
              </wp:positionV>
              <wp:extent cx="572523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252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9EC9BF" id="Straight Connector 2" o:spid="_x0000_s1026" style="position:absolute;z-index:251661312;visibility:visible;mso-wrap-style:square;mso-wrap-distance-left:9pt;mso-wrap-distance-top:0;mso-wrap-distance-right:9pt;mso-wrap-distance-bottom:0;mso-position-horizontal:right;mso-position-horizontal-relative:margin;mso-position-vertical:absolute;mso-position-vertical-relative:text" from="399.6pt,13.95pt" to="850.4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" strokecolor="black [3200]" strokeweight=".5pt">
              <v:stroke joinstyle="miter"/>
              <w10:wrap anchorx="margin"/>
            </v:line>
          </w:pict>
        </mc:Fallback>
      </mc:AlternateContent>
    </w:r>
    <w:r w:rsidR="00373861">
      <w:rPr>
        <w:rFonts w:ascii="Times New Roman" w:hAnsi="Times New Roman"/>
        <w:sz w:val="20"/>
        <w:szCs w:val="20"/>
      </w:rPr>
      <w:t>/</w:t>
    </w:r>
    <w:r w:rsidR="00004F49">
      <w:rPr>
        <w:rFonts w:ascii="Times New Roman" w:hAnsi="Times New Roman"/>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0CFA"/>
    <w:multiLevelType w:val="multilevel"/>
    <w:tmpl w:val="09C8A7DC"/>
    <w:lvl w:ilvl="0">
      <w:start w:val="1"/>
      <w:numFmt w:val="lowerLetter"/>
      <w:lvlText w:val="(%1)"/>
      <w:lvlJc w:val="left"/>
      <w:pPr>
        <w:tabs>
          <w:tab w:val="num" w:pos="607"/>
        </w:tabs>
        <w:ind w:left="720" w:firstLine="0"/>
      </w:pPr>
      <w:rPr>
        <w:rFonts w:hint="default"/>
      </w:rPr>
    </w:lvl>
    <w:lvl w:ilvl="1">
      <w:start w:val="1"/>
      <w:numFmt w:val="lowerLetter"/>
      <w:lvlText w:val="(%2)"/>
      <w:lvlJc w:val="left"/>
      <w:pPr>
        <w:tabs>
          <w:tab w:val="num" w:pos="607"/>
        </w:tabs>
        <w:ind w:left="720" w:firstLine="567"/>
      </w:pPr>
      <w:rPr>
        <w:rFonts w:hint="default"/>
      </w:rPr>
    </w:lvl>
    <w:lvl w:ilvl="2">
      <w:start w:val="1"/>
      <w:numFmt w:val="lowerRoman"/>
      <w:lvlText w:val="(%3)"/>
      <w:lvlJc w:val="left"/>
      <w:pPr>
        <w:tabs>
          <w:tab w:val="num" w:pos="607"/>
        </w:tabs>
        <w:ind w:left="2421" w:hanging="567"/>
      </w:pPr>
      <w:rPr>
        <w:rFonts w:hint="default"/>
      </w:rPr>
    </w:lvl>
    <w:lvl w:ilvl="3">
      <w:start w:val="1"/>
      <w:numFmt w:val="lowerLetter"/>
      <w:lvlText w:val="%4."/>
      <w:lvlJc w:val="left"/>
      <w:pPr>
        <w:tabs>
          <w:tab w:val="num" w:pos="607"/>
        </w:tabs>
        <w:ind w:left="2988" w:hanging="567"/>
      </w:pPr>
      <w:rPr>
        <w:rFonts w:hint="default"/>
      </w:rPr>
    </w:lvl>
    <w:lvl w:ilvl="4">
      <w:start w:val="1"/>
      <w:numFmt w:val="lowerRoman"/>
      <w:lvlText w:val="%5."/>
      <w:lvlJc w:val="left"/>
      <w:pPr>
        <w:tabs>
          <w:tab w:val="num" w:pos="607"/>
        </w:tabs>
        <w:ind w:left="3555" w:hanging="567"/>
      </w:pPr>
      <w:rPr>
        <w:rFonts w:hint="default"/>
      </w:rPr>
    </w:lvl>
    <w:lvl w:ilvl="5">
      <w:start w:val="1"/>
      <w:numFmt w:val="lowerRoman"/>
      <w:lvlText w:val="%6."/>
      <w:lvlJc w:val="right"/>
      <w:pPr>
        <w:tabs>
          <w:tab w:val="num" w:pos="7308"/>
        </w:tabs>
        <w:ind w:left="7308" w:hanging="180"/>
      </w:pPr>
      <w:rPr>
        <w:rFonts w:hint="default"/>
      </w:rPr>
    </w:lvl>
    <w:lvl w:ilvl="6">
      <w:start w:val="1"/>
      <w:numFmt w:val="decimal"/>
      <w:lvlText w:val="%7."/>
      <w:lvlJc w:val="left"/>
      <w:pPr>
        <w:tabs>
          <w:tab w:val="num" w:pos="8028"/>
        </w:tabs>
        <w:ind w:left="8028" w:hanging="360"/>
      </w:pPr>
      <w:rPr>
        <w:rFonts w:hint="default"/>
      </w:rPr>
    </w:lvl>
    <w:lvl w:ilvl="7">
      <w:start w:val="1"/>
      <w:numFmt w:val="lowerLetter"/>
      <w:lvlText w:val="%8."/>
      <w:lvlJc w:val="left"/>
      <w:pPr>
        <w:tabs>
          <w:tab w:val="num" w:pos="8748"/>
        </w:tabs>
        <w:ind w:left="8748" w:hanging="360"/>
      </w:pPr>
      <w:rPr>
        <w:rFonts w:hint="default"/>
      </w:rPr>
    </w:lvl>
    <w:lvl w:ilvl="8">
      <w:start w:val="1"/>
      <w:numFmt w:val="lowerRoman"/>
      <w:lvlText w:val="%9."/>
      <w:lvlJc w:val="right"/>
      <w:pPr>
        <w:tabs>
          <w:tab w:val="num" w:pos="9468"/>
        </w:tabs>
        <w:ind w:left="9468" w:hanging="180"/>
      </w:pPr>
      <w:rPr>
        <w:rFonts w:hint="default"/>
      </w:rPr>
    </w:lvl>
  </w:abstractNum>
  <w:abstractNum w:abstractNumId="1" w15:restartNumberingAfterBreak="0">
    <w:nsid w:val="08280CC7"/>
    <w:multiLevelType w:val="hybridMultilevel"/>
    <w:tmpl w:val="0066C6F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9D64D5"/>
    <w:multiLevelType w:val="multilevel"/>
    <w:tmpl w:val="158285B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A102C4"/>
    <w:multiLevelType w:val="hybridMultilevel"/>
    <w:tmpl w:val="4CAA6BA4"/>
    <w:lvl w:ilvl="0" w:tplc="CB6C7948">
      <w:start w:val="1"/>
      <w:numFmt w:val="decimal"/>
      <w:lvlText w:val="%1."/>
      <w:lvlJc w:val="left"/>
      <w:pPr>
        <w:ind w:left="1607" w:hanging="360"/>
      </w:pPr>
      <w:rPr>
        <w:rFonts w:ascii="Times New Roman" w:eastAsia="Times New Roman" w:hAnsi="Times New Roman" w:cs="Times New Roman"/>
        <w:b w:val="0"/>
        <w:bCs w:val="0"/>
      </w:rPr>
    </w:lvl>
    <w:lvl w:ilvl="1" w:tplc="04090019">
      <w:start w:val="1"/>
      <w:numFmt w:val="lowerLetter"/>
      <w:lvlText w:val="%2."/>
      <w:lvlJc w:val="left"/>
      <w:pPr>
        <w:ind w:left="2327" w:hanging="360"/>
      </w:pPr>
    </w:lvl>
    <w:lvl w:ilvl="2" w:tplc="0409001B">
      <w:start w:val="1"/>
      <w:numFmt w:val="lowerRoman"/>
      <w:lvlText w:val="%3."/>
      <w:lvlJc w:val="right"/>
      <w:pPr>
        <w:ind w:left="3047" w:hanging="180"/>
      </w:pPr>
    </w:lvl>
    <w:lvl w:ilvl="3" w:tplc="0409000F">
      <w:start w:val="1"/>
      <w:numFmt w:val="decimal"/>
      <w:lvlText w:val="%4."/>
      <w:lvlJc w:val="left"/>
      <w:pPr>
        <w:ind w:left="3767" w:hanging="360"/>
      </w:pPr>
    </w:lvl>
    <w:lvl w:ilvl="4" w:tplc="04090019">
      <w:start w:val="1"/>
      <w:numFmt w:val="lowerLetter"/>
      <w:lvlText w:val="%5."/>
      <w:lvlJc w:val="left"/>
      <w:pPr>
        <w:ind w:left="4487" w:hanging="360"/>
      </w:pPr>
    </w:lvl>
    <w:lvl w:ilvl="5" w:tplc="0409001B">
      <w:start w:val="1"/>
      <w:numFmt w:val="lowerRoman"/>
      <w:lvlText w:val="%6."/>
      <w:lvlJc w:val="right"/>
      <w:pPr>
        <w:ind w:left="5207" w:hanging="180"/>
      </w:pPr>
    </w:lvl>
    <w:lvl w:ilvl="6" w:tplc="0409000F">
      <w:start w:val="1"/>
      <w:numFmt w:val="decimal"/>
      <w:lvlText w:val="%7."/>
      <w:lvlJc w:val="left"/>
      <w:pPr>
        <w:ind w:left="5927" w:hanging="360"/>
      </w:pPr>
    </w:lvl>
    <w:lvl w:ilvl="7" w:tplc="04090019">
      <w:start w:val="1"/>
      <w:numFmt w:val="lowerLetter"/>
      <w:lvlText w:val="%8."/>
      <w:lvlJc w:val="left"/>
      <w:pPr>
        <w:ind w:left="6647" w:hanging="360"/>
      </w:pPr>
    </w:lvl>
    <w:lvl w:ilvl="8" w:tplc="0409001B">
      <w:start w:val="1"/>
      <w:numFmt w:val="lowerRoman"/>
      <w:lvlText w:val="%9."/>
      <w:lvlJc w:val="right"/>
      <w:pPr>
        <w:ind w:left="7367" w:hanging="180"/>
      </w:pPr>
    </w:lvl>
  </w:abstractNum>
  <w:abstractNum w:abstractNumId="4" w15:restartNumberingAfterBreak="0">
    <w:nsid w:val="0C885D28"/>
    <w:multiLevelType w:val="hybridMultilevel"/>
    <w:tmpl w:val="2D2C661A"/>
    <w:lvl w:ilvl="0" w:tplc="563003EE">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BC0E67"/>
    <w:multiLevelType w:val="hybridMultilevel"/>
    <w:tmpl w:val="B7F0E046"/>
    <w:lvl w:ilvl="0" w:tplc="E828D04E">
      <w:start w:val="1"/>
      <w:numFmt w:val="decimal"/>
      <w:lvlText w:val="%1."/>
      <w:lvlJc w:val="left"/>
      <w:pPr>
        <w:ind w:left="1607" w:hanging="360"/>
      </w:pPr>
      <w:rPr>
        <w:rFonts w:hint="default"/>
      </w:rPr>
    </w:lvl>
    <w:lvl w:ilvl="1" w:tplc="04090019">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6" w15:restartNumberingAfterBreak="0">
    <w:nsid w:val="273E20D1"/>
    <w:multiLevelType w:val="hybridMultilevel"/>
    <w:tmpl w:val="65A8683C"/>
    <w:lvl w:ilvl="0" w:tplc="04090017">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7" w15:restartNumberingAfterBreak="0">
    <w:nsid w:val="2A56571A"/>
    <w:multiLevelType w:val="hybridMultilevel"/>
    <w:tmpl w:val="0066C6F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AC75C85"/>
    <w:multiLevelType w:val="hybridMultilevel"/>
    <w:tmpl w:val="6630BE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B3C6451"/>
    <w:multiLevelType w:val="hybridMultilevel"/>
    <w:tmpl w:val="E716D3CC"/>
    <w:lvl w:ilvl="0" w:tplc="544C51FE">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461E0"/>
    <w:multiLevelType w:val="hybridMultilevel"/>
    <w:tmpl w:val="005E670C"/>
    <w:lvl w:ilvl="0" w:tplc="807C9AF6">
      <w:start w:val="1"/>
      <w:numFmt w:val="lowerRoman"/>
      <w:lvlText w:val="(%1)"/>
      <w:lvlJc w:val="righ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F9B0B59"/>
    <w:multiLevelType w:val="hybridMultilevel"/>
    <w:tmpl w:val="3FE254C0"/>
    <w:lvl w:ilvl="0" w:tplc="10090019">
      <w:start w:val="1"/>
      <w:numFmt w:val="lowerLetter"/>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9721AAF"/>
    <w:multiLevelType w:val="hybridMultilevel"/>
    <w:tmpl w:val="5EB48948"/>
    <w:lvl w:ilvl="0" w:tplc="10090019">
      <w:start w:val="1"/>
      <w:numFmt w:val="lowerLetter"/>
      <w:lvlText w:val="%1."/>
      <w:lvlJc w:val="left"/>
      <w:pPr>
        <w:ind w:left="720" w:hanging="360"/>
      </w:pPr>
      <w:rPr>
        <w:i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3ACD1759"/>
    <w:multiLevelType w:val="hybridMultilevel"/>
    <w:tmpl w:val="48289918"/>
    <w:lvl w:ilvl="0" w:tplc="C6DA0D1C">
      <w:numFmt w:val="bullet"/>
      <w:lvlText w:val="•"/>
      <w:lvlJc w:val="left"/>
      <w:pPr>
        <w:ind w:left="1080" w:hanging="720"/>
      </w:pPr>
      <w:rPr>
        <w:rFonts w:ascii="Calibri" w:eastAsiaTheme="minorHAnsi" w:hAnsi="Calibri" w:cstheme="minorBidi" w:hint="default"/>
        <w:b/>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41FF0863"/>
    <w:multiLevelType w:val="hybridMultilevel"/>
    <w:tmpl w:val="15106676"/>
    <w:lvl w:ilvl="0" w:tplc="9ABA4096">
      <w:start w:val="1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151AD"/>
    <w:multiLevelType w:val="hybridMultilevel"/>
    <w:tmpl w:val="50402CFE"/>
    <w:lvl w:ilvl="0" w:tplc="1009001B">
      <w:start w:val="1"/>
      <w:numFmt w:val="lowerRoman"/>
      <w:lvlText w:val="%1."/>
      <w:lvlJc w:val="righ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16" w15:restartNumberingAfterBreak="0">
    <w:nsid w:val="47E141B5"/>
    <w:multiLevelType w:val="hybridMultilevel"/>
    <w:tmpl w:val="1D442DD6"/>
    <w:lvl w:ilvl="0" w:tplc="BEA2DC50">
      <w:start w:val="1"/>
      <w:numFmt w:val="decimal"/>
      <w:lvlText w:val="%1)"/>
      <w:lvlJc w:val="right"/>
      <w:pPr>
        <w:ind w:left="720" w:hanging="360"/>
      </w:pPr>
      <w:rPr>
        <w:rFonts w:asciiTheme="majorBidi" w:eastAsiaTheme="minorHAnsi" w:hAnsiTheme="majorBidi" w:cstheme="maj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96386B"/>
    <w:multiLevelType w:val="hybridMultilevel"/>
    <w:tmpl w:val="49BC3B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F9553BC"/>
    <w:multiLevelType w:val="hybridMultilevel"/>
    <w:tmpl w:val="269CA5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13762FD"/>
    <w:multiLevelType w:val="hybridMultilevel"/>
    <w:tmpl w:val="0F98B768"/>
    <w:lvl w:ilvl="0" w:tplc="807C9AF6">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A66A9D"/>
    <w:multiLevelType w:val="multilevel"/>
    <w:tmpl w:val="1B76E802"/>
    <w:styleLink w:val="Normallist"/>
    <w:lvl w:ilvl="0">
      <w:start w:val="1"/>
      <w:numFmt w:val="decimal"/>
      <w:pStyle w:val="Normalnumber"/>
      <w:lvlText w:val="%1."/>
      <w:lvlJc w:val="left"/>
      <w:pPr>
        <w:tabs>
          <w:tab w:val="num" w:pos="1134"/>
        </w:tabs>
        <w:ind w:left="1247" w:firstLine="0"/>
      </w:pPr>
      <w:rPr>
        <w:rFonts w:hint="default"/>
      </w:rPr>
    </w:lvl>
    <w:lvl w:ilvl="1">
      <w:start w:val="1"/>
      <w:numFmt w:val="lowerLetter"/>
      <w:lvlText w:val="(%2)"/>
      <w:lvlJc w:val="left"/>
      <w:pPr>
        <w:tabs>
          <w:tab w:val="num" w:pos="1134"/>
        </w:tabs>
        <w:ind w:left="1247" w:firstLine="567"/>
      </w:pPr>
      <w:rPr>
        <w:rFonts w:hint="default"/>
      </w:rPr>
    </w:lvl>
    <w:lvl w:ilvl="2">
      <w:start w:val="1"/>
      <w:numFmt w:val="lowerRoman"/>
      <w:lvlText w:val="(%3)"/>
      <w:lvlJc w:val="left"/>
      <w:pPr>
        <w:tabs>
          <w:tab w:val="num" w:pos="1134"/>
        </w:tabs>
        <w:ind w:left="2948" w:hanging="567"/>
      </w:pPr>
      <w:rPr>
        <w:rFonts w:hint="default"/>
      </w:rPr>
    </w:lvl>
    <w:lvl w:ilvl="3">
      <w:start w:val="1"/>
      <w:numFmt w:val="lowerLetter"/>
      <w:lvlText w:val="%4."/>
      <w:lvlJc w:val="left"/>
      <w:pPr>
        <w:tabs>
          <w:tab w:val="num" w:pos="1134"/>
        </w:tabs>
        <w:ind w:left="3515" w:hanging="567"/>
      </w:pPr>
      <w:rPr>
        <w:rFonts w:hint="default"/>
      </w:rPr>
    </w:lvl>
    <w:lvl w:ilvl="4">
      <w:start w:val="1"/>
      <w:numFmt w:val="lowerRoman"/>
      <w:lvlText w:val="%5."/>
      <w:lvlJc w:val="left"/>
      <w:pPr>
        <w:tabs>
          <w:tab w:val="num" w:pos="1134"/>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21" w15:restartNumberingAfterBreak="0">
    <w:nsid w:val="550143A6"/>
    <w:multiLevelType w:val="hybridMultilevel"/>
    <w:tmpl w:val="E32CAD2C"/>
    <w:lvl w:ilvl="0" w:tplc="FC4EDCBE">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5A2D35"/>
    <w:multiLevelType w:val="multilevel"/>
    <w:tmpl w:val="2B26C08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0EB66CC"/>
    <w:multiLevelType w:val="hybridMultilevel"/>
    <w:tmpl w:val="5416208A"/>
    <w:lvl w:ilvl="0" w:tplc="B1B04A50">
      <w:start w:val="1"/>
      <w:numFmt w:val="low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1132C8"/>
    <w:multiLevelType w:val="hybridMultilevel"/>
    <w:tmpl w:val="393AC1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B3524DE"/>
    <w:multiLevelType w:val="hybridMultilevel"/>
    <w:tmpl w:val="EDD0E6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E5E6BAA"/>
    <w:multiLevelType w:val="hybridMultilevel"/>
    <w:tmpl w:val="50B008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DAF72BE"/>
    <w:multiLevelType w:val="hybridMultilevel"/>
    <w:tmpl w:val="B2584B3E"/>
    <w:lvl w:ilvl="0" w:tplc="049ADAA0">
      <w:start w:val="1"/>
      <w:numFmt w:val="decimal"/>
      <w:lvlText w:val="%1."/>
      <w:lvlJc w:val="left"/>
      <w:pPr>
        <w:ind w:left="-1028" w:hanging="360"/>
      </w:pPr>
      <w:rPr>
        <w:rFonts w:ascii="Times New Roman" w:eastAsia="Times New Roman" w:hAnsi="Times New Roman" w:cs="Times New Roman"/>
        <w:b w:val="0"/>
        <w:bCs w:val="0"/>
        <w:i w:val="0"/>
      </w:rPr>
    </w:lvl>
    <w:lvl w:ilvl="1" w:tplc="04090019">
      <w:start w:val="1"/>
      <w:numFmt w:val="lowerLetter"/>
      <w:lvlText w:val="%2."/>
      <w:lvlJc w:val="left"/>
      <w:pPr>
        <w:ind w:left="-308" w:hanging="360"/>
      </w:pPr>
    </w:lvl>
    <w:lvl w:ilvl="2" w:tplc="0409001B" w:tentative="1">
      <w:start w:val="1"/>
      <w:numFmt w:val="lowerRoman"/>
      <w:lvlText w:val="%3."/>
      <w:lvlJc w:val="right"/>
      <w:pPr>
        <w:ind w:left="412" w:hanging="180"/>
      </w:pPr>
    </w:lvl>
    <w:lvl w:ilvl="3" w:tplc="0409000F" w:tentative="1">
      <w:start w:val="1"/>
      <w:numFmt w:val="decimal"/>
      <w:lvlText w:val="%4."/>
      <w:lvlJc w:val="left"/>
      <w:pPr>
        <w:ind w:left="1132" w:hanging="360"/>
      </w:pPr>
    </w:lvl>
    <w:lvl w:ilvl="4" w:tplc="04090019" w:tentative="1">
      <w:start w:val="1"/>
      <w:numFmt w:val="lowerLetter"/>
      <w:lvlText w:val="%5."/>
      <w:lvlJc w:val="left"/>
      <w:pPr>
        <w:ind w:left="1852" w:hanging="360"/>
      </w:pPr>
    </w:lvl>
    <w:lvl w:ilvl="5" w:tplc="0409001B" w:tentative="1">
      <w:start w:val="1"/>
      <w:numFmt w:val="lowerRoman"/>
      <w:lvlText w:val="%6."/>
      <w:lvlJc w:val="right"/>
      <w:pPr>
        <w:ind w:left="2572" w:hanging="180"/>
      </w:pPr>
    </w:lvl>
    <w:lvl w:ilvl="6" w:tplc="0409000F" w:tentative="1">
      <w:start w:val="1"/>
      <w:numFmt w:val="decimal"/>
      <w:lvlText w:val="%7."/>
      <w:lvlJc w:val="left"/>
      <w:pPr>
        <w:ind w:left="3292" w:hanging="360"/>
      </w:pPr>
    </w:lvl>
    <w:lvl w:ilvl="7" w:tplc="04090019" w:tentative="1">
      <w:start w:val="1"/>
      <w:numFmt w:val="lowerLetter"/>
      <w:lvlText w:val="%8."/>
      <w:lvlJc w:val="left"/>
      <w:pPr>
        <w:ind w:left="4012" w:hanging="360"/>
      </w:pPr>
    </w:lvl>
    <w:lvl w:ilvl="8" w:tplc="0409001B" w:tentative="1">
      <w:start w:val="1"/>
      <w:numFmt w:val="lowerRoman"/>
      <w:lvlText w:val="%9."/>
      <w:lvlJc w:val="right"/>
      <w:pPr>
        <w:ind w:left="4732" w:hanging="180"/>
      </w:pPr>
    </w:lvl>
  </w:abstractNum>
  <w:num w:numId="1">
    <w:abstractNumId w:val="20"/>
  </w:num>
  <w:num w:numId="2">
    <w:abstractNumId w:val="5"/>
  </w:num>
  <w:num w:numId="3">
    <w:abstractNumId w:val="14"/>
  </w:num>
  <w:num w:numId="4">
    <w:abstractNumId w:val="22"/>
  </w:num>
  <w:num w:numId="5">
    <w:abstractNumId w:val="2"/>
  </w:num>
  <w:num w:numId="6">
    <w:abstractNumId w:val="24"/>
  </w:num>
  <w:num w:numId="7">
    <w:abstractNumId w:val="25"/>
  </w:num>
  <w:num w:numId="8">
    <w:abstractNumId w:val="1"/>
  </w:num>
  <w:num w:numId="9">
    <w:abstractNumId w:val="7"/>
  </w:num>
  <w:num w:numId="10">
    <w:abstractNumId w:val="17"/>
  </w:num>
  <w:num w:numId="11">
    <w:abstractNumId w:val="9"/>
  </w:num>
  <w:num w:numId="12">
    <w:abstractNumId w:val="23"/>
  </w:num>
  <w:num w:numId="13">
    <w:abstractNumId w:val="1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4"/>
  </w:num>
  <w:num w:numId="17">
    <w:abstractNumId w:val="13"/>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6"/>
  </w:num>
  <w:num w:numId="22">
    <w:abstractNumId w:val="3"/>
  </w:num>
  <w:num w:numId="23">
    <w:abstractNumId w:val="21"/>
  </w:num>
  <w:num w:numId="24">
    <w:abstractNumId w:val="27"/>
  </w:num>
  <w:num w:numId="25">
    <w:abstractNumId w:val="0"/>
  </w:num>
  <w:num w:numId="26">
    <w:abstractNumId w:val="16"/>
  </w:num>
  <w:num w:numId="27">
    <w:abstractNumId w:val="19"/>
  </w:num>
  <w:num w:numId="28">
    <w:abstractNumId w:val="18"/>
  </w:num>
  <w:num w:numId="2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2E8"/>
    <w:rsid w:val="00004A5A"/>
    <w:rsid w:val="00004F49"/>
    <w:rsid w:val="00005508"/>
    <w:rsid w:val="00012933"/>
    <w:rsid w:val="00037B84"/>
    <w:rsid w:val="00045A93"/>
    <w:rsid w:val="0004719C"/>
    <w:rsid w:val="00063CC8"/>
    <w:rsid w:val="000752D9"/>
    <w:rsid w:val="00077405"/>
    <w:rsid w:val="00081C73"/>
    <w:rsid w:val="00097EB6"/>
    <w:rsid w:val="000A664C"/>
    <w:rsid w:val="000A751B"/>
    <w:rsid w:val="000B2967"/>
    <w:rsid w:val="000B4A65"/>
    <w:rsid w:val="000C7485"/>
    <w:rsid w:val="000E7768"/>
    <w:rsid w:val="000F5E2E"/>
    <w:rsid w:val="00103917"/>
    <w:rsid w:val="00105883"/>
    <w:rsid w:val="001106FF"/>
    <w:rsid w:val="001222C4"/>
    <w:rsid w:val="00127B7E"/>
    <w:rsid w:val="00141EE7"/>
    <w:rsid w:val="00151EDB"/>
    <w:rsid w:val="001555E6"/>
    <w:rsid w:val="00162B61"/>
    <w:rsid w:val="00174BC6"/>
    <w:rsid w:val="00176435"/>
    <w:rsid w:val="00197143"/>
    <w:rsid w:val="001D77FD"/>
    <w:rsid w:val="001E58FC"/>
    <w:rsid w:val="00203C97"/>
    <w:rsid w:val="002066EE"/>
    <w:rsid w:val="002176B9"/>
    <w:rsid w:val="00256FDC"/>
    <w:rsid w:val="0026426E"/>
    <w:rsid w:val="002644A3"/>
    <w:rsid w:val="002708C9"/>
    <w:rsid w:val="00271626"/>
    <w:rsid w:val="00271DD7"/>
    <w:rsid w:val="00284FA6"/>
    <w:rsid w:val="00285F8E"/>
    <w:rsid w:val="002B4563"/>
    <w:rsid w:val="002B663C"/>
    <w:rsid w:val="002D3952"/>
    <w:rsid w:val="002D4C0B"/>
    <w:rsid w:val="002E5D91"/>
    <w:rsid w:val="002E6745"/>
    <w:rsid w:val="00300B37"/>
    <w:rsid w:val="0032459A"/>
    <w:rsid w:val="003251C6"/>
    <w:rsid w:val="00326F41"/>
    <w:rsid w:val="003307B3"/>
    <w:rsid w:val="00332157"/>
    <w:rsid w:val="00333B17"/>
    <w:rsid w:val="003534D1"/>
    <w:rsid w:val="0035772F"/>
    <w:rsid w:val="00373861"/>
    <w:rsid w:val="00381806"/>
    <w:rsid w:val="003847CC"/>
    <w:rsid w:val="00386CC6"/>
    <w:rsid w:val="0039465F"/>
    <w:rsid w:val="003B7E5C"/>
    <w:rsid w:val="003C239D"/>
    <w:rsid w:val="003C61D8"/>
    <w:rsid w:val="003C7C35"/>
    <w:rsid w:val="003C7FB5"/>
    <w:rsid w:val="003D3132"/>
    <w:rsid w:val="003D3E80"/>
    <w:rsid w:val="003D3FCB"/>
    <w:rsid w:val="003E10AE"/>
    <w:rsid w:val="00402202"/>
    <w:rsid w:val="00411D3D"/>
    <w:rsid w:val="004148F4"/>
    <w:rsid w:val="00420DAA"/>
    <w:rsid w:val="00421FA4"/>
    <w:rsid w:val="00426091"/>
    <w:rsid w:val="0044395B"/>
    <w:rsid w:val="00460EB9"/>
    <w:rsid w:val="00461C6C"/>
    <w:rsid w:val="004675EF"/>
    <w:rsid w:val="00471639"/>
    <w:rsid w:val="00472B5D"/>
    <w:rsid w:val="00473061"/>
    <w:rsid w:val="00487EEE"/>
    <w:rsid w:val="004A08B8"/>
    <w:rsid w:val="004A534D"/>
    <w:rsid w:val="004A53DD"/>
    <w:rsid w:val="004E4BEC"/>
    <w:rsid w:val="004E547E"/>
    <w:rsid w:val="004F7F90"/>
    <w:rsid w:val="00505C55"/>
    <w:rsid w:val="00521AE9"/>
    <w:rsid w:val="00526C52"/>
    <w:rsid w:val="00531B9F"/>
    <w:rsid w:val="00533B8F"/>
    <w:rsid w:val="00536BAC"/>
    <w:rsid w:val="00542B3D"/>
    <w:rsid w:val="00563A67"/>
    <w:rsid w:val="005671D6"/>
    <w:rsid w:val="00567E92"/>
    <w:rsid w:val="00574794"/>
    <w:rsid w:val="005823CE"/>
    <w:rsid w:val="00582787"/>
    <w:rsid w:val="00586EEA"/>
    <w:rsid w:val="005C31D1"/>
    <w:rsid w:val="005C4555"/>
    <w:rsid w:val="005C5510"/>
    <w:rsid w:val="005C5E14"/>
    <w:rsid w:val="005D1E29"/>
    <w:rsid w:val="005E45CD"/>
    <w:rsid w:val="006213DE"/>
    <w:rsid w:val="00623967"/>
    <w:rsid w:val="00626758"/>
    <w:rsid w:val="006342E8"/>
    <w:rsid w:val="006440B1"/>
    <w:rsid w:val="0065232E"/>
    <w:rsid w:val="00654044"/>
    <w:rsid w:val="006A1C10"/>
    <w:rsid w:val="006A2E86"/>
    <w:rsid w:val="006A518A"/>
    <w:rsid w:val="006B1668"/>
    <w:rsid w:val="006B35E8"/>
    <w:rsid w:val="006C25CE"/>
    <w:rsid w:val="006C287F"/>
    <w:rsid w:val="006C66D6"/>
    <w:rsid w:val="006D3D4E"/>
    <w:rsid w:val="006E4552"/>
    <w:rsid w:val="006F2861"/>
    <w:rsid w:val="006F478C"/>
    <w:rsid w:val="00701798"/>
    <w:rsid w:val="00707F06"/>
    <w:rsid w:val="00712C7A"/>
    <w:rsid w:val="007226F5"/>
    <w:rsid w:val="00731668"/>
    <w:rsid w:val="007374B1"/>
    <w:rsid w:val="00771798"/>
    <w:rsid w:val="00777408"/>
    <w:rsid w:val="00784146"/>
    <w:rsid w:val="00791D9A"/>
    <w:rsid w:val="00795CC7"/>
    <w:rsid w:val="007A02EF"/>
    <w:rsid w:val="007A5B86"/>
    <w:rsid w:val="007A7591"/>
    <w:rsid w:val="007B0BAF"/>
    <w:rsid w:val="007B388A"/>
    <w:rsid w:val="007B3B84"/>
    <w:rsid w:val="007C2C76"/>
    <w:rsid w:val="007D13E9"/>
    <w:rsid w:val="007D1C32"/>
    <w:rsid w:val="007F2379"/>
    <w:rsid w:val="007F6466"/>
    <w:rsid w:val="007F6DDC"/>
    <w:rsid w:val="00820E97"/>
    <w:rsid w:val="00822AB8"/>
    <w:rsid w:val="00850CCF"/>
    <w:rsid w:val="00863031"/>
    <w:rsid w:val="00871022"/>
    <w:rsid w:val="008735F6"/>
    <w:rsid w:val="00876E4D"/>
    <w:rsid w:val="008A2160"/>
    <w:rsid w:val="008C0729"/>
    <w:rsid w:val="008D259E"/>
    <w:rsid w:val="008E7175"/>
    <w:rsid w:val="008F1C79"/>
    <w:rsid w:val="00903546"/>
    <w:rsid w:val="0091169D"/>
    <w:rsid w:val="00917D40"/>
    <w:rsid w:val="00940435"/>
    <w:rsid w:val="0095509C"/>
    <w:rsid w:val="00955CC7"/>
    <w:rsid w:val="009560C6"/>
    <w:rsid w:val="00967C7F"/>
    <w:rsid w:val="009C2096"/>
    <w:rsid w:val="009D2012"/>
    <w:rsid w:val="009D4884"/>
    <w:rsid w:val="009D5991"/>
    <w:rsid w:val="009F0CEB"/>
    <w:rsid w:val="009F6D07"/>
    <w:rsid w:val="00A02655"/>
    <w:rsid w:val="00A0703A"/>
    <w:rsid w:val="00A16141"/>
    <w:rsid w:val="00A21043"/>
    <w:rsid w:val="00A252F4"/>
    <w:rsid w:val="00A33584"/>
    <w:rsid w:val="00A37F0E"/>
    <w:rsid w:val="00A4072D"/>
    <w:rsid w:val="00A562CD"/>
    <w:rsid w:val="00A85402"/>
    <w:rsid w:val="00A90CCC"/>
    <w:rsid w:val="00A96982"/>
    <w:rsid w:val="00AC0A4D"/>
    <w:rsid w:val="00AF50DB"/>
    <w:rsid w:val="00AF78A7"/>
    <w:rsid w:val="00B067B1"/>
    <w:rsid w:val="00B10EAB"/>
    <w:rsid w:val="00B2796B"/>
    <w:rsid w:val="00B40BA9"/>
    <w:rsid w:val="00B435B4"/>
    <w:rsid w:val="00B47F00"/>
    <w:rsid w:val="00B509B2"/>
    <w:rsid w:val="00B62B19"/>
    <w:rsid w:val="00B66E56"/>
    <w:rsid w:val="00B679DC"/>
    <w:rsid w:val="00B74C96"/>
    <w:rsid w:val="00B76943"/>
    <w:rsid w:val="00B90EE8"/>
    <w:rsid w:val="00BA0A1C"/>
    <w:rsid w:val="00BA2B43"/>
    <w:rsid w:val="00BA420E"/>
    <w:rsid w:val="00BA485F"/>
    <w:rsid w:val="00BA61F0"/>
    <w:rsid w:val="00BC3E4C"/>
    <w:rsid w:val="00BC5218"/>
    <w:rsid w:val="00BD18BA"/>
    <w:rsid w:val="00BD6F29"/>
    <w:rsid w:val="00BE246F"/>
    <w:rsid w:val="00BF4565"/>
    <w:rsid w:val="00BF5BAB"/>
    <w:rsid w:val="00C02359"/>
    <w:rsid w:val="00C02EFF"/>
    <w:rsid w:val="00C261B6"/>
    <w:rsid w:val="00C270B1"/>
    <w:rsid w:val="00C332F5"/>
    <w:rsid w:val="00C404A1"/>
    <w:rsid w:val="00C51B19"/>
    <w:rsid w:val="00C52E52"/>
    <w:rsid w:val="00C57508"/>
    <w:rsid w:val="00C6798F"/>
    <w:rsid w:val="00C703B6"/>
    <w:rsid w:val="00C70849"/>
    <w:rsid w:val="00C81CB8"/>
    <w:rsid w:val="00C932DC"/>
    <w:rsid w:val="00CC30F9"/>
    <w:rsid w:val="00CC46E1"/>
    <w:rsid w:val="00CD586F"/>
    <w:rsid w:val="00CD5C3B"/>
    <w:rsid w:val="00CF2C52"/>
    <w:rsid w:val="00CF5C18"/>
    <w:rsid w:val="00CF6069"/>
    <w:rsid w:val="00D0084A"/>
    <w:rsid w:val="00D02EEA"/>
    <w:rsid w:val="00D11813"/>
    <w:rsid w:val="00D2106B"/>
    <w:rsid w:val="00D224F5"/>
    <w:rsid w:val="00D22AD9"/>
    <w:rsid w:val="00D42306"/>
    <w:rsid w:val="00D44013"/>
    <w:rsid w:val="00D77635"/>
    <w:rsid w:val="00D94536"/>
    <w:rsid w:val="00D96FC9"/>
    <w:rsid w:val="00DA30D8"/>
    <w:rsid w:val="00DA39E3"/>
    <w:rsid w:val="00DC5391"/>
    <w:rsid w:val="00DC772C"/>
    <w:rsid w:val="00DD25A2"/>
    <w:rsid w:val="00DD63CB"/>
    <w:rsid w:val="00DF3303"/>
    <w:rsid w:val="00E14A8E"/>
    <w:rsid w:val="00E2398D"/>
    <w:rsid w:val="00E249A0"/>
    <w:rsid w:val="00E45421"/>
    <w:rsid w:val="00E50C29"/>
    <w:rsid w:val="00E54477"/>
    <w:rsid w:val="00E62D86"/>
    <w:rsid w:val="00E66623"/>
    <w:rsid w:val="00E734E7"/>
    <w:rsid w:val="00E76144"/>
    <w:rsid w:val="00E80667"/>
    <w:rsid w:val="00E93724"/>
    <w:rsid w:val="00E952D6"/>
    <w:rsid w:val="00EA3207"/>
    <w:rsid w:val="00EA5F7E"/>
    <w:rsid w:val="00EC0A99"/>
    <w:rsid w:val="00EC70EF"/>
    <w:rsid w:val="00EC75C5"/>
    <w:rsid w:val="00ED0E41"/>
    <w:rsid w:val="00ED0E53"/>
    <w:rsid w:val="00ED49BA"/>
    <w:rsid w:val="00EE0D13"/>
    <w:rsid w:val="00EE4346"/>
    <w:rsid w:val="00EF0DEB"/>
    <w:rsid w:val="00EF1F4D"/>
    <w:rsid w:val="00EF2FEA"/>
    <w:rsid w:val="00EF3BC4"/>
    <w:rsid w:val="00F2054F"/>
    <w:rsid w:val="00F3274F"/>
    <w:rsid w:val="00F45D97"/>
    <w:rsid w:val="00F55D20"/>
    <w:rsid w:val="00F65E0A"/>
    <w:rsid w:val="00F73CE7"/>
    <w:rsid w:val="00F85596"/>
    <w:rsid w:val="00F90B86"/>
    <w:rsid w:val="00FA3B59"/>
    <w:rsid w:val="00FB68F3"/>
    <w:rsid w:val="00FD2CB1"/>
    <w:rsid w:val="00FD7BD5"/>
    <w:rsid w:val="00FD7BF8"/>
    <w:rsid w:val="00FF15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C59779"/>
  <w15:chartTrackingRefBased/>
  <w15:docId w15:val="{C753BF7F-8273-5342-9B57-1847C6A89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C932DC"/>
    <w:pPr>
      <w:keepNext/>
      <w:spacing w:before="240" w:after="60"/>
      <w:outlineLvl w:val="1"/>
    </w:pPr>
    <w:rPr>
      <w:rFonts w:ascii="Arial" w:eastAsia="Times New Roman"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numberChar">
    <w:name w:val="Normal_number Char"/>
    <w:link w:val="Normalnumber"/>
    <w:rsid w:val="006342E8"/>
  </w:style>
  <w:style w:type="numbering" w:customStyle="1" w:styleId="Normallist">
    <w:name w:val="Normal_list"/>
    <w:basedOn w:val="NoList"/>
    <w:rsid w:val="006342E8"/>
    <w:pPr>
      <w:numPr>
        <w:numId w:val="1"/>
      </w:numPr>
    </w:pPr>
  </w:style>
  <w:style w:type="paragraph" w:customStyle="1" w:styleId="Normalnumber">
    <w:name w:val="Normal_number"/>
    <w:basedOn w:val="Normal"/>
    <w:link w:val="NormalnumberChar"/>
    <w:qFormat/>
    <w:rsid w:val="006342E8"/>
    <w:pPr>
      <w:numPr>
        <w:numId w:val="1"/>
      </w:numPr>
      <w:spacing w:after="120"/>
    </w:pPr>
  </w:style>
  <w:style w:type="paragraph" w:styleId="ListParagraph">
    <w:name w:val="List Paragraph"/>
    <w:basedOn w:val="Normal"/>
    <w:uiPriority w:val="34"/>
    <w:qFormat/>
    <w:rsid w:val="006342E8"/>
    <w:pPr>
      <w:ind w:left="720"/>
      <w:contextualSpacing/>
    </w:pPr>
  </w:style>
  <w:style w:type="table" w:styleId="TableGrid">
    <w:name w:val="Table Grid"/>
    <w:basedOn w:val="TableNormal"/>
    <w:uiPriority w:val="39"/>
    <w:rsid w:val="00487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5218"/>
    <w:pPr>
      <w:tabs>
        <w:tab w:val="center" w:pos="4680"/>
        <w:tab w:val="right" w:pos="9360"/>
      </w:tabs>
    </w:pPr>
  </w:style>
  <w:style w:type="character" w:customStyle="1" w:styleId="HeaderChar">
    <w:name w:val="Header Char"/>
    <w:basedOn w:val="DefaultParagraphFont"/>
    <w:link w:val="Header"/>
    <w:uiPriority w:val="99"/>
    <w:rsid w:val="00BC5218"/>
  </w:style>
  <w:style w:type="paragraph" w:styleId="Footer">
    <w:name w:val="footer"/>
    <w:basedOn w:val="Normal"/>
    <w:link w:val="FooterChar"/>
    <w:unhideWhenUsed/>
    <w:rsid w:val="00BC5218"/>
    <w:pPr>
      <w:tabs>
        <w:tab w:val="center" w:pos="4680"/>
        <w:tab w:val="right" w:pos="9360"/>
      </w:tabs>
    </w:pPr>
  </w:style>
  <w:style w:type="character" w:customStyle="1" w:styleId="FooterChar">
    <w:name w:val="Footer Char"/>
    <w:basedOn w:val="DefaultParagraphFont"/>
    <w:link w:val="Footer"/>
    <w:uiPriority w:val="99"/>
    <w:rsid w:val="00BC5218"/>
  </w:style>
  <w:style w:type="paragraph" w:styleId="CommentText">
    <w:name w:val="annotation text"/>
    <w:basedOn w:val="Normal"/>
    <w:link w:val="CommentTextChar"/>
    <w:uiPriority w:val="99"/>
    <w:unhideWhenUsed/>
    <w:rsid w:val="00BC5218"/>
    <w:pPr>
      <w:spacing w:after="200"/>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BC5218"/>
    <w:rPr>
      <w:rFonts w:ascii="Calibri" w:eastAsia="Calibri" w:hAnsi="Calibri" w:cs="Arial"/>
      <w:sz w:val="20"/>
      <w:szCs w:val="20"/>
    </w:rPr>
  </w:style>
  <w:style w:type="character" w:styleId="CommentReference">
    <w:name w:val="annotation reference"/>
    <w:uiPriority w:val="99"/>
    <w:semiHidden/>
    <w:unhideWhenUsed/>
    <w:rsid w:val="00BC5218"/>
    <w:rPr>
      <w:sz w:val="16"/>
      <w:szCs w:val="16"/>
    </w:rPr>
  </w:style>
  <w:style w:type="paragraph" w:styleId="BalloonText">
    <w:name w:val="Balloon Text"/>
    <w:basedOn w:val="Normal"/>
    <w:link w:val="BalloonTextChar"/>
    <w:uiPriority w:val="99"/>
    <w:semiHidden/>
    <w:unhideWhenUsed/>
    <w:rsid w:val="00BC52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21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F1F4D"/>
    <w:pPr>
      <w:spacing w:after="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F1F4D"/>
    <w:rPr>
      <w:rFonts w:ascii="Calibri" w:eastAsia="Calibri" w:hAnsi="Calibri" w:cs="Arial"/>
      <w:b/>
      <w:bCs/>
      <w:sz w:val="20"/>
      <w:szCs w:val="20"/>
    </w:rPr>
  </w:style>
  <w:style w:type="character" w:customStyle="1" w:styleId="Normal-poolChar">
    <w:name w:val="Normal-pool Char"/>
    <w:link w:val="Normal-pool"/>
    <w:locked/>
    <w:rsid w:val="00E62D86"/>
  </w:style>
  <w:style w:type="paragraph" w:customStyle="1" w:styleId="Normal-pool">
    <w:name w:val="Normal-pool"/>
    <w:link w:val="Normal-poolChar"/>
    <w:qFormat/>
    <w:rsid w:val="00E62D86"/>
    <w:pPr>
      <w:tabs>
        <w:tab w:val="left" w:pos="1247"/>
        <w:tab w:val="left" w:pos="1814"/>
        <w:tab w:val="left" w:pos="2381"/>
        <w:tab w:val="left" w:pos="2948"/>
        <w:tab w:val="left" w:pos="3515"/>
        <w:tab w:val="left" w:pos="4082"/>
      </w:tabs>
    </w:pPr>
  </w:style>
  <w:style w:type="paragraph" w:styleId="NormalWeb">
    <w:name w:val="Normal (Web)"/>
    <w:basedOn w:val="Normal"/>
    <w:uiPriority w:val="99"/>
    <w:unhideWhenUsed/>
    <w:rsid w:val="004E547E"/>
    <w:pPr>
      <w:spacing w:before="100" w:beforeAutospacing="1" w:after="100" w:afterAutospacing="1"/>
    </w:pPr>
    <w:rPr>
      <w:rFonts w:ascii="Times New Roman" w:eastAsia="Times New Roman" w:hAnsi="Times New Roman" w:cs="Times New Roman"/>
    </w:rPr>
  </w:style>
  <w:style w:type="table" w:styleId="GridTable5Dark-Accent3">
    <w:name w:val="Grid Table 5 Dark Accent 3"/>
    <w:basedOn w:val="TableNormal"/>
    <w:uiPriority w:val="50"/>
    <w:rsid w:val="00533B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2">
    <w:name w:val="Grid Table 2"/>
    <w:basedOn w:val="TableNormal"/>
    <w:uiPriority w:val="47"/>
    <w:rsid w:val="00533B8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rsid w:val="00C932DC"/>
    <w:rPr>
      <w:rFonts w:ascii="Arial" w:eastAsia="Times New Roman" w:hAnsi="Arial" w:cs="Arial"/>
      <w:b/>
      <w:bCs/>
      <w:i/>
      <w:iCs/>
      <w:sz w:val="28"/>
      <w:szCs w:val="28"/>
      <w:lang w:val="en-GB"/>
    </w:rPr>
  </w:style>
  <w:style w:type="character" w:styleId="PageNumber">
    <w:name w:val="page number"/>
    <w:basedOn w:val="DefaultParagraphFont"/>
    <w:rsid w:val="00C932DC"/>
  </w:style>
  <w:style w:type="paragraph" w:styleId="Title">
    <w:name w:val="Title"/>
    <w:basedOn w:val="Normal"/>
    <w:link w:val="TitleChar"/>
    <w:autoRedefine/>
    <w:qFormat/>
    <w:rsid w:val="009D5991"/>
    <w:pPr>
      <w:shd w:val="clear" w:color="auto" w:fill="FFFFFF"/>
      <w:spacing w:before="240" w:after="240"/>
      <w:ind w:left="709" w:right="562"/>
      <w:outlineLvl w:val="0"/>
    </w:pPr>
    <w:rPr>
      <w:rFonts w:ascii="Times New Roman" w:eastAsia="Times New Roman" w:hAnsi="Times New Roman" w:cs="Times New Roman"/>
      <w:b/>
      <w:bCs/>
      <w:kern w:val="28"/>
      <w:sz w:val="22"/>
      <w:szCs w:val="22"/>
      <w:lang w:val="en-GB"/>
    </w:rPr>
  </w:style>
  <w:style w:type="character" w:customStyle="1" w:styleId="TitleChar">
    <w:name w:val="Title Char"/>
    <w:basedOn w:val="DefaultParagraphFont"/>
    <w:link w:val="Title"/>
    <w:rsid w:val="009D5991"/>
    <w:rPr>
      <w:rFonts w:ascii="Times New Roman" w:eastAsia="Times New Roman" w:hAnsi="Times New Roman" w:cs="Times New Roman"/>
      <w:b/>
      <w:bCs/>
      <w:kern w:val="28"/>
      <w:sz w:val="22"/>
      <w:szCs w:val="22"/>
      <w:shd w:val="clear" w:color="auto" w:fill="FFFFFF"/>
      <w:lang w:val="en-GB"/>
    </w:rPr>
  </w:style>
  <w:style w:type="paragraph" w:customStyle="1" w:styleId="BBTitle">
    <w:name w:val="BB_Title"/>
    <w:basedOn w:val="Normal"/>
    <w:rsid w:val="009D5991"/>
    <w:pPr>
      <w:keepNext/>
      <w:keepLines/>
      <w:tabs>
        <w:tab w:val="left" w:pos="1247"/>
        <w:tab w:val="left" w:pos="1814"/>
        <w:tab w:val="left" w:pos="2381"/>
        <w:tab w:val="left" w:pos="2948"/>
        <w:tab w:val="left" w:pos="3515"/>
        <w:tab w:val="left" w:pos="4082"/>
      </w:tabs>
      <w:suppressAutoHyphens/>
      <w:spacing w:before="320" w:after="240"/>
      <w:ind w:left="1247" w:right="567"/>
    </w:pPr>
    <w:rPr>
      <w:rFonts w:ascii="Times New Roman" w:eastAsia="Times New Roman" w:hAnsi="Times New Roman" w:cs="Times New Roman"/>
      <w:b/>
      <w:sz w:val="28"/>
      <w:szCs w:val="28"/>
      <w:lang w:val="en-GB"/>
    </w:rPr>
  </w:style>
  <w:style w:type="paragraph" w:customStyle="1" w:styleId="CH2">
    <w:name w:val="CH2"/>
    <w:basedOn w:val="Normal"/>
    <w:next w:val="Normalnumber"/>
    <w:rsid w:val="009D5991"/>
    <w:pPr>
      <w:keepNext/>
      <w:keepLines/>
      <w:tabs>
        <w:tab w:val="right" w:pos="851"/>
        <w:tab w:val="left" w:pos="1247"/>
        <w:tab w:val="left" w:pos="1814"/>
        <w:tab w:val="left" w:pos="2381"/>
        <w:tab w:val="left" w:pos="2948"/>
        <w:tab w:val="left" w:pos="3515"/>
        <w:tab w:val="left" w:pos="4082"/>
      </w:tabs>
      <w:suppressAutoHyphens/>
      <w:spacing w:before="80" w:after="120"/>
      <w:ind w:left="1247" w:right="284" w:hanging="1247"/>
    </w:pPr>
    <w:rPr>
      <w:rFonts w:ascii="Times New Roman" w:eastAsia="Times New Roman" w:hAnsi="Times New Roman" w:cs="Times New Roman"/>
      <w:b/>
      <w:lang w:val="en-GB"/>
    </w:rPr>
  </w:style>
  <w:style w:type="paragraph" w:styleId="FootnoteText">
    <w:name w:val="footnote text"/>
    <w:aliases w:val="Geneva 9,Font: Geneva 9,Boston 10,f,DNV-FT,Footnote01,footnote3,text,Geneva,92,Font:,Boston,10,FOOTNOTES,fn,single space,Footnote Text Rail EIS,ft,Footnotes,Footnote ak,fn cafc,Footnotes Char Char,Footnote Text Char Char,fn Char Char,93,1"/>
    <w:basedOn w:val="Normal"/>
    <w:link w:val="FootnoteTextChar"/>
    <w:uiPriority w:val="99"/>
    <w:unhideWhenUsed/>
    <w:rsid w:val="00E80667"/>
    <w:rPr>
      <w:sz w:val="20"/>
      <w:szCs w:val="20"/>
    </w:rPr>
  </w:style>
  <w:style w:type="character" w:customStyle="1" w:styleId="FootnoteTextChar">
    <w:name w:val="Footnote Text Char"/>
    <w:aliases w:val="Geneva 9 Char,Font: Geneva 9 Char,Boston 10 Char,f Char,DNV-FT Char,Footnote01 Char,footnote3 Char,text Char,Geneva Char,92 Char,Font: Char,Boston Char,10 Char,FOOTNOTES Char,fn Char,single space Char,Footnote Text Rail EIS Char"/>
    <w:basedOn w:val="DefaultParagraphFont"/>
    <w:link w:val="FootnoteText"/>
    <w:uiPriority w:val="99"/>
    <w:rsid w:val="00E80667"/>
    <w:rPr>
      <w:sz w:val="20"/>
      <w:szCs w:val="20"/>
    </w:rPr>
  </w:style>
  <w:style w:type="character" w:styleId="FootnoteReference">
    <w:name w:val="footnote reference"/>
    <w:aliases w:val="SUPERS,ftref,16 Point,Superscript 6 Point,(Ref. de nota al pie),number,Footnote Reference Superscript,Footnote Reference S"/>
    <w:basedOn w:val="DefaultParagraphFont"/>
    <w:uiPriority w:val="99"/>
    <w:unhideWhenUsed/>
    <w:rsid w:val="00E80667"/>
    <w:rPr>
      <w:vertAlign w:val="superscript"/>
    </w:rPr>
  </w:style>
  <w:style w:type="paragraph" w:styleId="Revision">
    <w:name w:val="Revision"/>
    <w:hidden/>
    <w:uiPriority w:val="99"/>
    <w:semiHidden/>
    <w:rsid w:val="007A5B86"/>
  </w:style>
  <w:style w:type="character" w:styleId="Hyperlink">
    <w:name w:val="Hyperlink"/>
    <w:uiPriority w:val="99"/>
    <w:unhideWhenUsed/>
    <w:rsid w:val="007B0BA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074446">
      <w:bodyDiv w:val="1"/>
      <w:marLeft w:val="0"/>
      <w:marRight w:val="0"/>
      <w:marTop w:val="0"/>
      <w:marBottom w:val="0"/>
      <w:divBdr>
        <w:top w:val="none" w:sz="0" w:space="0" w:color="auto"/>
        <w:left w:val="none" w:sz="0" w:space="0" w:color="auto"/>
        <w:bottom w:val="none" w:sz="0" w:space="0" w:color="auto"/>
        <w:right w:val="none" w:sz="0" w:space="0" w:color="auto"/>
      </w:divBdr>
      <w:divsChild>
        <w:div w:id="1502621350">
          <w:marLeft w:val="0"/>
          <w:marRight w:val="0"/>
          <w:marTop w:val="0"/>
          <w:marBottom w:val="0"/>
          <w:divBdr>
            <w:top w:val="none" w:sz="0" w:space="0" w:color="auto"/>
            <w:left w:val="none" w:sz="0" w:space="0" w:color="auto"/>
            <w:bottom w:val="none" w:sz="0" w:space="0" w:color="auto"/>
            <w:right w:val="none" w:sz="0" w:space="0" w:color="auto"/>
          </w:divBdr>
          <w:divsChild>
            <w:div w:id="1091315530">
              <w:marLeft w:val="0"/>
              <w:marRight w:val="0"/>
              <w:marTop w:val="0"/>
              <w:marBottom w:val="0"/>
              <w:divBdr>
                <w:top w:val="none" w:sz="0" w:space="0" w:color="auto"/>
                <w:left w:val="none" w:sz="0" w:space="0" w:color="auto"/>
                <w:bottom w:val="none" w:sz="0" w:space="0" w:color="auto"/>
                <w:right w:val="none" w:sz="0" w:space="0" w:color="auto"/>
              </w:divBdr>
              <w:divsChild>
                <w:div w:id="102475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745292">
      <w:bodyDiv w:val="1"/>
      <w:marLeft w:val="0"/>
      <w:marRight w:val="0"/>
      <w:marTop w:val="0"/>
      <w:marBottom w:val="0"/>
      <w:divBdr>
        <w:top w:val="none" w:sz="0" w:space="0" w:color="auto"/>
        <w:left w:val="none" w:sz="0" w:space="0" w:color="auto"/>
        <w:bottom w:val="none" w:sz="0" w:space="0" w:color="auto"/>
        <w:right w:val="none" w:sz="0" w:space="0" w:color="auto"/>
      </w:divBdr>
      <w:divsChild>
        <w:div w:id="771315536">
          <w:marLeft w:val="0"/>
          <w:marRight w:val="0"/>
          <w:marTop w:val="0"/>
          <w:marBottom w:val="0"/>
          <w:divBdr>
            <w:top w:val="none" w:sz="0" w:space="0" w:color="auto"/>
            <w:left w:val="none" w:sz="0" w:space="0" w:color="auto"/>
            <w:bottom w:val="none" w:sz="0" w:space="0" w:color="auto"/>
            <w:right w:val="none" w:sz="0" w:space="0" w:color="auto"/>
          </w:divBdr>
          <w:divsChild>
            <w:div w:id="1354376903">
              <w:marLeft w:val="0"/>
              <w:marRight w:val="0"/>
              <w:marTop w:val="0"/>
              <w:marBottom w:val="0"/>
              <w:divBdr>
                <w:top w:val="none" w:sz="0" w:space="0" w:color="auto"/>
                <w:left w:val="none" w:sz="0" w:space="0" w:color="auto"/>
                <w:bottom w:val="none" w:sz="0" w:space="0" w:color="auto"/>
                <w:right w:val="none" w:sz="0" w:space="0" w:color="auto"/>
              </w:divBdr>
              <w:divsChild>
                <w:div w:id="83607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351608">
      <w:bodyDiv w:val="1"/>
      <w:marLeft w:val="0"/>
      <w:marRight w:val="0"/>
      <w:marTop w:val="0"/>
      <w:marBottom w:val="0"/>
      <w:divBdr>
        <w:top w:val="none" w:sz="0" w:space="0" w:color="auto"/>
        <w:left w:val="none" w:sz="0" w:space="0" w:color="auto"/>
        <w:bottom w:val="none" w:sz="0" w:space="0" w:color="auto"/>
        <w:right w:val="none" w:sz="0" w:space="0" w:color="auto"/>
      </w:divBdr>
      <w:divsChild>
        <w:div w:id="1015810407">
          <w:marLeft w:val="0"/>
          <w:marRight w:val="0"/>
          <w:marTop w:val="0"/>
          <w:marBottom w:val="0"/>
          <w:divBdr>
            <w:top w:val="none" w:sz="0" w:space="0" w:color="auto"/>
            <w:left w:val="none" w:sz="0" w:space="0" w:color="auto"/>
            <w:bottom w:val="none" w:sz="0" w:space="0" w:color="auto"/>
            <w:right w:val="none" w:sz="0" w:space="0" w:color="auto"/>
          </w:divBdr>
          <w:divsChild>
            <w:div w:id="1049569448">
              <w:marLeft w:val="0"/>
              <w:marRight w:val="0"/>
              <w:marTop w:val="0"/>
              <w:marBottom w:val="0"/>
              <w:divBdr>
                <w:top w:val="none" w:sz="0" w:space="0" w:color="auto"/>
                <w:left w:val="none" w:sz="0" w:space="0" w:color="auto"/>
                <w:bottom w:val="none" w:sz="0" w:space="0" w:color="auto"/>
                <w:right w:val="none" w:sz="0" w:space="0" w:color="auto"/>
              </w:divBdr>
              <w:divsChild>
                <w:div w:id="18528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39823">
      <w:bodyDiv w:val="1"/>
      <w:marLeft w:val="0"/>
      <w:marRight w:val="0"/>
      <w:marTop w:val="0"/>
      <w:marBottom w:val="0"/>
      <w:divBdr>
        <w:top w:val="none" w:sz="0" w:space="0" w:color="auto"/>
        <w:left w:val="none" w:sz="0" w:space="0" w:color="auto"/>
        <w:bottom w:val="none" w:sz="0" w:space="0" w:color="auto"/>
        <w:right w:val="none" w:sz="0" w:space="0" w:color="auto"/>
      </w:divBdr>
      <w:divsChild>
        <w:div w:id="277369357">
          <w:marLeft w:val="0"/>
          <w:marRight w:val="0"/>
          <w:marTop w:val="0"/>
          <w:marBottom w:val="0"/>
          <w:divBdr>
            <w:top w:val="none" w:sz="0" w:space="0" w:color="auto"/>
            <w:left w:val="none" w:sz="0" w:space="0" w:color="auto"/>
            <w:bottom w:val="none" w:sz="0" w:space="0" w:color="auto"/>
            <w:right w:val="none" w:sz="0" w:space="0" w:color="auto"/>
          </w:divBdr>
          <w:divsChild>
            <w:div w:id="1184369051">
              <w:marLeft w:val="0"/>
              <w:marRight w:val="0"/>
              <w:marTop w:val="0"/>
              <w:marBottom w:val="0"/>
              <w:divBdr>
                <w:top w:val="none" w:sz="0" w:space="0" w:color="auto"/>
                <w:left w:val="none" w:sz="0" w:space="0" w:color="auto"/>
                <w:bottom w:val="none" w:sz="0" w:space="0" w:color="auto"/>
                <w:right w:val="none" w:sz="0" w:space="0" w:color="auto"/>
              </w:divBdr>
              <w:divsChild>
                <w:div w:id="124676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95233">
      <w:bodyDiv w:val="1"/>
      <w:marLeft w:val="0"/>
      <w:marRight w:val="0"/>
      <w:marTop w:val="0"/>
      <w:marBottom w:val="0"/>
      <w:divBdr>
        <w:top w:val="none" w:sz="0" w:space="0" w:color="auto"/>
        <w:left w:val="none" w:sz="0" w:space="0" w:color="auto"/>
        <w:bottom w:val="none" w:sz="0" w:space="0" w:color="auto"/>
        <w:right w:val="none" w:sz="0" w:space="0" w:color="auto"/>
      </w:divBdr>
    </w:div>
    <w:div w:id="1708674175">
      <w:bodyDiv w:val="1"/>
      <w:marLeft w:val="0"/>
      <w:marRight w:val="0"/>
      <w:marTop w:val="0"/>
      <w:marBottom w:val="0"/>
      <w:divBdr>
        <w:top w:val="none" w:sz="0" w:space="0" w:color="auto"/>
        <w:left w:val="none" w:sz="0" w:space="0" w:color="auto"/>
        <w:bottom w:val="none" w:sz="0" w:space="0" w:color="auto"/>
        <w:right w:val="none" w:sz="0" w:space="0" w:color="auto"/>
      </w:divBdr>
    </w:div>
    <w:div w:id="1773357030">
      <w:bodyDiv w:val="1"/>
      <w:marLeft w:val="0"/>
      <w:marRight w:val="0"/>
      <w:marTop w:val="0"/>
      <w:marBottom w:val="0"/>
      <w:divBdr>
        <w:top w:val="none" w:sz="0" w:space="0" w:color="auto"/>
        <w:left w:val="none" w:sz="0" w:space="0" w:color="auto"/>
        <w:bottom w:val="none" w:sz="0" w:space="0" w:color="auto"/>
        <w:right w:val="none" w:sz="0" w:space="0" w:color="auto"/>
      </w:divBdr>
      <w:divsChild>
        <w:div w:id="936787858">
          <w:marLeft w:val="0"/>
          <w:marRight w:val="0"/>
          <w:marTop w:val="0"/>
          <w:marBottom w:val="0"/>
          <w:divBdr>
            <w:top w:val="none" w:sz="0" w:space="0" w:color="auto"/>
            <w:left w:val="none" w:sz="0" w:space="0" w:color="auto"/>
            <w:bottom w:val="none" w:sz="0" w:space="0" w:color="auto"/>
            <w:right w:val="none" w:sz="0" w:space="0" w:color="auto"/>
          </w:divBdr>
          <w:divsChild>
            <w:div w:id="1764951846">
              <w:marLeft w:val="0"/>
              <w:marRight w:val="0"/>
              <w:marTop w:val="0"/>
              <w:marBottom w:val="0"/>
              <w:divBdr>
                <w:top w:val="none" w:sz="0" w:space="0" w:color="auto"/>
                <w:left w:val="none" w:sz="0" w:space="0" w:color="auto"/>
                <w:bottom w:val="none" w:sz="0" w:space="0" w:color="auto"/>
                <w:right w:val="none" w:sz="0" w:space="0" w:color="auto"/>
              </w:divBdr>
              <w:divsChild>
                <w:div w:id="203384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28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CB066-3F01-4E2B-8E88-2D6BCB0F4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1289</Words>
  <Characters>7350</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Juan Caicedo Restrepo</cp:lastModifiedBy>
  <cp:revision>2</cp:revision>
  <dcterms:created xsi:type="dcterms:W3CDTF">2019-09-03T04:43:00Z</dcterms:created>
  <dcterms:modified xsi:type="dcterms:W3CDTF">2019-09-03T04:43:00Z</dcterms:modified>
</cp:coreProperties>
</file>