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408E1" w14:textId="5383A369" w:rsidR="00AC573A" w:rsidRDefault="00AC573A" w:rsidP="00AC573A">
      <w:bookmarkStart w:id="0" w:name="_GoBack"/>
      <w:bookmarkEnd w:id="0"/>
    </w:p>
    <w:tbl>
      <w:tblPr>
        <w:tblW w:w="10065" w:type="dxa"/>
        <w:tblInd w:w="-176" w:type="dxa"/>
        <w:tblLayout w:type="fixed"/>
        <w:tblLook w:val="04A0" w:firstRow="1" w:lastRow="0" w:firstColumn="1" w:lastColumn="0" w:noHBand="0" w:noVBand="1"/>
      </w:tblPr>
      <w:tblGrid>
        <w:gridCol w:w="6644"/>
        <w:gridCol w:w="19"/>
        <w:gridCol w:w="3402"/>
      </w:tblGrid>
      <w:tr w:rsidR="00C04F1F" w:rsidRPr="00C04F1F" w14:paraId="636849C4" w14:textId="77777777" w:rsidTr="00DA1FED">
        <w:trPr>
          <w:cantSplit/>
          <w:trHeight w:val="718"/>
        </w:trPr>
        <w:tc>
          <w:tcPr>
            <w:tcW w:w="6644" w:type="dxa"/>
            <w:tcBorders>
              <w:top w:val="nil"/>
              <w:left w:val="nil"/>
              <w:bottom w:val="single" w:sz="2" w:space="0" w:color="auto"/>
              <w:right w:val="nil"/>
            </w:tcBorders>
            <w:hideMark/>
          </w:tcPr>
          <w:p w14:paraId="68FD286F" w14:textId="47A95D10" w:rsidR="00C04F1F" w:rsidRPr="00CA6CD1" w:rsidRDefault="00C04F1F" w:rsidP="00C04F1F">
            <w:pPr>
              <w:spacing w:after="0" w:line="240" w:lineRule="auto"/>
              <w:rPr>
                <w:rFonts w:ascii="Helvetica 45" w:eastAsia="Times New Roman" w:hAnsi="Helvetica 45" w:cs="Times New Roman"/>
                <w:sz w:val="24"/>
                <w:szCs w:val="24"/>
                <w:lang w:eastAsia="en-US"/>
              </w:rPr>
            </w:pPr>
            <w:r w:rsidRPr="00CA6CD1">
              <w:rPr>
                <w:rFonts w:ascii="Helvetica 45" w:eastAsia="Times New Roman" w:hAnsi="Helvetica 45" w:cs="Times New Roman"/>
                <w:noProof/>
                <w:sz w:val="24"/>
                <w:szCs w:val="24"/>
              </w:rPr>
              <w:drawing>
                <wp:inline distT="0" distB="0" distL="0" distR="0" wp14:anchorId="7CD822F9" wp14:editId="477D6625">
                  <wp:extent cx="1000125" cy="457200"/>
                  <wp:effectExtent l="0" t="0" r="9525" b="0"/>
                  <wp:docPr id="5" name="Picture 5" descr="2logos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logos_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457200"/>
                          </a:xfrm>
                          <a:prstGeom prst="rect">
                            <a:avLst/>
                          </a:prstGeom>
                          <a:noFill/>
                          <a:ln>
                            <a:noFill/>
                          </a:ln>
                        </pic:spPr>
                      </pic:pic>
                    </a:graphicData>
                  </a:graphic>
                </wp:inline>
              </w:drawing>
            </w:r>
          </w:p>
        </w:tc>
        <w:tc>
          <w:tcPr>
            <w:tcW w:w="3421" w:type="dxa"/>
            <w:gridSpan w:val="2"/>
            <w:tcBorders>
              <w:top w:val="nil"/>
              <w:left w:val="nil"/>
              <w:bottom w:val="single" w:sz="2" w:space="0" w:color="auto"/>
              <w:right w:val="nil"/>
            </w:tcBorders>
          </w:tcPr>
          <w:p w14:paraId="53050D87" w14:textId="77777777" w:rsidR="00C04F1F" w:rsidRPr="00CA6CD1" w:rsidRDefault="00C04F1F" w:rsidP="00C04F1F">
            <w:pPr>
              <w:keepNext/>
              <w:spacing w:before="240" w:after="60" w:line="240" w:lineRule="auto"/>
              <w:outlineLvl w:val="1"/>
              <w:rPr>
                <w:rFonts w:ascii="Times New Roman" w:eastAsia="Times New Roman" w:hAnsi="Times New Roman" w:cs="Times New Roman"/>
                <w:b/>
                <w:bCs/>
                <w:i/>
                <w:iCs/>
                <w:sz w:val="20"/>
                <w:szCs w:val="20"/>
                <w:lang w:val="en-GB" w:eastAsia="en-US"/>
              </w:rPr>
            </w:pPr>
          </w:p>
          <w:p w14:paraId="03E4E0C5" w14:textId="77777777" w:rsidR="00C04F1F" w:rsidRPr="00CA6CD1" w:rsidRDefault="00C04F1F" w:rsidP="00C04F1F">
            <w:pPr>
              <w:spacing w:after="0" w:line="240" w:lineRule="auto"/>
              <w:rPr>
                <w:rFonts w:ascii="Times New Roman" w:eastAsia="Times New Roman" w:hAnsi="Times New Roman" w:cs="Times New Roman"/>
                <w:sz w:val="20"/>
                <w:szCs w:val="20"/>
                <w:lang w:eastAsia="en-US"/>
              </w:rPr>
            </w:pPr>
          </w:p>
          <w:p w14:paraId="7E8F882E" w14:textId="0858CF07" w:rsidR="00C04F1F" w:rsidRPr="00CA6CD1" w:rsidRDefault="00C04F1F" w:rsidP="00C04F1F">
            <w:pPr>
              <w:spacing w:after="0" w:line="240" w:lineRule="auto"/>
              <w:rPr>
                <w:rFonts w:ascii="Times New Roman" w:eastAsia="Times New Roman" w:hAnsi="Times New Roman" w:cs="Times New Roman"/>
                <w:sz w:val="20"/>
                <w:szCs w:val="20"/>
                <w:lang w:eastAsia="en-US"/>
              </w:rPr>
            </w:pPr>
            <w:r w:rsidRPr="00CA6CD1">
              <w:rPr>
                <w:rFonts w:ascii="Times New Roman" w:eastAsia="Times New Roman" w:hAnsi="Times New Roman" w:cs="Times New Roman"/>
                <w:b/>
                <w:sz w:val="20"/>
                <w:szCs w:val="20"/>
                <w:lang w:val="en-GB" w:eastAsia="en-US"/>
              </w:rPr>
              <w:t>SAICM</w:t>
            </w:r>
            <w:r w:rsidR="00805BB5">
              <w:rPr>
                <w:rFonts w:ascii="Times New Roman" w:eastAsia="Times New Roman" w:hAnsi="Times New Roman" w:cs="Times New Roman"/>
                <w:sz w:val="20"/>
                <w:szCs w:val="20"/>
                <w:lang w:val="en-GB" w:eastAsia="en-US"/>
              </w:rPr>
              <w:t>/IP.2/INF.4</w:t>
            </w:r>
          </w:p>
        </w:tc>
      </w:tr>
      <w:tr w:rsidR="00C04F1F" w:rsidRPr="00C04F1F" w14:paraId="49CC2708" w14:textId="77777777" w:rsidTr="00DA1FED">
        <w:trPr>
          <w:cantSplit/>
          <w:trHeight w:val="1927"/>
        </w:trPr>
        <w:tc>
          <w:tcPr>
            <w:tcW w:w="6663" w:type="dxa"/>
            <w:gridSpan w:val="2"/>
            <w:tcBorders>
              <w:top w:val="single" w:sz="2" w:space="0" w:color="auto"/>
              <w:left w:val="nil"/>
              <w:bottom w:val="single" w:sz="24" w:space="0" w:color="auto"/>
              <w:right w:val="nil"/>
            </w:tcBorders>
          </w:tcPr>
          <w:p w14:paraId="32E2C430" w14:textId="77777777" w:rsidR="00C04F1F" w:rsidRPr="00CA6CD1" w:rsidRDefault="00C04F1F" w:rsidP="00C04F1F">
            <w:pPr>
              <w:keepNext/>
              <w:spacing w:after="0" w:line="240" w:lineRule="auto"/>
              <w:outlineLvl w:val="2"/>
              <w:rPr>
                <w:rFonts w:ascii="Univers" w:eastAsia="Times New Roman" w:hAnsi="Univers" w:cs="Times New Roman"/>
                <w:b/>
                <w:sz w:val="24"/>
                <w:szCs w:val="20"/>
                <w:lang w:eastAsia="en-US"/>
              </w:rPr>
            </w:pPr>
          </w:p>
          <w:p w14:paraId="408D3310" w14:textId="77777777" w:rsidR="00C04F1F" w:rsidRPr="00CA6CD1" w:rsidRDefault="00C04F1F" w:rsidP="00C04F1F">
            <w:pPr>
              <w:spacing w:after="0" w:line="240" w:lineRule="auto"/>
              <w:rPr>
                <w:rFonts w:ascii="Helvetica 45" w:eastAsia="Times New Roman" w:hAnsi="Helvetica 45" w:cs="Times New Roman"/>
                <w:sz w:val="24"/>
                <w:szCs w:val="24"/>
                <w:lang w:eastAsia="en-US"/>
              </w:rPr>
            </w:pPr>
          </w:p>
          <w:p w14:paraId="03ECCD8D" w14:textId="77777777" w:rsidR="00C04F1F" w:rsidRPr="00CA6CD1" w:rsidRDefault="00C04F1F" w:rsidP="00C04F1F">
            <w:pPr>
              <w:spacing w:after="0" w:line="240" w:lineRule="auto"/>
              <w:rPr>
                <w:rFonts w:ascii="Helvetica 45" w:eastAsia="Times New Roman" w:hAnsi="Helvetica 45" w:cs="Times New Roman"/>
                <w:sz w:val="24"/>
                <w:szCs w:val="24"/>
                <w:lang w:eastAsia="en-US"/>
              </w:rPr>
            </w:pPr>
          </w:p>
          <w:p w14:paraId="2E963A71" w14:textId="1C2444B0" w:rsidR="00C04F1F" w:rsidRPr="00CA6CD1" w:rsidRDefault="00C04F1F" w:rsidP="00C04F1F">
            <w:pPr>
              <w:spacing w:after="0" w:line="240" w:lineRule="auto"/>
              <w:rPr>
                <w:rFonts w:ascii="Helvetica 45" w:eastAsia="Times New Roman" w:hAnsi="Helvetica 45" w:cs="Times New Roman"/>
                <w:sz w:val="24"/>
                <w:szCs w:val="24"/>
                <w:lang w:eastAsia="en-US"/>
              </w:rPr>
            </w:pPr>
            <w:r w:rsidRPr="00CA6CD1">
              <w:rPr>
                <w:rFonts w:ascii="Helvetica 45" w:eastAsia="Times New Roman" w:hAnsi="Helvetica 45" w:cs="Times New Roman"/>
                <w:noProof/>
                <w:sz w:val="24"/>
                <w:szCs w:val="24"/>
              </w:rPr>
              <w:drawing>
                <wp:inline distT="0" distB="0" distL="0" distR="0" wp14:anchorId="0AC2A9EA" wp14:editId="60C5B7AD">
                  <wp:extent cx="2486025" cy="400050"/>
                  <wp:effectExtent l="0" t="0" r="9525" b="0"/>
                  <wp:docPr id="4" name="Picture 4" descr="#logo-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tit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6025" cy="400050"/>
                          </a:xfrm>
                          <a:prstGeom prst="rect">
                            <a:avLst/>
                          </a:prstGeom>
                          <a:noFill/>
                          <a:ln>
                            <a:noFill/>
                          </a:ln>
                        </pic:spPr>
                      </pic:pic>
                    </a:graphicData>
                  </a:graphic>
                </wp:inline>
              </w:drawing>
            </w:r>
          </w:p>
        </w:tc>
        <w:tc>
          <w:tcPr>
            <w:tcW w:w="3402" w:type="dxa"/>
            <w:tcBorders>
              <w:top w:val="single" w:sz="2" w:space="0" w:color="auto"/>
              <w:left w:val="nil"/>
              <w:bottom w:val="single" w:sz="24" w:space="0" w:color="auto"/>
              <w:right w:val="nil"/>
            </w:tcBorders>
          </w:tcPr>
          <w:p w14:paraId="544CDEEF" w14:textId="77777777" w:rsidR="00C04F1F" w:rsidRPr="00CA6CD1" w:rsidRDefault="00C04F1F" w:rsidP="00C04F1F">
            <w:pPr>
              <w:spacing w:after="0" w:line="240" w:lineRule="auto"/>
              <w:rPr>
                <w:rFonts w:ascii="Times New Roman" w:eastAsia="Times New Roman" w:hAnsi="Times New Roman" w:cs="Times New Roman"/>
                <w:sz w:val="20"/>
                <w:szCs w:val="24"/>
                <w:lang w:eastAsia="en-US"/>
              </w:rPr>
            </w:pPr>
          </w:p>
          <w:p w14:paraId="24116785" w14:textId="77777777" w:rsidR="00C04F1F" w:rsidRPr="00CA6CD1" w:rsidRDefault="00C04F1F" w:rsidP="00C04F1F">
            <w:pPr>
              <w:spacing w:after="0" w:line="240" w:lineRule="auto"/>
              <w:ind w:left="33"/>
              <w:rPr>
                <w:rFonts w:ascii="Times New Roman" w:eastAsia="Times New Roman" w:hAnsi="Times New Roman" w:cs="Times New Roman"/>
                <w:sz w:val="20"/>
                <w:szCs w:val="24"/>
                <w:lang w:eastAsia="en-US"/>
              </w:rPr>
            </w:pPr>
            <w:r w:rsidRPr="00CA6CD1">
              <w:rPr>
                <w:rFonts w:ascii="Times New Roman" w:eastAsia="Times New Roman" w:hAnsi="Times New Roman" w:cs="Times New Roman"/>
                <w:sz w:val="20"/>
                <w:szCs w:val="24"/>
                <w:lang w:eastAsia="en-US"/>
              </w:rPr>
              <w:t>Distr.: General</w:t>
            </w:r>
          </w:p>
          <w:p w14:paraId="4ABD13FC" w14:textId="4E14DA4F" w:rsidR="00C04F1F" w:rsidRPr="00CA6CD1" w:rsidRDefault="00805BB5" w:rsidP="00CA6CD1">
            <w:pPr>
              <w:spacing w:after="0" w:line="240" w:lineRule="auto"/>
              <w:ind w:left="33"/>
              <w:rPr>
                <w:rFonts w:ascii="Times New Roman" w:eastAsia="Times New Roman" w:hAnsi="Times New Roman" w:cs="Times New Roman"/>
                <w:sz w:val="20"/>
                <w:szCs w:val="24"/>
                <w:lang w:eastAsia="en-US"/>
              </w:rPr>
            </w:pPr>
            <w:r>
              <w:rPr>
                <w:rFonts w:ascii="Times New Roman" w:eastAsia="Times New Roman" w:hAnsi="Times New Roman" w:cs="Times New Roman"/>
                <w:sz w:val="20"/>
                <w:lang w:eastAsia="en-US"/>
              </w:rPr>
              <w:t>22</w:t>
            </w:r>
            <w:r w:rsidR="00D55018">
              <w:rPr>
                <w:rFonts w:ascii="Times New Roman" w:eastAsia="Times New Roman" w:hAnsi="Times New Roman" w:cs="Times New Roman"/>
                <w:sz w:val="20"/>
                <w:lang w:eastAsia="en-US"/>
              </w:rPr>
              <w:t xml:space="preserve"> January 2018</w:t>
            </w:r>
          </w:p>
          <w:p w14:paraId="52B48D00" w14:textId="77777777" w:rsidR="00C04F1F" w:rsidRPr="00CA6CD1" w:rsidRDefault="00C04F1F" w:rsidP="00C04F1F">
            <w:pPr>
              <w:spacing w:after="0" w:line="240" w:lineRule="auto"/>
              <w:ind w:left="317"/>
              <w:rPr>
                <w:rFonts w:ascii="Times New Roman" w:eastAsia="Times New Roman" w:hAnsi="Times New Roman" w:cs="Times New Roman"/>
                <w:sz w:val="20"/>
                <w:szCs w:val="24"/>
                <w:lang w:eastAsia="en-US"/>
              </w:rPr>
            </w:pPr>
          </w:p>
          <w:p w14:paraId="73922CC3" w14:textId="77777777" w:rsidR="00C04F1F" w:rsidRPr="00CA6CD1" w:rsidRDefault="00C04F1F" w:rsidP="00D55018">
            <w:pPr>
              <w:spacing w:after="0" w:line="240" w:lineRule="auto"/>
              <w:ind w:left="60"/>
              <w:rPr>
                <w:rFonts w:ascii="Times New Roman" w:eastAsia="Times New Roman" w:hAnsi="Times New Roman" w:cs="Times New Roman"/>
                <w:sz w:val="20"/>
                <w:szCs w:val="24"/>
                <w:lang w:eastAsia="en-US"/>
              </w:rPr>
            </w:pPr>
            <w:r w:rsidRPr="00CA6CD1">
              <w:rPr>
                <w:rFonts w:ascii="Times New Roman" w:eastAsia="Times New Roman" w:hAnsi="Times New Roman" w:cs="Times New Roman"/>
                <w:sz w:val="20"/>
                <w:szCs w:val="24"/>
                <w:lang w:eastAsia="en-US"/>
              </w:rPr>
              <w:t xml:space="preserve">English only </w:t>
            </w:r>
          </w:p>
        </w:tc>
      </w:tr>
    </w:tbl>
    <w:p w14:paraId="40E2F943" w14:textId="77777777" w:rsidR="00C04F1F" w:rsidRDefault="00C04F1F" w:rsidP="00C04F1F">
      <w:pPr>
        <w:contextualSpacing/>
        <w:rPr>
          <w:rFonts w:ascii="Times New Roman" w:eastAsia="Times New Roman" w:hAnsi="Times New Roman" w:cs="Times New Roman"/>
          <w:b/>
          <w:bCs/>
          <w:sz w:val="20"/>
          <w:szCs w:val="20"/>
          <w:lang w:val="en-GB"/>
        </w:rPr>
      </w:pPr>
      <w:r w:rsidRPr="00C04F1F">
        <w:rPr>
          <w:rFonts w:ascii="Times New Roman" w:eastAsia="DengXian" w:hAnsi="Times New Roman" w:cs="Times New Roman"/>
          <w:b/>
          <w:bCs/>
          <w:sz w:val="20"/>
          <w:szCs w:val="20"/>
        </w:rPr>
        <w:t xml:space="preserve">Second meeting of the intersessional process considering the Strategic Approach </w:t>
      </w:r>
    </w:p>
    <w:p w14:paraId="63AEF1B4" w14:textId="461F7BF3" w:rsidR="00C04F1F" w:rsidRPr="00CA6CD1" w:rsidRDefault="00C04F1F" w:rsidP="00C04F1F">
      <w:pPr>
        <w:contextualSpacing/>
        <w:rPr>
          <w:rFonts w:ascii="Times New Roman" w:eastAsia="Times New Roman" w:hAnsi="Times New Roman" w:cs="Times New Roman"/>
          <w:b/>
          <w:bCs/>
          <w:sz w:val="20"/>
          <w:szCs w:val="20"/>
          <w:lang w:val="en-GB"/>
        </w:rPr>
      </w:pPr>
      <w:r w:rsidRPr="00CA6CD1">
        <w:rPr>
          <w:rFonts w:ascii="Times New Roman" w:eastAsia="DengXian" w:hAnsi="Times New Roman" w:cs="Times New Roman"/>
          <w:b/>
          <w:bCs/>
          <w:sz w:val="20"/>
          <w:szCs w:val="20"/>
        </w:rPr>
        <w:t>and the sound management of chemicals and waste beyond 2020</w:t>
      </w:r>
    </w:p>
    <w:p w14:paraId="497B6E2B" w14:textId="3B19B53F" w:rsidR="00C04F1F" w:rsidRPr="00CA6CD1" w:rsidRDefault="00C04F1F" w:rsidP="00805BB5">
      <w:pPr>
        <w:spacing w:before="240" w:after="60" w:line="240" w:lineRule="auto"/>
        <w:rPr>
          <w:rFonts w:ascii="Times New Roman" w:eastAsia="DengXian" w:hAnsi="Times New Roman" w:cs="Times New Roman"/>
          <w:sz w:val="20"/>
          <w:szCs w:val="20"/>
        </w:rPr>
      </w:pPr>
      <w:r w:rsidRPr="00CA6CD1">
        <w:rPr>
          <w:rFonts w:ascii="Times New Roman" w:eastAsia="DengXian" w:hAnsi="Times New Roman" w:cs="Times New Roman"/>
          <w:sz w:val="20"/>
          <w:szCs w:val="20"/>
        </w:rPr>
        <w:t>Stockholm, Sweden, 13-15 March 201</w:t>
      </w:r>
      <w:r w:rsidR="00CA6CD1" w:rsidRPr="00CA6CD1">
        <w:rPr>
          <w:rFonts w:ascii="Times New Roman" w:eastAsia="DengXian" w:hAnsi="Times New Roman" w:cs="Times New Roman"/>
          <w:sz w:val="20"/>
          <w:szCs w:val="20"/>
        </w:rPr>
        <w:t>8</w:t>
      </w:r>
    </w:p>
    <w:p w14:paraId="744BBA05" w14:textId="2F6047CB" w:rsidR="00805BB5" w:rsidRPr="002E4E80" w:rsidRDefault="00805BB5" w:rsidP="00805BB5">
      <w:pPr>
        <w:tabs>
          <w:tab w:val="left" w:pos="624"/>
          <w:tab w:val="left" w:pos="1247"/>
          <w:tab w:val="left" w:pos="1871"/>
          <w:tab w:val="left" w:pos="2495"/>
          <w:tab w:val="left" w:pos="3119"/>
        </w:tabs>
        <w:spacing w:after="0" w:line="288" w:lineRule="auto"/>
        <w:rPr>
          <w:rFonts w:asciiTheme="majorBidi" w:hAnsiTheme="majorBidi" w:cstheme="majorBidi"/>
          <w:bCs/>
          <w:sz w:val="20"/>
          <w:szCs w:val="20"/>
        </w:rPr>
      </w:pPr>
      <w:r w:rsidRPr="002E4E80">
        <w:rPr>
          <w:rFonts w:asciiTheme="majorBidi" w:hAnsiTheme="majorBidi" w:cstheme="majorBidi"/>
          <w:sz w:val="20"/>
          <w:szCs w:val="20"/>
          <w:lang w:val="en-GB"/>
        </w:rPr>
        <w:t>Item 4 of the provisional agenda</w:t>
      </w:r>
      <w:r w:rsidRPr="002E4E80">
        <w:rPr>
          <w:rFonts w:asciiTheme="majorBidi" w:hAnsiTheme="majorBidi" w:cstheme="majorBidi"/>
          <w:sz w:val="20"/>
          <w:szCs w:val="20"/>
          <w:lang w:val="en-GB"/>
        </w:rPr>
        <w:footnoteReference w:customMarkFollows="1" w:id="2"/>
        <w:t>*</w:t>
      </w:r>
    </w:p>
    <w:p w14:paraId="3F821680" w14:textId="182C564B" w:rsidR="00C04F1F" w:rsidRPr="00C04F1F" w:rsidRDefault="00805BB5" w:rsidP="00805BB5">
      <w:pPr>
        <w:tabs>
          <w:tab w:val="left" w:pos="624"/>
          <w:tab w:val="left" w:pos="1247"/>
          <w:tab w:val="left" w:pos="1871"/>
          <w:tab w:val="left" w:pos="2495"/>
          <w:tab w:val="left" w:pos="3119"/>
        </w:tabs>
        <w:spacing w:before="60" w:after="0" w:line="240" w:lineRule="auto"/>
        <w:rPr>
          <w:rFonts w:ascii="Times New Roman" w:eastAsia="DengXian" w:hAnsi="Times New Roman" w:cs="Times New Roman"/>
          <w:b/>
          <w:bCs/>
          <w:sz w:val="24"/>
          <w:szCs w:val="24"/>
          <w:lang w:val="en-GB"/>
        </w:rPr>
      </w:pPr>
      <w:r w:rsidRPr="002E4E80">
        <w:rPr>
          <w:rFonts w:asciiTheme="majorBidi" w:hAnsiTheme="majorBidi" w:cstheme="majorBidi"/>
          <w:b/>
          <w:bCs/>
          <w:sz w:val="20"/>
          <w:szCs w:val="20"/>
        </w:rPr>
        <w:t>Considerations for beyond 2020</w:t>
      </w:r>
    </w:p>
    <w:p w14:paraId="7CA5FC38" w14:textId="782FE1C1" w:rsidR="00C04F1F" w:rsidRPr="00C04F1F" w:rsidRDefault="00805BB5" w:rsidP="006D6F7B">
      <w:pPr>
        <w:pStyle w:val="BBTitle"/>
        <w:tabs>
          <w:tab w:val="clear" w:pos="1247"/>
        </w:tabs>
        <w:ind w:left="1170"/>
        <w:contextualSpacing/>
        <w:rPr>
          <w:rFonts w:eastAsia="DengXian"/>
          <w:bCs/>
          <w:sz w:val="24"/>
          <w:szCs w:val="24"/>
        </w:rPr>
      </w:pPr>
      <w:r w:rsidRPr="00805BB5">
        <w:rPr>
          <w:bCs/>
          <w:szCs w:val="22"/>
        </w:rPr>
        <w:t>The contributions of the Basel, Rotterdam and Stockholm conventions to the sound management of chemicals and wastes</w:t>
      </w:r>
    </w:p>
    <w:p w14:paraId="086FE703" w14:textId="77777777" w:rsidR="00805BB5" w:rsidRPr="002E4E80" w:rsidRDefault="00805BB5" w:rsidP="00805BB5">
      <w:pPr>
        <w:tabs>
          <w:tab w:val="left" w:pos="624"/>
          <w:tab w:val="left" w:pos="1134"/>
          <w:tab w:val="left" w:pos="1871"/>
          <w:tab w:val="left" w:pos="2495"/>
          <w:tab w:val="left" w:pos="3119"/>
        </w:tabs>
        <w:spacing w:after="240" w:line="288" w:lineRule="auto"/>
        <w:ind w:left="1134"/>
        <w:rPr>
          <w:rFonts w:asciiTheme="majorBidi" w:hAnsiTheme="majorBidi" w:cstheme="majorBidi"/>
          <w:lang w:val="en-GB"/>
        </w:rPr>
      </w:pPr>
      <w:r w:rsidRPr="002E4E80">
        <w:rPr>
          <w:rFonts w:asciiTheme="majorBidi" w:hAnsiTheme="majorBidi" w:cstheme="majorBidi"/>
          <w:b/>
          <w:bCs/>
          <w:lang w:val="en-GB"/>
        </w:rPr>
        <w:t>Note by the secretariat</w:t>
      </w:r>
    </w:p>
    <w:p w14:paraId="51DB33E4" w14:textId="29A31B69" w:rsidR="00805BB5" w:rsidRPr="00805BB5" w:rsidRDefault="00805BB5" w:rsidP="002C0CB2">
      <w:pPr>
        <w:pStyle w:val="ListParagraph"/>
        <w:numPr>
          <w:ilvl w:val="0"/>
          <w:numId w:val="5"/>
        </w:numPr>
        <w:tabs>
          <w:tab w:val="left" w:pos="1134"/>
          <w:tab w:val="left" w:pos="1276"/>
          <w:tab w:val="left" w:pos="1701"/>
        </w:tabs>
        <w:ind w:left="1170" w:right="496" w:firstLine="0"/>
        <w:rPr>
          <w:rFonts w:ascii="Times New Roman" w:eastAsia="Times New Roman" w:hAnsi="Times New Roman" w:cs="Times New Roman"/>
          <w:sz w:val="20"/>
          <w:szCs w:val="20"/>
          <w:lang w:val="x-none" w:eastAsia="x-none"/>
        </w:rPr>
      </w:pPr>
      <w:r w:rsidRPr="00805BB5">
        <w:rPr>
          <w:rFonts w:ascii="Times New Roman" w:eastAsia="Times New Roman" w:hAnsi="Times New Roman" w:cs="Times New Roman"/>
          <w:sz w:val="20"/>
          <w:szCs w:val="20"/>
          <w:lang w:eastAsia="x-none"/>
        </w:rPr>
        <w:t xml:space="preserve">This note provides an overview of the contributions of </w:t>
      </w:r>
      <w:r w:rsidRPr="00805BB5">
        <w:rPr>
          <w:rFonts w:ascii="Times New Roman" w:eastAsia="Times New Roman" w:hAnsi="Times New Roman" w:cs="Times New Roman"/>
          <w:bCs/>
          <w:sz w:val="20"/>
          <w:szCs w:val="20"/>
          <w:lang w:eastAsia="x-none"/>
        </w:rPr>
        <w:t xml:space="preserve">the </w:t>
      </w:r>
      <w:r w:rsidRPr="00805BB5">
        <w:rPr>
          <w:rFonts w:ascii="Times New Roman" w:eastAsia="Times New Roman" w:hAnsi="Times New Roman" w:cs="Times New Roman"/>
          <w:sz w:val="20"/>
          <w:szCs w:val="20"/>
          <w:lang w:eastAsia="x-none"/>
        </w:rPr>
        <w:t>Basel Convention on the Control of Transboundary Movements of Hazardous Wastes and Their Disposal</w:t>
      </w:r>
      <w:r w:rsidRPr="00805BB5">
        <w:rPr>
          <w:rFonts w:ascii="Times New Roman" w:eastAsia="Times New Roman" w:hAnsi="Times New Roman" w:cs="Times New Roman"/>
          <w:bCs/>
          <w:sz w:val="20"/>
          <w:szCs w:val="20"/>
          <w:lang w:eastAsia="x-none"/>
        </w:rPr>
        <w:t xml:space="preserve">, the </w:t>
      </w:r>
      <w:r w:rsidRPr="00805BB5">
        <w:rPr>
          <w:rFonts w:ascii="Times New Roman" w:eastAsia="Times New Roman" w:hAnsi="Times New Roman" w:cs="Times New Roman"/>
          <w:sz w:val="20"/>
          <w:szCs w:val="20"/>
          <w:lang w:eastAsia="x-none"/>
        </w:rPr>
        <w:t>Rotterdam Convention on the Prior Informed Consent Procedure for Certain Hazardous Chemicals and Pesticides in International Trade</w:t>
      </w:r>
      <w:r w:rsidRPr="00805BB5">
        <w:rPr>
          <w:rFonts w:ascii="Times New Roman" w:eastAsia="Times New Roman" w:hAnsi="Times New Roman" w:cs="Times New Roman"/>
          <w:bCs/>
          <w:sz w:val="20"/>
          <w:szCs w:val="20"/>
          <w:lang w:eastAsia="x-none"/>
        </w:rPr>
        <w:t xml:space="preserve"> and the Stockholm Convention on Persistent Organic Pollutants towards the achievement of the 2020 goal on the sound management of chemicals and wastes and the 2030 Agenda for Sustainable Development and the Sustainable Development Goals. </w:t>
      </w:r>
    </w:p>
    <w:p w14:paraId="715F58B1" w14:textId="77777777" w:rsidR="00805BB5" w:rsidRPr="00805BB5" w:rsidRDefault="00805BB5" w:rsidP="00805BB5">
      <w:pPr>
        <w:pStyle w:val="ListParagraph"/>
        <w:tabs>
          <w:tab w:val="left" w:pos="1134"/>
          <w:tab w:val="left" w:pos="1276"/>
          <w:tab w:val="left" w:pos="1701"/>
        </w:tabs>
        <w:ind w:left="1170" w:right="496"/>
        <w:rPr>
          <w:rFonts w:ascii="Times New Roman" w:eastAsia="Times New Roman" w:hAnsi="Times New Roman" w:cs="Times New Roman"/>
          <w:sz w:val="20"/>
          <w:szCs w:val="20"/>
          <w:lang w:val="x-none" w:eastAsia="x-none"/>
        </w:rPr>
      </w:pPr>
    </w:p>
    <w:p w14:paraId="1024C5FB" w14:textId="4A6CFAB8" w:rsidR="007502FD" w:rsidRPr="007502FD" w:rsidRDefault="00805BB5" w:rsidP="002C0CB2">
      <w:pPr>
        <w:pStyle w:val="ListParagraph"/>
        <w:numPr>
          <w:ilvl w:val="0"/>
          <w:numId w:val="5"/>
        </w:numPr>
        <w:tabs>
          <w:tab w:val="left" w:pos="1134"/>
          <w:tab w:val="left" w:pos="1276"/>
          <w:tab w:val="left" w:pos="1701"/>
        </w:tabs>
        <w:spacing w:before="240"/>
        <w:ind w:left="1170" w:right="496" w:firstLine="0"/>
        <w:rPr>
          <w:rFonts w:ascii="Times New Roman" w:eastAsia="Times New Roman" w:hAnsi="Times New Roman" w:cs="Times New Roman"/>
          <w:sz w:val="20"/>
          <w:szCs w:val="20"/>
          <w:lang w:val="x-none" w:eastAsia="x-none"/>
        </w:rPr>
      </w:pPr>
      <w:r w:rsidRPr="00805BB5">
        <w:rPr>
          <w:rFonts w:ascii="Times New Roman" w:eastAsia="Times New Roman" w:hAnsi="Times New Roman" w:cs="Times New Roman"/>
          <w:sz w:val="20"/>
          <w:szCs w:val="20"/>
          <w:lang w:eastAsia="x-none"/>
        </w:rPr>
        <w:t>The report is presented as received by the secretariat, without formal editing.</w:t>
      </w:r>
    </w:p>
    <w:p w14:paraId="4B550590" w14:textId="77777777" w:rsidR="00805BB5" w:rsidRPr="00805BB5" w:rsidRDefault="00805BB5" w:rsidP="002C0CB2">
      <w:pPr>
        <w:pStyle w:val="ListParagraph"/>
        <w:numPr>
          <w:ilvl w:val="0"/>
          <w:numId w:val="5"/>
        </w:numPr>
        <w:rPr>
          <w:rFonts w:ascii="Times New Roman" w:hAnsi="Times New Roman" w:cs="Times New Roman"/>
          <w:b/>
        </w:rPr>
      </w:pPr>
      <w:r w:rsidRPr="00805BB5">
        <w:rPr>
          <w:rFonts w:ascii="Times New Roman" w:hAnsi="Times New Roman" w:cs="Times New Roman"/>
          <w:b/>
        </w:rPr>
        <w:br w:type="page"/>
      </w:r>
    </w:p>
    <w:p w14:paraId="0D9B018A" w14:textId="77777777" w:rsidR="00805BB5" w:rsidRPr="006E3360" w:rsidRDefault="00805BB5" w:rsidP="00805BB5">
      <w:pPr>
        <w:rPr>
          <w:rFonts w:ascii="Times New Roman" w:hAnsi="Times New Roman" w:cs="Times New Roman"/>
          <w:b/>
          <w:sz w:val="28"/>
          <w:szCs w:val="28"/>
        </w:rPr>
      </w:pPr>
      <w:r w:rsidRPr="006E3360">
        <w:rPr>
          <w:rFonts w:ascii="Times New Roman" w:hAnsi="Times New Roman" w:cs="Times New Roman"/>
          <w:b/>
          <w:sz w:val="28"/>
          <w:szCs w:val="28"/>
        </w:rPr>
        <w:lastRenderedPageBreak/>
        <w:t xml:space="preserve">Annex </w:t>
      </w:r>
    </w:p>
    <w:p w14:paraId="0E96CE32" w14:textId="77777777" w:rsidR="00805BB5" w:rsidRPr="008F4794" w:rsidRDefault="00805BB5" w:rsidP="00805BB5">
      <w:pPr>
        <w:keepNext/>
        <w:keepLines/>
        <w:tabs>
          <w:tab w:val="left" w:pos="1247"/>
          <w:tab w:val="left" w:pos="1814"/>
          <w:tab w:val="left" w:pos="2381"/>
          <w:tab w:val="left" w:pos="2948"/>
          <w:tab w:val="left" w:pos="3515"/>
          <w:tab w:val="left" w:pos="4082"/>
        </w:tabs>
        <w:suppressAutoHyphens/>
        <w:spacing w:before="240" w:after="240" w:line="240" w:lineRule="auto"/>
        <w:ind w:left="1247" w:right="567"/>
        <w:rPr>
          <w:rFonts w:ascii="Times New Roman" w:eastAsia="Calibri" w:hAnsi="Times New Roman" w:cs="Times New Roman"/>
          <w:b/>
          <w:sz w:val="28"/>
          <w:szCs w:val="24"/>
          <w:lang w:val="en-GB"/>
        </w:rPr>
      </w:pPr>
      <w:bookmarkStart w:id="1" w:name="_Hlk503878718"/>
      <w:r w:rsidRPr="008F4794">
        <w:rPr>
          <w:rFonts w:ascii="Times New Roman" w:eastAsia="Calibri" w:hAnsi="Times New Roman" w:cs="Times New Roman"/>
          <w:b/>
          <w:sz w:val="28"/>
          <w:szCs w:val="24"/>
          <w:lang w:val="en-GB"/>
        </w:rPr>
        <w:t xml:space="preserve">The Basel, Rotterdam and Stockholm conventions and their contribution to the sound management of chemicals and wastes </w:t>
      </w:r>
    </w:p>
    <w:bookmarkEnd w:id="1"/>
    <w:p w14:paraId="4A711D72" w14:textId="77777777" w:rsidR="00805BB5" w:rsidRPr="00DE27D2" w:rsidRDefault="00805BB5" w:rsidP="002C0CB2">
      <w:pPr>
        <w:pStyle w:val="CH1"/>
        <w:numPr>
          <w:ilvl w:val="0"/>
          <w:numId w:val="15"/>
        </w:numPr>
        <w:tabs>
          <w:tab w:val="clear" w:pos="851"/>
          <w:tab w:val="clear" w:pos="1247"/>
          <w:tab w:val="clear" w:pos="1814"/>
          <w:tab w:val="clear" w:pos="2381"/>
          <w:tab w:val="clear" w:pos="2948"/>
          <w:tab w:val="clear" w:pos="3515"/>
          <w:tab w:val="clear" w:pos="4082"/>
          <w:tab w:val="left" w:pos="1276"/>
        </w:tabs>
        <w:suppressAutoHyphens w:val="0"/>
        <w:spacing w:before="120"/>
        <w:ind w:left="1276" w:right="0" w:hanging="283"/>
        <w:outlineLvl w:val="1"/>
      </w:pPr>
      <w:r w:rsidRPr="00DE27D2">
        <w:t xml:space="preserve">Introduction </w:t>
      </w:r>
    </w:p>
    <w:p w14:paraId="70836A9D" w14:textId="77777777" w:rsidR="00805BB5" w:rsidRPr="00C96667" w:rsidRDefault="00805BB5" w:rsidP="002C0CB2">
      <w:pPr>
        <w:pStyle w:val="NormalNonumber"/>
        <w:numPr>
          <w:ilvl w:val="0"/>
          <w:numId w:val="7"/>
        </w:numPr>
        <w:ind w:left="1247" w:firstLine="0"/>
        <w:rPr>
          <w:lang w:val="en-US"/>
        </w:rPr>
      </w:pPr>
      <w:r w:rsidRPr="00C96667">
        <w:rPr>
          <w:lang w:val="en-US"/>
        </w:rPr>
        <w:t xml:space="preserve">The present document aims at assisting stakeholders of the Strategic Approach to International Chemicals Management (SAICM) in their deliberations on considering future arrangements for SAICM and the sound management of chemicals and wastes beyond 2020.  </w:t>
      </w:r>
    </w:p>
    <w:p w14:paraId="7C9DFED2" w14:textId="77777777" w:rsidR="00805BB5" w:rsidRPr="00235CFE" w:rsidRDefault="00805BB5" w:rsidP="002C0CB2">
      <w:pPr>
        <w:pStyle w:val="NormalNonumber"/>
        <w:numPr>
          <w:ilvl w:val="0"/>
          <w:numId w:val="7"/>
        </w:numPr>
        <w:ind w:left="1247" w:firstLine="0"/>
      </w:pPr>
      <w:r w:rsidRPr="00235CFE">
        <w:t>It provides:</w:t>
      </w:r>
    </w:p>
    <w:p w14:paraId="5445ACCF" w14:textId="77777777" w:rsidR="00805BB5" w:rsidRPr="003A1F07" w:rsidRDefault="00805BB5" w:rsidP="002C0CB2">
      <w:pPr>
        <w:pStyle w:val="NormalNonumber"/>
        <w:numPr>
          <w:ilvl w:val="0"/>
          <w:numId w:val="8"/>
        </w:numPr>
        <w:ind w:left="1276" w:firstLine="524"/>
        <w:rPr>
          <w:lang w:val="en-US"/>
        </w:rPr>
      </w:pPr>
      <w:r w:rsidRPr="003A1F07">
        <w:rPr>
          <w:lang w:val="en-US"/>
        </w:rPr>
        <w:t xml:space="preserve">An overview of the Basel Convention on the Control of Transboundary Movements of Hazardous Wastes and Their Disposal, the Rotterdam Convention on the Prior Informed Consent Procedure for Certain Hazardous Chemicals and Pesticides in International Trade and the Stockholm Convention on Persistent Organic Pollutants, and how they tie in to the 2020 goal and the 2030 Agenda for Sustainable Development and the Sustainable Development Goals; </w:t>
      </w:r>
    </w:p>
    <w:p w14:paraId="1003580B" w14:textId="77777777" w:rsidR="00805BB5" w:rsidRPr="003A1F07" w:rsidRDefault="00805BB5" w:rsidP="002C0CB2">
      <w:pPr>
        <w:pStyle w:val="NormalNonumber"/>
        <w:numPr>
          <w:ilvl w:val="0"/>
          <w:numId w:val="8"/>
        </w:numPr>
        <w:ind w:left="1276" w:firstLine="524"/>
        <w:rPr>
          <w:lang w:val="en-US"/>
        </w:rPr>
      </w:pPr>
      <w:r w:rsidRPr="003A1F07">
        <w:rPr>
          <w:lang w:val="en-US"/>
        </w:rPr>
        <w:t xml:space="preserve">Information on the effectiveness and evolution of the Basel, Rotterdam and Stockholm conventions; </w:t>
      </w:r>
    </w:p>
    <w:p w14:paraId="6B55657A" w14:textId="77777777" w:rsidR="00805BB5" w:rsidRPr="003A1F07" w:rsidRDefault="00805BB5" w:rsidP="002C0CB2">
      <w:pPr>
        <w:pStyle w:val="NormalNonumber"/>
        <w:numPr>
          <w:ilvl w:val="0"/>
          <w:numId w:val="8"/>
        </w:numPr>
        <w:ind w:left="1276" w:firstLine="524"/>
        <w:rPr>
          <w:lang w:val="en-US"/>
        </w:rPr>
      </w:pPr>
      <w:r w:rsidRPr="003A1F07">
        <w:rPr>
          <w:lang w:val="en-US"/>
        </w:rPr>
        <w:t>Information on current mandates for cooperation between SAICM and the conventions.</w:t>
      </w:r>
      <w:bookmarkStart w:id="2" w:name="_Hlk503803991"/>
      <w:r w:rsidRPr="003A1F07">
        <w:rPr>
          <w:lang w:val="en-US"/>
        </w:rPr>
        <w:t xml:space="preserve"> </w:t>
      </w:r>
    </w:p>
    <w:bookmarkEnd w:id="2"/>
    <w:p w14:paraId="4622DE19" w14:textId="77777777" w:rsidR="00805BB5" w:rsidRPr="003A1F07" w:rsidRDefault="00805BB5" w:rsidP="002C0CB2">
      <w:pPr>
        <w:pStyle w:val="CH1"/>
        <w:numPr>
          <w:ilvl w:val="0"/>
          <w:numId w:val="15"/>
        </w:numPr>
        <w:tabs>
          <w:tab w:val="clear" w:pos="851"/>
          <w:tab w:val="clear" w:pos="1247"/>
          <w:tab w:val="clear" w:pos="1814"/>
          <w:tab w:val="clear" w:pos="2381"/>
          <w:tab w:val="clear" w:pos="2948"/>
          <w:tab w:val="clear" w:pos="3515"/>
          <w:tab w:val="clear" w:pos="4082"/>
          <w:tab w:val="left" w:pos="1276"/>
        </w:tabs>
        <w:suppressAutoHyphens w:val="0"/>
        <w:spacing w:before="120"/>
        <w:ind w:left="1276" w:right="0" w:hanging="283"/>
        <w:outlineLvl w:val="1"/>
      </w:pPr>
      <w:r w:rsidRPr="003A1F07">
        <w:t>The Basel, Rotterdam and Stockholm conventions: A framework for lifecycle management</w:t>
      </w:r>
    </w:p>
    <w:p w14:paraId="42AF4AC3" w14:textId="77777777" w:rsidR="00805BB5" w:rsidRPr="002279DB" w:rsidRDefault="00805BB5" w:rsidP="002C0CB2">
      <w:pPr>
        <w:pStyle w:val="NormalNonumber"/>
        <w:numPr>
          <w:ilvl w:val="0"/>
          <w:numId w:val="7"/>
        </w:numPr>
        <w:ind w:left="1247" w:firstLine="0"/>
        <w:rPr>
          <w:rFonts w:asciiTheme="majorBidi" w:eastAsia="Calibri" w:hAnsiTheme="majorBidi" w:cstheme="majorBidi"/>
          <w:lang w:val="en-US"/>
        </w:rPr>
      </w:pPr>
      <w:r w:rsidRPr="003A1F07">
        <w:rPr>
          <w:rFonts w:asciiTheme="majorBidi" w:eastAsia="Calibri" w:hAnsiTheme="majorBidi" w:cstheme="majorBidi"/>
          <w:lang w:val="en-US"/>
        </w:rPr>
        <w:t xml:space="preserve">The Basel, Rotterdam and Stockholm conventions share the common objective of protecting human health and the environment from </w:t>
      </w:r>
      <w:r w:rsidRPr="003A1F07">
        <w:rPr>
          <w:rFonts w:eastAsiaTheme="minorHAnsi"/>
          <w:lang w:val="en-US"/>
        </w:rPr>
        <w:t>hazardous</w:t>
      </w:r>
      <w:r w:rsidRPr="003A1F07">
        <w:rPr>
          <w:rFonts w:asciiTheme="majorBidi" w:eastAsia="Calibri" w:hAnsiTheme="majorBidi" w:cstheme="majorBidi"/>
          <w:lang w:val="en-US"/>
        </w:rPr>
        <w:t xml:space="preserve"> chemicals and wastes falling within their respective scopes. </w:t>
      </w:r>
      <w:r w:rsidRPr="002279DB">
        <w:rPr>
          <w:rFonts w:asciiTheme="majorBidi" w:eastAsia="Calibri" w:hAnsiTheme="majorBidi" w:cstheme="majorBidi"/>
          <w:lang w:val="en-US"/>
        </w:rPr>
        <w:t xml:space="preserve">Taken together they cover key elements of “cradle-to-grave” management.  </w:t>
      </w:r>
    </w:p>
    <w:p w14:paraId="59D3E0F9" w14:textId="77777777" w:rsidR="00805BB5" w:rsidRPr="002279DB" w:rsidRDefault="00805BB5" w:rsidP="002C0CB2">
      <w:pPr>
        <w:pStyle w:val="NormalNonumber"/>
        <w:numPr>
          <w:ilvl w:val="0"/>
          <w:numId w:val="7"/>
        </w:numPr>
        <w:ind w:left="1247" w:firstLine="0"/>
        <w:rPr>
          <w:rFonts w:asciiTheme="majorBidi" w:eastAsia="Calibri" w:hAnsiTheme="majorBidi" w:cstheme="majorBidi"/>
          <w:lang w:val="en-US"/>
        </w:rPr>
      </w:pPr>
      <w:r w:rsidRPr="002279DB">
        <w:rPr>
          <w:rFonts w:asciiTheme="majorBidi" w:eastAsia="Calibri" w:hAnsiTheme="majorBidi" w:cstheme="majorBidi"/>
          <w:lang w:val="en-US"/>
        </w:rPr>
        <w:t xml:space="preserve">Through their </w:t>
      </w:r>
      <w:r w:rsidRPr="002279DB">
        <w:rPr>
          <w:rFonts w:eastAsiaTheme="minorHAnsi"/>
          <w:lang w:val="en-US"/>
        </w:rPr>
        <w:t>implementation</w:t>
      </w:r>
      <w:r w:rsidRPr="002279DB">
        <w:rPr>
          <w:rFonts w:asciiTheme="majorBidi" w:eastAsia="Calibri" w:hAnsiTheme="majorBidi" w:cstheme="majorBidi"/>
          <w:lang w:val="en-US"/>
        </w:rPr>
        <w:t xml:space="preserve"> at all levels, the three conventions significantly contribute to achieving the 2020 goal as described in the sections below.</w:t>
      </w:r>
    </w:p>
    <w:p w14:paraId="306A8AE6" w14:textId="77777777" w:rsidR="00805BB5" w:rsidRPr="003A1F07" w:rsidRDefault="00805BB5" w:rsidP="002C0CB2">
      <w:pPr>
        <w:pStyle w:val="CH1"/>
        <w:numPr>
          <w:ilvl w:val="0"/>
          <w:numId w:val="13"/>
        </w:numPr>
        <w:tabs>
          <w:tab w:val="clear" w:pos="851"/>
          <w:tab w:val="clear" w:pos="1247"/>
          <w:tab w:val="clear" w:pos="1814"/>
          <w:tab w:val="clear" w:pos="2381"/>
          <w:tab w:val="clear" w:pos="2948"/>
          <w:tab w:val="clear" w:pos="3515"/>
          <w:tab w:val="clear" w:pos="4082"/>
          <w:tab w:val="left" w:pos="1276"/>
        </w:tabs>
        <w:suppressAutoHyphens w:val="0"/>
        <w:spacing w:before="120"/>
        <w:ind w:right="0"/>
        <w:outlineLvl w:val="1"/>
      </w:pPr>
      <w:r w:rsidRPr="003A1F07">
        <w:t>The Basel Convention on the Control of Transboundary Movements of Hazardous Wastes and their Disposal</w:t>
      </w:r>
    </w:p>
    <w:p w14:paraId="025F5640" w14:textId="77777777" w:rsidR="00805BB5" w:rsidRPr="002279DB" w:rsidRDefault="00805BB5" w:rsidP="002C0CB2">
      <w:pPr>
        <w:pStyle w:val="NormalNonumber"/>
        <w:numPr>
          <w:ilvl w:val="0"/>
          <w:numId w:val="7"/>
        </w:numPr>
        <w:ind w:left="1247" w:firstLine="0"/>
        <w:rPr>
          <w:rFonts w:asciiTheme="majorBidi" w:eastAsia="Calibri" w:hAnsiTheme="majorBidi" w:cstheme="majorBidi"/>
          <w:lang w:val="en-US"/>
        </w:rPr>
      </w:pPr>
      <w:r w:rsidRPr="003A1F07">
        <w:rPr>
          <w:rFonts w:asciiTheme="majorBidi" w:eastAsia="Calibri" w:hAnsiTheme="majorBidi" w:cstheme="majorBidi"/>
          <w:lang w:val="en-US"/>
        </w:rPr>
        <w:t xml:space="preserve">The Basel Convention was adopted in 1989 and entered into force in 1992. </w:t>
      </w:r>
      <w:r w:rsidRPr="002279DB">
        <w:rPr>
          <w:rFonts w:asciiTheme="majorBidi" w:eastAsia="Calibri" w:hAnsiTheme="majorBidi" w:cstheme="majorBidi"/>
          <w:lang w:val="en-US"/>
        </w:rPr>
        <w:t xml:space="preserve">As at 15 January 2018, it has 186 Parties. The Convention is the most comprehensive global environmental agreement on wastes. Its scope of application covers a wide range of wastes defined as “hazardous wastes” based on their origin and/or composition and their characteristics, as well “other wastes” (household waste and incinerator ash). </w:t>
      </w:r>
    </w:p>
    <w:p w14:paraId="1E7C8DAC" w14:textId="77777777" w:rsidR="00805BB5" w:rsidRPr="002279DB" w:rsidRDefault="00805BB5" w:rsidP="002C0CB2">
      <w:pPr>
        <w:pStyle w:val="NormalNonumber"/>
        <w:numPr>
          <w:ilvl w:val="0"/>
          <w:numId w:val="7"/>
        </w:numPr>
        <w:ind w:left="1247" w:firstLine="0"/>
        <w:rPr>
          <w:rFonts w:asciiTheme="majorBidi" w:eastAsia="Calibri" w:hAnsiTheme="majorBidi" w:cstheme="majorBidi"/>
          <w:lang w:val="en-US"/>
        </w:rPr>
      </w:pPr>
      <w:r w:rsidRPr="002279DB">
        <w:rPr>
          <w:rFonts w:asciiTheme="majorBidi" w:eastAsia="Calibri" w:hAnsiTheme="majorBidi" w:cstheme="majorBidi"/>
          <w:lang w:val="en-US"/>
        </w:rPr>
        <w:t xml:space="preserve">The provisions of the Convention </w:t>
      </w:r>
      <w:proofErr w:type="spellStart"/>
      <w:r w:rsidRPr="002279DB">
        <w:rPr>
          <w:rFonts w:asciiTheme="majorBidi" w:eastAsia="Calibri" w:hAnsiTheme="majorBidi" w:cstheme="majorBidi"/>
          <w:lang w:val="en-US"/>
        </w:rPr>
        <w:t>centre</w:t>
      </w:r>
      <w:proofErr w:type="spellEnd"/>
      <w:r w:rsidRPr="002279DB">
        <w:rPr>
          <w:rFonts w:asciiTheme="majorBidi" w:eastAsia="Calibri" w:hAnsiTheme="majorBidi" w:cstheme="majorBidi"/>
          <w:lang w:val="en-US"/>
        </w:rPr>
        <w:t xml:space="preserve"> around: </w:t>
      </w:r>
    </w:p>
    <w:p w14:paraId="2B53D0B6" w14:textId="77777777" w:rsidR="00805BB5" w:rsidRPr="003A1F07" w:rsidRDefault="00805BB5" w:rsidP="002C0CB2">
      <w:pPr>
        <w:pStyle w:val="NormalNonumber"/>
        <w:numPr>
          <w:ilvl w:val="0"/>
          <w:numId w:val="9"/>
        </w:numPr>
        <w:ind w:left="2410" w:hanging="610"/>
        <w:rPr>
          <w:lang w:val="en-US"/>
        </w:rPr>
      </w:pPr>
      <w:r w:rsidRPr="003A1F07">
        <w:rPr>
          <w:lang w:val="en-US"/>
        </w:rPr>
        <w:t xml:space="preserve">Reduction of waste generation; </w:t>
      </w:r>
      <w:r>
        <w:rPr>
          <w:lang w:val="en-US"/>
        </w:rPr>
        <w:t>(article 4)</w:t>
      </w:r>
    </w:p>
    <w:p w14:paraId="497A9CB3" w14:textId="77777777" w:rsidR="00805BB5" w:rsidRPr="003A1F07" w:rsidRDefault="00805BB5" w:rsidP="002C0CB2">
      <w:pPr>
        <w:pStyle w:val="NormalNonumber"/>
        <w:numPr>
          <w:ilvl w:val="0"/>
          <w:numId w:val="9"/>
        </w:numPr>
        <w:ind w:left="1276" w:firstLine="524"/>
        <w:rPr>
          <w:lang w:val="en-US"/>
        </w:rPr>
      </w:pPr>
      <w:r w:rsidRPr="003A1F07">
        <w:rPr>
          <w:lang w:val="en-US"/>
        </w:rPr>
        <w:t>Promotion of environmentally sound management of wastes; (article 4)</w:t>
      </w:r>
    </w:p>
    <w:p w14:paraId="7FDA5CE9" w14:textId="77777777" w:rsidR="00805BB5" w:rsidRPr="003A1F07" w:rsidRDefault="00805BB5" w:rsidP="002C0CB2">
      <w:pPr>
        <w:pStyle w:val="NormalNonumber"/>
        <w:numPr>
          <w:ilvl w:val="0"/>
          <w:numId w:val="9"/>
        </w:numPr>
        <w:ind w:left="1276" w:firstLine="524"/>
        <w:rPr>
          <w:lang w:val="en-US"/>
        </w:rPr>
      </w:pPr>
      <w:r w:rsidRPr="003A1F07">
        <w:rPr>
          <w:lang w:val="en-US"/>
        </w:rPr>
        <w:t>Restriction of transboundary movements of wastes except where it is perceived to be in accordance with the principles of environmentally sound management. A regulatory system based on a prior informed procedure applies for cases where transboundary movements are permissible. Under the Basel Convention, Parties consider that illegal traffic is criminal. (articles 4 and 6, 7, 8, 9, 11)</w:t>
      </w:r>
      <w:r>
        <w:rPr>
          <w:lang w:val="en-US"/>
        </w:rPr>
        <w:t>.</w:t>
      </w:r>
    </w:p>
    <w:p w14:paraId="772B4755" w14:textId="77777777" w:rsidR="00805BB5" w:rsidRPr="003A1F07" w:rsidRDefault="00805BB5" w:rsidP="002C0CB2">
      <w:pPr>
        <w:pStyle w:val="NormalNonumber"/>
        <w:numPr>
          <w:ilvl w:val="0"/>
          <w:numId w:val="7"/>
        </w:numPr>
        <w:ind w:left="1247" w:firstLine="0"/>
        <w:rPr>
          <w:rFonts w:asciiTheme="majorBidi" w:eastAsia="Calibri" w:hAnsiTheme="majorBidi" w:cstheme="majorBidi"/>
          <w:lang w:val="en-US"/>
        </w:rPr>
      </w:pPr>
      <w:r w:rsidRPr="003A1F07">
        <w:rPr>
          <w:rFonts w:asciiTheme="majorBidi" w:eastAsia="Calibri" w:hAnsiTheme="majorBidi" w:cstheme="majorBidi"/>
          <w:lang w:val="en-US"/>
        </w:rPr>
        <w:t xml:space="preserve">Other provisions of the Convention relate to cooperation between Parties, ranging from exchange of information on issues relevant to the implementation of the Convention to technical assistance (article 10), transmission of information (Article 13), financial aspects and establishment of regional or sub-regional </w:t>
      </w:r>
      <w:proofErr w:type="spellStart"/>
      <w:r w:rsidRPr="003A1F07">
        <w:rPr>
          <w:rFonts w:asciiTheme="majorBidi" w:eastAsia="Calibri" w:hAnsiTheme="majorBidi" w:cstheme="majorBidi"/>
          <w:lang w:val="en-US"/>
        </w:rPr>
        <w:t>centres</w:t>
      </w:r>
      <w:proofErr w:type="spellEnd"/>
      <w:r w:rsidRPr="003A1F07">
        <w:rPr>
          <w:rFonts w:asciiTheme="majorBidi" w:eastAsia="Calibri" w:hAnsiTheme="majorBidi" w:cstheme="majorBidi"/>
          <w:lang w:val="en-US"/>
        </w:rPr>
        <w:t xml:space="preserve"> for training and technology transfers (Article 14), secretariat functions, including to act as a clearing-house (article 16). </w:t>
      </w:r>
    </w:p>
    <w:p w14:paraId="525C8F46" w14:textId="77777777" w:rsidR="00805BB5" w:rsidRPr="002279DB" w:rsidRDefault="00805BB5" w:rsidP="002C0CB2">
      <w:pPr>
        <w:pStyle w:val="NormalNonumber"/>
        <w:numPr>
          <w:ilvl w:val="0"/>
          <w:numId w:val="7"/>
        </w:numPr>
        <w:ind w:left="1247" w:firstLine="0"/>
        <w:rPr>
          <w:rFonts w:asciiTheme="majorBidi" w:eastAsia="Calibri" w:hAnsiTheme="majorBidi" w:cstheme="majorBidi"/>
          <w:lang w:val="en-US"/>
        </w:rPr>
      </w:pPr>
      <w:r w:rsidRPr="002279DB">
        <w:rPr>
          <w:rFonts w:asciiTheme="majorBidi" w:eastAsia="Calibri" w:hAnsiTheme="majorBidi" w:cstheme="majorBidi"/>
          <w:lang w:val="en-US"/>
        </w:rPr>
        <w:t xml:space="preserve">Examples of hazardous wastes covered under the Convention include waste streams such as clinical wastes, electrical and electronic wastes, and wastes having certain constituents such as lead, cadmium, asbestos or mercury. </w:t>
      </w:r>
    </w:p>
    <w:p w14:paraId="43F152F6" w14:textId="77777777" w:rsidR="00805BB5" w:rsidRPr="003A1F07" w:rsidRDefault="00805BB5" w:rsidP="002C0CB2">
      <w:pPr>
        <w:pStyle w:val="CH1"/>
        <w:numPr>
          <w:ilvl w:val="0"/>
          <w:numId w:val="13"/>
        </w:numPr>
        <w:tabs>
          <w:tab w:val="clear" w:pos="851"/>
          <w:tab w:val="clear" w:pos="1247"/>
          <w:tab w:val="clear" w:pos="1814"/>
          <w:tab w:val="clear" w:pos="2381"/>
          <w:tab w:val="clear" w:pos="2948"/>
          <w:tab w:val="clear" w:pos="3515"/>
          <w:tab w:val="clear" w:pos="4082"/>
          <w:tab w:val="left" w:pos="1276"/>
        </w:tabs>
        <w:suppressAutoHyphens w:val="0"/>
        <w:spacing w:before="120"/>
        <w:ind w:right="0"/>
        <w:outlineLvl w:val="1"/>
      </w:pPr>
      <w:r w:rsidRPr="003A1F07">
        <w:lastRenderedPageBreak/>
        <w:tab/>
        <w:t xml:space="preserve">The Rotterdam Convention on the Prior Informed Consent Procedure for Certain Hazardous Chemicals and Pesticides in International Trade </w:t>
      </w:r>
    </w:p>
    <w:p w14:paraId="1C087BBD" w14:textId="77777777" w:rsidR="00805BB5" w:rsidRPr="002279DB" w:rsidRDefault="00805BB5" w:rsidP="002C0CB2">
      <w:pPr>
        <w:pStyle w:val="NormalNonumber"/>
        <w:numPr>
          <w:ilvl w:val="0"/>
          <w:numId w:val="7"/>
        </w:numPr>
        <w:ind w:left="1247" w:firstLine="0"/>
        <w:rPr>
          <w:rFonts w:asciiTheme="majorBidi" w:eastAsia="Calibri" w:hAnsiTheme="majorBidi" w:cstheme="majorBidi"/>
          <w:lang w:val="en-US"/>
        </w:rPr>
      </w:pPr>
      <w:r w:rsidRPr="002279DB">
        <w:rPr>
          <w:rFonts w:asciiTheme="majorBidi" w:eastAsia="Calibri" w:hAnsiTheme="majorBidi" w:cstheme="majorBidi"/>
          <w:lang w:val="en-US"/>
        </w:rPr>
        <w:t>The Rotterdam Convention was adopted in 1998 and entered into force in 200</w:t>
      </w:r>
      <w:r>
        <w:rPr>
          <w:rFonts w:asciiTheme="majorBidi" w:eastAsia="Calibri" w:hAnsiTheme="majorBidi" w:cstheme="majorBidi"/>
          <w:lang w:val="en-US"/>
        </w:rPr>
        <w:t>4</w:t>
      </w:r>
      <w:r w:rsidRPr="002279DB">
        <w:rPr>
          <w:rFonts w:asciiTheme="majorBidi" w:eastAsia="Calibri" w:hAnsiTheme="majorBidi" w:cstheme="majorBidi"/>
          <w:lang w:val="en-US"/>
        </w:rPr>
        <w:t xml:space="preserve">. As at 15 January 2018, it has 160 Parties. It promotes shared responsibility and cooperative efforts among Parties in the international trade of certain hazardous chemicals. The Convention aims at contributing to the environmentally sound use of those hazardous chemicals, by: </w:t>
      </w:r>
    </w:p>
    <w:p w14:paraId="0C7FC95F" w14:textId="77777777" w:rsidR="00805BB5" w:rsidRPr="003A1F07" w:rsidRDefault="00805BB5" w:rsidP="002C0CB2">
      <w:pPr>
        <w:pStyle w:val="NormalNonumber"/>
        <w:numPr>
          <w:ilvl w:val="0"/>
          <w:numId w:val="10"/>
        </w:numPr>
        <w:tabs>
          <w:tab w:val="clear" w:pos="1814"/>
          <w:tab w:val="left" w:pos="2410"/>
        </w:tabs>
        <w:ind w:left="2410" w:hanging="610"/>
        <w:rPr>
          <w:lang w:val="en-US"/>
        </w:rPr>
      </w:pPr>
      <w:r w:rsidRPr="003A1F07">
        <w:rPr>
          <w:lang w:val="en-US"/>
        </w:rPr>
        <w:t xml:space="preserve">Facilitating information exchange about their characteristics; </w:t>
      </w:r>
    </w:p>
    <w:p w14:paraId="1D5CEE79" w14:textId="77777777" w:rsidR="00805BB5" w:rsidRPr="003A1F07" w:rsidRDefault="00805BB5" w:rsidP="002C0CB2">
      <w:pPr>
        <w:pStyle w:val="NormalNonumber"/>
        <w:numPr>
          <w:ilvl w:val="0"/>
          <w:numId w:val="10"/>
        </w:numPr>
        <w:ind w:left="1276" w:firstLine="524"/>
        <w:rPr>
          <w:lang w:val="en-US"/>
        </w:rPr>
      </w:pPr>
      <w:r w:rsidRPr="003A1F07">
        <w:rPr>
          <w:lang w:val="en-US"/>
        </w:rPr>
        <w:t>Providing for a national decision-making process on their import and export;</w:t>
      </w:r>
    </w:p>
    <w:p w14:paraId="11354AD6" w14:textId="77777777" w:rsidR="00805BB5" w:rsidRPr="003A1F07" w:rsidRDefault="00805BB5" w:rsidP="002C0CB2">
      <w:pPr>
        <w:pStyle w:val="NormalNonumber"/>
        <w:numPr>
          <w:ilvl w:val="0"/>
          <w:numId w:val="10"/>
        </w:numPr>
        <w:ind w:left="1276" w:firstLine="524"/>
        <w:rPr>
          <w:lang w:val="en-US"/>
        </w:rPr>
      </w:pPr>
      <w:r w:rsidRPr="003A1F07">
        <w:rPr>
          <w:lang w:val="en-US"/>
        </w:rPr>
        <w:t xml:space="preserve">Disseminating these decisions to Parties. </w:t>
      </w:r>
    </w:p>
    <w:p w14:paraId="4484B408" w14:textId="77777777" w:rsidR="00805BB5" w:rsidRPr="003A1F07" w:rsidRDefault="00805BB5" w:rsidP="002C0CB2">
      <w:pPr>
        <w:pStyle w:val="NormalNonumber"/>
        <w:numPr>
          <w:ilvl w:val="0"/>
          <w:numId w:val="7"/>
        </w:numPr>
        <w:ind w:left="1247" w:firstLine="0"/>
        <w:rPr>
          <w:rFonts w:asciiTheme="majorBidi" w:eastAsia="Calibri" w:hAnsiTheme="majorBidi" w:cstheme="majorBidi"/>
          <w:lang w:val="en-US"/>
        </w:rPr>
      </w:pPr>
      <w:r w:rsidRPr="003A1F07">
        <w:rPr>
          <w:rFonts w:asciiTheme="majorBidi" w:eastAsia="Calibri" w:hAnsiTheme="majorBidi" w:cstheme="majorBidi"/>
          <w:lang w:val="en-US"/>
        </w:rPr>
        <w:t xml:space="preserve">The Convention requires Parties to exchange information with respect to the import and export of the covered chemicals. Two procedures are established: </w:t>
      </w:r>
    </w:p>
    <w:p w14:paraId="31FB6AE7" w14:textId="77777777" w:rsidR="00805BB5" w:rsidRPr="003A1F07" w:rsidRDefault="00805BB5" w:rsidP="002C0CB2">
      <w:pPr>
        <w:pStyle w:val="NormalNonumber"/>
        <w:numPr>
          <w:ilvl w:val="0"/>
          <w:numId w:val="11"/>
        </w:numPr>
        <w:tabs>
          <w:tab w:val="clear" w:pos="1814"/>
          <w:tab w:val="left" w:pos="2410"/>
        </w:tabs>
        <w:ind w:left="1134" w:firstLine="666"/>
        <w:rPr>
          <w:lang w:val="en-US"/>
        </w:rPr>
      </w:pPr>
      <w:r w:rsidRPr="003A1F07">
        <w:rPr>
          <w:lang w:val="en-US"/>
        </w:rPr>
        <w:t>The Prior Informed Consent procedure for chemicals listed in Annex III to the Convention, pursuant to which each Party may decide to consent, with or without conditions, or oppose the future import of such chemicals, and its decision must be respected (Articles 10 and 11)</w:t>
      </w:r>
    </w:p>
    <w:p w14:paraId="1540EB26" w14:textId="77777777" w:rsidR="00805BB5" w:rsidRPr="003A1F07" w:rsidRDefault="00805BB5" w:rsidP="002C0CB2">
      <w:pPr>
        <w:pStyle w:val="NormalNonumber"/>
        <w:numPr>
          <w:ilvl w:val="0"/>
          <w:numId w:val="11"/>
        </w:numPr>
        <w:tabs>
          <w:tab w:val="clear" w:pos="1247"/>
          <w:tab w:val="clear" w:pos="1814"/>
          <w:tab w:val="left" w:pos="1276"/>
          <w:tab w:val="left" w:pos="2410"/>
        </w:tabs>
        <w:ind w:left="1276" w:firstLine="524"/>
        <w:rPr>
          <w:lang w:val="en-US"/>
        </w:rPr>
      </w:pPr>
      <w:r w:rsidRPr="003A1F07">
        <w:rPr>
          <w:lang w:val="en-US"/>
        </w:rPr>
        <w:t>The Export Notification procedure for other banned and severely restricted chemicals not listed yet in Annex III. Where a chemical that is banned or severely restricted by a Party is exported from its territory, that Party shall provide an export notification to the importing Party. (Article 12)</w:t>
      </w:r>
    </w:p>
    <w:p w14:paraId="7689D25D" w14:textId="77777777" w:rsidR="00805BB5" w:rsidRPr="003A1F07" w:rsidRDefault="00805BB5" w:rsidP="002C0CB2">
      <w:pPr>
        <w:pStyle w:val="NormalNonumber"/>
        <w:numPr>
          <w:ilvl w:val="0"/>
          <w:numId w:val="7"/>
        </w:numPr>
        <w:ind w:left="1247" w:firstLine="0"/>
        <w:rPr>
          <w:rFonts w:asciiTheme="majorBidi" w:eastAsia="Calibri" w:hAnsiTheme="majorBidi" w:cstheme="majorBidi"/>
          <w:lang w:val="en-US"/>
        </w:rPr>
      </w:pPr>
      <w:r w:rsidRPr="003A1F07">
        <w:rPr>
          <w:rFonts w:asciiTheme="majorBidi" w:eastAsia="Calibri" w:hAnsiTheme="majorBidi" w:cstheme="majorBidi"/>
          <w:lang w:val="en-US"/>
        </w:rPr>
        <w:t xml:space="preserve">Other provisions of the Convention relate to the </w:t>
      </w:r>
      <w:r w:rsidRPr="00CF7A06">
        <w:rPr>
          <w:rFonts w:asciiTheme="majorBidi" w:eastAsia="Calibri" w:hAnsiTheme="majorBidi" w:cstheme="majorBidi"/>
          <w:lang w:val="en-ZA"/>
        </w:rPr>
        <w:t xml:space="preserve">requirement for a Party to inform other Parties </w:t>
      </w:r>
      <w:r w:rsidRPr="003A1F07">
        <w:rPr>
          <w:rFonts w:asciiTheme="majorBidi" w:eastAsia="Calibri" w:hAnsiTheme="majorBidi" w:cstheme="majorBidi"/>
          <w:lang w:val="en-US"/>
        </w:rPr>
        <w:t xml:space="preserve">when taking a domestic regulatory action to </w:t>
      </w:r>
      <w:r w:rsidRPr="00CF7A06">
        <w:rPr>
          <w:rFonts w:asciiTheme="majorBidi" w:eastAsia="Calibri" w:hAnsiTheme="majorBidi" w:cstheme="majorBidi"/>
          <w:lang w:val="en-ZA"/>
        </w:rPr>
        <w:t xml:space="preserve">ban or </w:t>
      </w:r>
      <w:r w:rsidRPr="003A1F07">
        <w:rPr>
          <w:rFonts w:asciiTheme="majorBidi" w:eastAsia="Calibri" w:hAnsiTheme="majorBidi" w:cstheme="majorBidi"/>
          <w:lang w:val="en-US"/>
        </w:rPr>
        <w:t>severely restrict</w:t>
      </w:r>
      <w:r w:rsidRPr="00CF7A06">
        <w:rPr>
          <w:rFonts w:asciiTheme="majorBidi" w:eastAsia="Calibri" w:hAnsiTheme="majorBidi" w:cstheme="majorBidi"/>
          <w:lang w:val="en-ZA"/>
        </w:rPr>
        <w:t xml:space="preserve"> a chemical</w:t>
      </w:r>
      <w:r w:rsidRPr="00215EBF">
        <w:rPr>
          <w:rFonts w:asciiTheme="majorBidi" w:eastAsia="Calibri" w:hAnsiTheme="majorBidi" w:cstheme="majorBidi"/>
          <w:lang w:val="en-ZA"/>
        </w:rPr>
        <w:t xml:space="preserve"> </w:t>
      </w:r>
      <w:r w:rsidRPr="003A1F07">
        <w:rPr>
          <w:rFonts w:asciiTheme="majorBidi" w:eastAsia="Calibri" w:hAnsiTheme="majorBidi" w:cstheme="majorBidi"/>
          <w:lang w:val="en-US"/>
        </w:rPr>
        <w:t xml:space="preserve">(article 5); listing of severely hazardous pesticide formulations (SHPF, article 6), targeting additional chemicals in Annex III (Article 7), information to accompany exported chemicals (Article 13), information exchange (Article 14), establishment/strengthening of national infrastructures and institutions for the implementation of the Convention (Article 15), technical assistance (Article 16) and non-compliance (Article 17). </w:t>
      </w:r>
    </w:p>
    <w:p w14:paraId="20583784" w14:textId="77777777" w:rsidR="00805BB5" w:rsidRPr="002279DB" w:rsidRDefault="00805BB5" w:rsidP="002C0CB2">
      <w:pPr>
        <w:pStyle w:val="NormalNonumber"/>
        <w:numPr>
          <w:ilvl w:val="0"/>
          <w:numId w:val="7"/>
        </w:numPr>
        <w:ind w:left="1247" w:firstLine="0"/>
        <w:rPr>
          <w:rFonts w:asciiTheme="majorBidi" w:eastAsia="Calibri" w:hAnsiTheme="majorBidi" w:cstheme="majorBidi"/>
          <w:lang w:val="en-US"/>
        </w:rPr>
      </w:pPr>
      <w:r w:rsidRPr="002279DB">
        <w:rPr>
          <w:rFonts w:asciiTheme="majorBidi" w:eastAsia="Calibri" w:hAnsiTheme="majorBidi" w:cstheme="majorBidi"/>
          <w:lang w:val="en-US"/>
        </w:rPr>
        <w:t>5</w:t>
      </w:r>
      <w:r>
        <w:rPr>
          <w:rFonts w:asciiTheme="majorBidi" w:eastAsia="Calibri" w:hAnsiTheme="majorBidi" w:cstheme="majorBidi"/>
          <w:lang w:val="en-US"/>
        </w:rPr>
        <w:t>1</w:t>
      </w:r>
      <w:r w:rsidRPr="002279DB">
        <w:rPr>
          <w:rFonts w:asciiTheme="majorBidi" w:eastAsia="Calibri" w:hAnsiTheme="majorBidi" w:cstheme="majorBidi"/>
          <w:lang w:val="en-US"/>
        </w:rPr>
        <w:t xml:space="preserve"> banned or severely restricted chemicals and SHPFs are currently listed in </w:t>
      </w:r>
      <w:r>
        <w:rPr>
          <w:rFonts w:asciiTheme="majorBidi" w:eastAsia="Calibri" w:hAnsiTheme="majorBidi" w:cstheme="majorBidi"/>
          <w:lang w:val="en-US"/>
        </w:rPr>
        <w:t>A</w:t>
      </w:r>
      <w:r w:rsidRPr="002279DB">
        <w:rPr>
          <w:rFonts w:asciiTheme="majorBidi" w:eastAsia="Calibri" w:hAnsiTheme="majorBidi" w:cstheme="majorBidi"/>
          <w:lang w:val="en-US"/>
        </w:rPr>
        <w:t xml:space="preserve">nnex III to the Convention. </w:t>
      </w:r>
    </w:p>
    <w:p w14:paraId="735694FF" w14:textId="77777777" w:rsidR="00805BB5" w:rsidRPr="003A1F07" w:rsidRDefault="00805BB5" w:rsidP="002C0CB2">
      <w:pPr>
        <w:pStyle w:val="CH1"/>
        <w:numPr>
          <w:ilvl w:val="0"/>
          <w:numId w:val="13"/>
        </w:numPr>
        <w:tabs>
          <w:tab w:val="clear" w:pos="851"/>
          <w:tab w:val="clear" w:pos="1247"/>
          <w:tab w:val="clear" w:pos="1814"/>
          <w:tab w:val="clear" w:pos="2381"/>
          <w:tab w:val="clear" w:pos="2948"/>
          <w:tab w:val="clear" w:pos="3515"/>
          <w:tab w:val="clear" w:pos="4082"/>
          <w:tab w:val="left" w:pos="1276"/>
        </w:tabs>
        <w:suppressAutoHyphens w:val="0"/>
        <w:spacing w:before="120"/>
        <w:ind w:right="0"/>
        <w:outlineLvl w:val="1"/>
      </w:pPr>
      <w:r w:rsidRPr="003A1F07">
        <w:t xml:space="preserve">The Stockholm Convention on Persistent Organic Pollutants </w:t>
      </w:r>
    </w:p>
    <w:p w14:paraId="5B9EF6DE" w14:textId="77777777" w:rsidR="00805BB5" w:rsidRPr="002279DB" w:rsidRDefault="00805BB5" w:rsidP="002C0CB2">
      <w:pPr>
        <w:pStyle w:val="NormalNonumber"/>
        <w:numPr>
          <w:ilvl w:val="0"/>
          <w:numId w:val="7"/>
        </w:numPr>
        <w:ind w:left="1247" w:firstLine="0"/>
        <w:rPr>
          <w:rFonts w:asciiTheme="majorBidi" w:eastAsia="Calibri" w:hAnsiTheme="majorBidi" w:cstheme="majorBidi"/>
          <w:lang w:val="en-US"/>
        </w:rPr>
      </w:pPr>
      <w:r w:rsidRPr="002279DB">
        <w:rPr>
          <w:rFonts w:eastAsia="Calibri"/>
          <w:lang w:val="en-US"/>
        </w:rPr>
        <w:t xml:space="preserve">The Stockholm Convention was adopted in 2001 and came into force in 2004. </w:t>
      </w:r>
      <w:r w:rsidRPr="002279DB">
        <w:rPr>
          <w:rFonts w:asciiTheme="majorBidi" w:eastAsia="Calibri" w:hAnsiTheme="majorBidi" w:cstheme="majorBidi"/>
          <w:lang w:val="en-US"/>
        </w:rPr>
        <w:t>As at 15 January 2018, it has 182 Parties. Parties are required to ensure the environmentally sound management of persistent organic pollutants (POPs),</w:t>
      </w:r>
      <w:r w:rsidRPr="00E75443">
        <w:rPr>
          <w:rStyle w:val="FootnoteReference"/>
          <w:rFonts w:asciiTheme="majorBidi" w:eastAsia="Calibri" w:hAnsiTheme="majorBidi" w:cstheme="majorBidi"/>
        </w:rPr>
        <w:footnoteReference w:id="3"/>
      </w:r>
      <w:r w:rsidRPr="002279DB">
        <w:rPr>
          <w:rFonts w:asciiTheme="majorBidi" w:eastAsia="Calibri" w:hAnsiTheme="majorBidi" w:cstheme="majorBidi"/>
          <w:lang w:val="en-US"/>
        </w:rPr>
        <w:t xml:space="preserve"> such as taking measures to:</w:t>
      </w:r>
    </w:p>
    <w:p w14:paraId="7C7182C7" w14:textId="77777777" w:rsidR="00805BB5" w:rsidRPr="003A1F07" w:rsidRDefault="00805BB5" w:rsidP="002C0CB2">
      <w:pPr>
        <w:pStyle w:val="NormalNonumber"/>
        <w:numPr>
          <w:ilvl w:val="0"/>
          <w:numId w:val="12"/>
        </w:numPr>
        <w:tabs>
          <w:tab w:val="clear" w:pos="1814"/>
          <w:tab w:val="clear" w:pos="2381"/>
          <w:tab w:val="left" w:pos="1985"/>
          <w:tab w:val="left" w:pos="2410"/>
        </w:tabs>
        <w:ind w:left="1276" w:firstLine="524"/>
        <w:rPr>
          <w:lang w:val="en-US"/>
        </w:rPr>
      </w:pPr>
      <w:r w:rsidRPr="003A1F07">
        <w:rPr>
          <w:lang w:val="en-US"/>
        </w:rPr>
        <w:t>Prohibit and/or eliminate the production, use, import and export of the intentionally produced POPs that are listed in Annex A (Article 3);</w:t>
      </w:r>
    </w:p>
    <w:p w14:paraId="29B30E38" w14:textId="77777777" w:rsidR="00805BB5" w:rsidRPr="003A1F07" w:rsidRDefault="00805BB5" w:rsidP="002C0CB2">
      <w:pPr>
        <w:pStyle w:val="NormalNonumber"/>
        <w:numPr>
          <w:ilvl w:val="0"/>
          <w:numId w:val="12"/>
        </w:numPr>
        <w:tabs>
          <w:tab w:val="clear" w:pos="1247"/>
          <w:tab w:val="clear" w:pos="1814"/>
          <w:tab w:val="left" w:pos="1276"/>
          <w:tab w:val="left" w:pos="2410"/>
        </w:tabs>
        <w:ind w:left="1276" w:firstLine="524"/>
        <w:rPr>
          <w:lang w:val="en-US"/>
        </w:rPr>
      </w:pPr>
      <w:r w:rsidRPr="003A1F07">
        <w:rPr>
          <w:lang w:val="en-US"/>
        </w:rPr>
        <w:t>Restrict the production, use, import and export of the intentionally produced POPs that are listed in Annex B (Article 3),</w:t>
      </w:r>
    </w:p>
    <w:p w14:paraId="553552FC" w14:textId="77777777" w:rsidR="00805BB5" w:rsidRPr="003A1F07" w:rsidRDefault="00805BB5" w:rsidP="002C0CB2">
      <w:pPr>
        <w:pStyle w:val="NormalNonumber"/>
        <w:numPr>
          <w:ilvl w:val="0"/>
          <w:numId w:val="12"/>
        </w:numPr>
        <w:tabs>
          <w:tab w:val="clear" w:pos="1247"/>
          <w:tab w:val="clear" w:pos="1814"/>
          <w:tab w:val="left" w:pos="1276"/>
          <w:tab w:val="left" w:pos="2410"/>
        </w:tabs>
        <w:ind w:left="1276" w:firstLine="524"/>
        <w:rPr>
          <w:lang w:val="en-US"/>
        </w:rPr>
      </w:pPr>
      <w:r w:rsidRPr="003A1F07">
        <w:rPr>
          <w:lang w:val="en-US"/>
        </w:rPr>
        <w:t>Reduce or eliminate releases from unintentionally produced POPs that are listed in Annex C (Article 5);</w:t>
      </w:r>
    </w:p>
    <w:p w14:paraId="79BD62D0" w14:textId="77777777" w:rsidR="00805BB5" w:rsidRPr="002279DB" w:rsidRDefault="00805BB5" w:rsidP="002C0CB2">
      <w:pPr>
        <w:pStyle w:val="NormalNonumber"/>
        <w:numPr>
          <w:ilvl w:val="0"/>
          <w:numId w:val="12"/>
        </w:numPr>
        <w:tabs>
          <w:tab w:val="clear" w:pos="1247"/>
          <w:tab w:val="clear" w:pos="1814"/>
          <w:tab w:val="left" w:pos="1276"/>
          <w:tab w:val="left" w:pos="2410"/>
        </w:tabs>
        <w:ind w:left="1276" w:firstLine="524"/>
        <w:rPr>
          <w:rFonts w:asciiTheme="majorBidi" w:eastAsia="Calibri" w:hAnsiTheme="majorBidi" w:cstheme="majorBidi"/>
          <w:lang w:val="en-US"/>
        </w:rPr>
      </w:pPr>
      <w:r w:rsidRPr="002279DB">
        <w:rPr>
          <w:rFonts w:asciiTheme="majorBidi" w:eastAsia="Calibri" w:hAnsiTheme="majorBidi" w:cstheme="majorBidi"/>
          <w:lang w:val="en-US"/>
        </w:rPr>
        <w:t xml:space="preserve">Ensure that stockpiles and wastes consisting of, </w:t>
      </w:r>
      <w:r w:rsidRPr="003A1F07">
        <w:rPr>
          <w:lang w:val="en-US"/>
        </w:rPr>
        <w:t>containing</w:t>
      </w:r>
      <w:r w:rsidRPr="002279DB">
        <w:rPr>
          <w:rFonts w:asciiTheme="majorBidi" w:eastAsia="Calibri" w:hAnsiTheme="majorBidi" w:cstheme="majorBidi"/>
          <w:lang w:val="en-US"/>
        </w:rPr>
        <w:t xml:space="preserve"> or contaminated with POPs are managed safely and in an </w:t>
      </w:r>
      <w:r w:rsidRPr="00DE27D2">
        <w:rPr>
          <w:lang w:val="en-US"/>
        </w:rPr>
        <w:t>environmentally</w:t>
      </w:r>
      <w:r w:rsidRPr="002279DB">
        <w:rPr>
          <w:rFonts w:asciiTheme="majorBidi" w:eastAsia="Calibri" w:hAnsiTheme="majorBidi" w:cstheme="majorBidi"/>
          <w:lang w:val="en-US"/>
        </w:rPr>
        <w:t xml:space="preserve"> sound manner (Article 6).</w:t>
      </w:r>
    </w:p>
    <w:p w14:paraId="7184BA86" w14:textId="77777777" w:rsidR="00805BB5" w:rsidRPr="003A1F07" w:rsidRDefault="00805BB5" w:rsidP="002C0CB2">
      <w:pPr>
        <w:pStyle w:val="NormalNonumber"/>
        <w:numPr>
          <w:ilvl w:val="0"/>
          <w:numId w:val="7"/>
        </w:numPr>
        <w:ind w:left="1247" w:firstLine="0"/>
        <w:rPr>
          <w:rFonts w:asciiTheme="majorBidi" w:eastAsia="Calibri" w:hAnsiTheme="majorBidi" w:cstheme="majorBidi"/>
          <w:lang w:val="en-US"/>
        </w:rPr>
      </w:pPr>
      <w:r w:rsidRPr="003A1F07">
        <w:rPr>
          <w:rFonts w:asciiTheme="majorBidi" w:eastAsia="Calibri" w:hAnsiTheme="majorBidi" w:cstheme="majorBidi"/>
          <w:lang w:val="en-US"/>
        </w:rPr>
        <w:t xml:space="preserve">Other provisions of the Convention relate to the development of implementation plans (Article 7), targeting additional POPs (Article 8), information exchange (Article 9), public information, awareness and education (Article 10), research, development and monitoring (Article 11), technical assistance (Article 12), financial resources and mechanisms (Article 13), reporting (Article 15), effectiveness evaluation (Article 16) and non-compliance (Article 17). </w:t>
      </w:r>
    </w:p>
    <w:p w14:paraId="0BF4955A" w14:textId="77777777" w:rsidR="00805BB5" w:rsidRPr="00075D53" w:rsidRDefault="00805BB5" w:rsidP="002C0CB2">
      <w:pPr>
        <w:pStyle w:val="NormalNonumber"/>
        <w:numPr>
          <w:ilvl w:val="0"/>
          <w:numId w:val="7"/>
        </w:numPr>
        <w:spacing w:after="0"/>
        <w:ind w:left="1247" w:firstLine="0"/>
        <w:rPr>
          <w:rFonts w:asciiTheme="majorBidi" w:eastAsia="Calibri" w:hAnsiTheme="majorBidi" w:cstheme="majorBidi"/>
          <w:lang w:val="en-US"/>
        </w:rPr>
      </w:pPr>
      <w:r w:rsidRPr="00075D53">
        <w:rPr>
          <w:rFonts w:asciiTheme="majorBidi" w:eastAsia="Calibri" w:hAnsiTheme="majorBidi" w:cstheme="majorBidi"/>
          <w:lang w:val="en-US"/>
        </w:rPr>
        <w:lastRenderedPageBreak/>
        <w:t xml:space="preserve">28 POPs are currently listed in the annexes to the Convention. The Convention sets out time-bound targets for </w:t>
      </w:r>
      <w:r>
        <w:rPr>
          <w:rFonts w:asciiTheme="majorBidi" w:eastAsia="Calibri" w:hAnsiTheme="majorBidi" w:cstheme="majorBidi"/>
          <w:lang w:val="en-US"/>
        </w:rPr>
        <w:t xml:space="preserve">achieving the </w:t>
      </w:r>
      <w:r w:rsidRPr="00075D53">
        <w:rPr>
          <w:rFonts w:asciiTheme="majorBidi" w:eastAsia="Calibri" w:hAnsiTheme="majorBidi" w:cstheme="majorBidi"/>
          <w:lang w:val="en-US"/>
        </w:rPr>
        <w:t>elimination</w:t>
      </w:r>
      <w:r>
        <w:rPr>
          <w:rFonts w:asciiTheme="majorBidi" w:eastAsia="Calibri" w:hAnsiTheme="majorBidi" w:cstheme="majorBidi"/>
          <w:lang w:val="en-US"/>
        </w:rPr>
        <w:t xml:space="preserve"> and</w:t>
      </w:r>
      <w:r w:rsidRPr="00075D53">
        <w:rPr>
          <w:rFonts w:asciiTheme="majorBidi" w:eastAsia="Calibri" w:hAnsiTheme="majorBidi" w:cstheme="majorBidi"/>
          <w:lang w:val="en-US"/>
        </w:rPr>
        <w:t xml:space="preserve"> other </w:t>
      </w:r>
      <w:r>
        <w:rPr>
          <w:rFonts w:asciiTheme="majorBidi" w:eastAsia="Calibri" w:hAnsiTheme="majorBidi" w:cstheme="majorBidi"/>
          <w:lang w:val="en-US"/>
        </w:rPr>
        <w:t xml:space="preserve">related </w:t>
      </w:r>
      <w:r w:rsidRPr="00075D53">
        <w:rPr>
          <w:rFonts w:asciiTheme="majorBidi" w:eastAsia="Calibri" w:hAnsiTheme="majorBidi" w:cstheme="majorBidi"/>
          <w:lang w:val="en-US"/>
        </w:rPr>
        <w:t xml:space="preserve">provisions </w:t>
      </w:r>
      <w:r>
        <w:rPr>
          <w:rFonts w:asciiTheme="majorBidi" w:eastAsia="Calibri" w:hAnsiTheme="majorBidi" w:cstheme="majorBidi"/>
          <w:lang w:val="en-US"/>
        </w:rPr>
        <w:t>for</w:t>
      </w:r>
      <w:r w:rsidRPr="00075D53">
        <w:rPr>
          <w:rFonts w:asciiTheme="majorBidi" w:eastAsia="Calibri" w:hAnsiTheme="majorBidi" w:cstheme="majorBidi"/>
          <w:lang w:val="en-US"/>
        </w:rPr>
        <w:t xml:space="preserve"> the chemicals listed </w:t>
      </w:r>
      <w:r>
        <w:rPr>
          <w:rFonts w:asciiTheme="majorBidi" w:eastAsia="Calibri" w:hAnsiTheme="majorBidi" w:cstheme="majorBidi"/>
          <w:lang w:val="en-US"/>
        </w:rPr>
        <w:t>in the annexes</w:t>
      </w:r>
      <w:r w:rsidRPr="00075D53">
        <w:rPr>
          <w:rFonts w:asciiTheme="majorBidi" w:eastAsia="Calibri" w:hAnsiTheme="majorBidi" w:cstheme="majorBidi"/>
          <w:lang w:val="en-US"/>
        </w:rPr>
        <w:t xml:space="preserve">. </w:t>
      </w:r>
      <w:r>
        <w:rPr>
          <w:rFonts w:asciiTheme="majorBidi" w:eastAsia="Calibri" w:hAnsiTheme="majorBidi" w:cstheme="majorBidi"/>
          <w:lang w:val="en-US"/>
        </w:rPr>
        <w:t xml:space="preserve">The table </w:t>
      </w:r>
      <w:r w:rsidRPr="00075D53">
        <w:rPr>
          <w:rFonts w:asciiTheme="majorBidi" w:eastAsia="Calibri" w:hAnsiTheme="majorBidi" w:cstheme="majorBidi"/>
          <w:lang w:val="en-US"/>
        </w:rPr>
        <w:t xml:space="preserve">below </w:t>
      </w:r>
      <w:r>
        <w:rPr>
          <w:rFonts w:asciiTheme="majorBidi" w:eastAsia="Calibri" w:hAnsiTheme="majorBidi" w:cstheme="majorBidi"/>
          <w:lang w:val="en-US"/>
        </w:rPr>
        <w:t xml:space="preserve">sets out </w:t>
      </w:r>
      <w:r w:rsidRPr="00075D53">
        <w:rPr>
          <w:rFonts w:asciiTheme="majorBidi" w:eastAsia="Calibri" w:hAnsiTheme="majorBidi" w:cstheme="majorBidi"/>
          <w:lang w:val="en-US"/>
        </w:rPr>
        <w:t xml:space="preserve">some </w:t>
      </w:r>
      <w:r>
        <w:rPr>
          <w:rFonts w:asciiTheme="majorBidi" w:eastAsia="Calibri" w:hAnsiTheme="majorBidi" w:cstheme="majorBidi"/>
          <w:lang w:val="en-US"/>
        </w:rPr>
        <w:t xml:space="preserve">of those </w:t>
      </w:r>
      <w:r w:rsidRPr="00075D53">
        <w:rPr>
          <w:rFonts w:asciiTheme="majorBidi" w:eastAsia="Calibri" w:hAnsiTheme="majorBidi" w:cstheme="majorBidi"/>
          <w:lang w:val="en-US"/>
        </w:rPr>
        <w:t xml:space="preserve">specific time-bound targets: </w:t>
      </w:r>
    </w:p>
    <w:p w14:paraId="41125C1C" w14:textId="77777777" w:rsidR="00805BB5" w:rsidRDefault="00805BB5" w:rsidP="00805BB5">
      <w:pPr>
        <w:pStyle w:val="NormalNonumber"/>
        <w:spacing w:after="0"/>
        <w:rPr>
          <w:rFonts w:asciiTheme="majorBidi" w:eastAsia="Calibri" w:hAnsiTheme="majorBidi" w:cstheme="majorBidi"/>
          <w:lang w:val="en-US"/>
        </w:rPr>
      </w:pPr>
      <w:r w:rsidRPr="003A1F07">
        <w:rPr>
          <w:rFonts w:asciiTheme="majorBidi" w:eastAsia="Calibri" w:hAnsiTheme="majorBidi" w:cstheme="majorBidi"/>
          <w:lang w:val="en-US"/>
        </w:rPr>
        <w:t xml:space="preserve"> </w:t>
      </w:r>
    </w:p>
    <w:tbl>
      <w:tblPr>
        <w:tblStyle w:val="TableGrid"/>
        <w:tblW w:w="0" w:type="auto"/>
        <w:tblInd w:w="1247" w:type="dxa"/>
        <w:tblLook w:val="04A0" w:firstRow="1" w:lastRow="0" w:firstColumn="1" w:lastColumn="0" w:noHBand="0" w:noVBand="1"/>
      </w:tblPr>
      <w:tblGrid>
        <w:gridCol w:w="1158"/>
        <w:gridCol w:w="6804"/>
      </w:tblGrid>
      <w:tr w:rsidR="00805BB5" w14:paraId="43BCEF23" w14:textId="77777777" w:rsidTr="00E4551C">
        <w:tc>
          <w:tcPr>
            <w:tcW w:w="1158" w:type="dxa"/>
          </w:tcPr>
          <w:p w14:paraId="786483C6" w14:textId="77777777" w:rsidR="00805BB5" w:rsidRPr="00805BB5" w:rsidRDefault="00805BB5" w:rsidP="00E4551C">
            <w:pPr>
              <w:pStyle w:val="NormalNonumber"/>
              <w:spacing w:after="0"/>
              <w:ind w:left="0"/>
              <w:rPr>
                <w:rFonts w:asciiTheme="majorBidi" w:eastAsia="Calibri" w:hAnsiTheme="majorBidi" w:cstheme="majorBidi"/>
                <w:b/>
                <w:sz w:val="20"/>
                <w:szCs w:val="20"/>
                <w:lang w:val="en-US"/>
              </w:rPr>
            </w:pPr>
            <w:r w:rsidRPr="00805BB5">
              <w:rPr>
                <w:rFonts w:asciiTheme="majorBidi" w:eastAsia="Calibri" w:hAnsiTheme="majorBidi" w:cstheme="majorBidi"/>
                <w:b/>
                <w:sz w:val="20"/>
                <w:szCs w:val="20"/>
                <w:lang w:val="en-US"/>
              </w:rPr>
              <w:t xml:space="preserve">Date </w:t>
            </w:r>
          </w:p>
        </w:tc>
        <w:tc>
          <w:tcPr>
            <w:tcW w:w="6804" w:type="dxa"/>
          </w:tcPr>
          <w:p w14:paraId="43202875" w14:textId="77777777" w:rsidR="00805BB5" w:rsidRPr="00805BB5" w:rsidRDefault="00805BB5" w:rsidP="00E4551C">
            <w:pPr>
              <w:pStyle w:val="NormalNonumber"/>
              <w:spacing w:after="0"/>
              <w:ind w:left="0"/>
              <w:rPr>
                <w:rFonts w:asciiTheme="majorBidi" w:eastAsia="Calibri" w:hAnsiTheme="majorBidi" w:cstheme="majorBidi"/>
                <w:b/>
                <w:sz w:val="20"/>
                <w:szCs w:val="20"/>
                <w:lang w:val="en-US"/>
              </w:rPr>
            </w:pPr>
            <w:r w:rsidRPr="00805BB5">
              <w:rPr>
                <w:rFonts w:asciiTheme="majorBidi" w:eastAsia="Calibri" w:hAnsiTheme="majorBidi" w:cstheme="majorBidi"/>
                <w:b/>
                <w:sz w:val="20"/>
                <w:szCs w:val="20"/>
                <w:lang w:val="en-US"/>
              </w:rPr>
              <w:t>Target</w:t>
            </w:r>
          </w:p>
        </w:tc>
      </w:tr>
      <w:tr w:rsidR="00805BB5" w14:paraId="598E9C4B" w14:textId="77777777" w:rsidTr="00E4551C">
        <w:tc>
          <w:tcPr>
            <w:tcW w:w="1158" w:type="dxa"/>
          </w:tcPr>
          <w:p w14:paraId="422EFB5D" w14:textId="77777777" w:rsidR="00805BB5" w:rsidRPr="00805BB5" w:rsidRDefault="00805BB5" w:rsidP="00E4551C">
            <w:pPr>
              <w:pStyle w:val="NormalNonumber"/>
              <w:spacing w:after="0"/>
              <w:ind w:left="0"/>
              <w:rPr>
                <w:rFonts w:asciiTheme="majorBidi" w:eastAsia="Calibri" w:hAnsiTheme="majorBidi" w:cstheme="majorBidi"/>
                <w:sz w:val="20"/>
                <w:szCs w:val="20"/>
                <w:lang w:val="en-US"/>
              </w:rPr>
            </w:pPr>
            <w:r w:rsidRPr="00805BB5">
              <w:rPr>
                <w:rFonts w:asciiTheme="majorBidi" w:eastAsia="Calibri" w:hAnsiTheme="majorBidi" w:cstheme="majorBidi"/>
                <w:bCs/>
                <w:sz w:val="20"/>
                <w:szCs w:val="20"/>
              </w:rPr>
              <w:t>2025</w:t>
            </w:r>
          </w:p>
        </w:tc>
        <w:tc>
          <w:tcPr>
            <w:tcW w:w="6804" w:type="dxa"/>
          </w:tcPr>
          <w:p w14:paraId="1F6DFCF9" w14:textId="77777777" w:rsidR="00805BB5" w:rsidRPr="00805BB5" w:rsidRDefault="00805BB5" w:rsidP="00E4551C">
            <w:pPr>
              <w:pStyle w:val="NormalNonumber"/>
              <w:spacing w:after="0"/>
              <w:ind w:left="0"/>
              <w:rPr>
                <w:rFonts w:asciiTheme="majorBidi" w:eastAsia="Calibri" w:hAnsiTheme="majorBidi" w:cstheme="majorBidi"/>
                <w:sz w:val="20"/>
                <w:szCs w:val="20"/>
                <w:lang w:val="en-US"/>
              </w:rPr>
            </w:pPr>
            <w:r w:rsidRPr="00805BB5">
              <w:rPr>
                <w:rFonts w:asciiTheme="majorBidi" w:eastAsia="Calibri" w:hAnsiTheme="majorBidi" w:cstheme="majorBidi"/>
                <w:sz w:val="20"/>
                <w:szCs w:val="20"/>
              </w:rPr>
              <w:t>Elimination of the use of PCB in equipment (e.g. transformers, capacitors or other receptacles containing liquid stocks)</w:t>
            </w:r>
          </w:p>
        </w:tc>
      </w:tr>
      <w:tr w:rsidR="00805BB5" w14:paraId="6C9574B9" w14:textId="77777777" w:rsidTr="00E4551C">
        <w:tc>
          <w:tcPr>
            <w:tcW w:w="1158" w:type="dxa"/>
          </w:tcPr>
          <w:p w14:paraId="4F0EE028" w14:textId="77777777" w:rsidR="00805BB5" w:rsidRPr="00805BB5" w:rsidRDefault="00805BB5" w:rsidP="00E4551C">
            <w:pPr>
              <w:pStyle w:val="NormalNonumber"/>
              <w:spacing w:after="0"/>
              <w:ind w:left="0"/>
              <w:rPr>
                <w:rFonts w:asciiTheme="majorBidi" w:eastAsia="Calibri" w:hAnsiTheme="majorBidi" w:cstheme="majorBidi"/>
                <w:sz w:val="20"/>
                <w:szCs w:val="20"/>
                <w:lang w:val="en-US"/>
              </w:rPr>
            </w:pPr>
            <w:r w:rsidRPr="00805BB5">
              <w:rPr>
                <w:rFonts w:asciiTheme="majorBidi" w:eastAsia="Calibri" w:hAnsiTheme="majorBidi" w:cstheme="majorBidi"/>
                <w:sz w:val="20"/>
                <w:szCs w:val="20"/>
                <w:lang w:val="en-US"/>
              </w:rPr>
              <w:t>2028</w:t>
            </w:r>
          </w:p>
        </w:tc>
        <w:tc>
          <w:tcPr>
            <w:tcW w:w="6804" w:type="dxa"/>
          </w:tcPr>
          <w:p w14:paraId="08BA427D" w14:textId="77777777" w:rsidR="00805BB5" w:rsidRPr="00805BB5" w:rsidRDefault="00805BB5" w:rsidP="00E4551C">
            <w:pPr>
              <w:pStyle w:val="NormalNonumber"/>
              <w:spacing w:after="0"/>
              <w:ind w:left="0"/>
              <w:rPr>
                <w:rFonts w:asciiTheme="majorBidi" w:eastAsia="Calibri" w:hAnsiTheme="majorBidi" w:cstheme="majorBidi"/>
                <w:sz w:val="20"/>
                <w:szCs w:val="20"/>
                <w:lang w:val="en-US"/>
              </w:rPr>
            </w:pPr>
            <w:r w:rsidRPr="00805BB5">
              <w:rPr>
                <w:rFonts w:asciiTheme="majorBidi" w:eastAsia="Calibri" w:hAnsiTheme="majorBidi" w:cstheme="majorBidi"/>
                <w:sz w:val="20"/>
                <w:szCs w:val="20"/>
              </w:rPr>
              <w:t>Achieving the environmentally sound management of liquids containing PCB and equipment contaminated with PCB</w:t>
            </w:r>
          </w:p>
        </w:tc>
      </w:tr>
      <w:tr w:rsidR="00805BB5" w14:paraId="4F3C2012" w14:textId="77777777" w:rsidTr="00E4551C">
        <w:tc>
          <w:tcPr>
            <w:tcW w:w="1158" w:type="dxa"/>
          </w:tcPr>
          <w:p w14:paraId="3CABC9B4" w14:textId="77777777" w:rsidR="00805BB5" w:rsidRPr="00805BB5" w:rsidRDefault="00805BB5" w:rsidP="00E4551C">
            <w:pPr>
              <w:pStyle w:val="NormalNonumber"/>
              <w:spacing w:after="0"/>
              <w:ind w:left="0"/>
              <w:rPr>
                <w:rFonts w:asciiTheme="majorBidi" w:eastAsia="Calibri" w:hAnsiTheme="majorBidi" w:cstheme="majorBidi"/>
                <w:sz w:val="20"/>
                <w:szCs w:val="20"/>
                <w:lang w:val="en-US"/>
              </w:rPr>
            </w:pPr>
            <w:r w:rsidRPr="00805BB5">
              <w:rPr>
                <w:rFonts w:asciiTheme="majorBidi" w:eastAsia="Calibri" w:hAnsiTheme="majorBidi" w:cstheme="majorBidi"/>
                <w:bCs/>
                <w:sz w:val="20"/>
                <w:szCs w:val="20"/>
              </w:rPr>
              <w:t>2030</w:t>
            </w:r>
          </w:p>
        </w:tc>
        <w:tc>
          <w:tcPr>
            <w:tcW w:w="6804" w:type="dxa"/>
          </w:tcPr>
          <w:p w14:paraId="2565D8D5" w14:textId="77777777" w:rsidR="00805BB5" w:rsidRPr="00805BB5" w:rsidRDefault="00805BB5" w:rsidP="00E4551C">
            <w:pPr>
              <w:pStyle w:val="NormalNonumber"/>
              <w:spacing w:after="0"/>
              <w:ind w:left="0"/>
              <w:rPr>
                <w:rFonts w:asciiTheme="majorBidi" w:eastAsia="Calibri" w:hAnsiTheme="majorBidi" w:cstheme="majorBidi"/>
                <w:sz w:val="20"/>
                <w:szCs w:val="20"/>
              </w:rPr>
            </w:pPr>
            <w:r w:rsidRPr="00805BB5">
              <w:rPr>
                <w:rFonts w:asciiTheme="majorBidi" w:eastAsia="Calibri" w:hAnsiTheme="majorBidi" w:cstheme="majorBidi"/>
                <w:sz w:val="20"/>
                <w:szCs w:val="20"/>
              </w:rPr>
              <w:t xml:space="preserve">Elimination of hexa- and </w:t>
            </w:r>
            <w:proofErr w:type="spellStart"/>
            <w:r w:rsidRPr="00805BB5">
              <w:rPr>
                <w:rFonts w:asciiTheme="majorBidi" w:eastAsia="Calibri" w:hAnsiTheme="majorBidi" w:cstheme="majorBidi"/>
                <w:sz w:val="20"/>
                <w:szCs w:val="20"/>
              </w:rPr>
              <w:t>heptabromodiphenyl</w:t>
            </w:r>
            <w:proofErr w:type="spellEnd"/>
            <w:r w:rsidRPr="00805BB5">
              <w:rPr>
                <w:rFonts w:asciiTheme="majorBidi" w:eastAsia="Calibri" w:hAnsiTheme="majorBidi" w:cstheme="majorBidi"/>
                <w:sz w:val="20"/>
                <w:szCs w:val="20"/>
              </w:rPr>
              <w:t xml:space="preserve"> ether (expiration of the specific exemption); tetra- and </w:t>
            </w:r>
            <w:proofErr w:type="spellStart"/>
            <w:r w:rsidRPr="00805BB5">
              <w:rPr>
                <w:rFonts w:asciiTheme="majorBidi" w:eastAsia="Calibri" w:hAnsiTheme="majorBidi" w:cstheme="majorBidi"/>
                <w:sz w:val="20"/>
                <w:szCs w:val="20"/>
              </w:rPr>
              <w:t>pentabromodiphenyl</w:t>
            </w:r>
            <w:proofErr w:type="spellEnd"/>
            <w:r w:rsidRPr="00805BB5">
              <w:rPr>
                <w:rFonts w:asciiTheme="majorBidi" w:eastAsia="Calibri" w:hAnsiTheme="majorBidi" w:cstheme="majorBidi"/>
                <w:sz w:val="20"/>
                <w:szCs w:val="20"/>
              </w:rPr>
              <w:t xml:space="preserve"> ether (expiration of the specific exemption)</w:t>
            </w:r>
          </w:p>
        </w:tc>
      </w:tr>
      <w:tr w:rsidR="00805BB5" w14:paraId="04604ED2" w14:textId="77777777" w:rsidTr="00E4551C">
        <w:tc>
          <w:tcPr>
            <w:tcW w:w="1158" w:type="dxa"/>
          </w:tcPr>
          <w:p w14:paraId="50A73153" w14:textId="77777777" w:rsidR="00805BB5" w:rsidRPr="00805BB5" w:rsidRDefault="00805BB5" w:rsidP="00E4551C">
            <w:pPr>
              <w:pStyle w:val="NormalNonumber"/>
              <w:spacing w:after="0"/>
              <w:ind w:left="0"/>
              <w:rPr>
                <w:rFonts w:asciiTheme="majorBidi" w:eastAsia="Calibri" w:hAnsiTheme="majorBidi" w:cstheme="majorBidi"/>
                <w:sz w:val="20"/>
                <w:szCs w:val="20"/>
                <w:lang w:val="en-US"/>
              </w:rPr>
            </w:pPr>
            <w:r w:rsidRPr="00805BB5">
              <w:rPr>
                <w:rFonts w:asciiTheme="majorBidi" w:eastAsia="Calibri" w:hAnsiTheme="majorBidi" w:cstheme="majorBidi"/>
                <w:sz w:val="20"/>
                <w:szCs w:val="20"/>
                <w:lang w:val="en-US"/>
              </w:rPr>
              <w:t>2036</w:t>
            </w:r>
          </w:p>
        </w:tc>
        <w:tc>
          <w:tcPr>
            <w:tcW w:w="6804" w:type="dxa"/>
          </w:tcPr>
          <w:p w14:paraId="391C0E60" w14:textId="77777777" w:rsidR="00805BB5" w:rsidRPr="00805BB5" w:rsidRDefault="00805BB5" w:rsidP="00E4551C">
            <w:pPr>
              <w:pStyle w:val="NormalNonumber"/>
              <w:spacing w:after="0"/>
              <w:ind w:left="0"/>
              <w:rPr>
                <w:rFonts w:asciiTheme="majorBidi" w:eastAsia="Calibri" w:hAnsiTheme="majorBidi" w:cstheme="majorBidi"/>
                <w:sz w:val="20"/>
                <w:szCs w:val="20"/>
              </w:rPr>
            </w:pPr>
            <w:proofErr w:type="spellStart"/>
            <w:r w:rsidRPr="00805BB5">
              <w:rPr>
                <w:rFonts w:asciiTheme="majorBidi" w:eastAsia="Calibri" w:hAnsiTheme="majorBidi" w:cstheme="majorBidi"/>
                <w:sz w:val="20"/>
                <w:szCs w:val="20"/>
              </w:rPr>
              <w:t>Decabromodiphenyl</w:t>
            </w:r>
            <w:proofErr w:type="spellEnd"/>
            <w:r w:rsidRPr="00805BB5">
              <w:rPr>
                <w:rFonts w:asciiTheme="majorBidi" w:eastAsia="Calibri" w:hAnsiTheme="majorBidi" w:cstheme="majorBidi"/>
                <w:sz w:val="20"/>
                <w:szCs w:val="20"/>
              </w:rPr>
              <w:t xml:space="preserve"> ether:  Expiration of specific exemption for parts for use in legacy vehicles defined as vehicles that have ceased mass production and for parts in vehicles as specified in the Convention</w:t>
            </w:r>
          </w:p>
        </w:tc>
      </w:tr>
    </w:tbl>
    <w:p w14:paraId="7DBC8EE0" w14:textId="77777777" w:rsidR="00805BB5" w:rsidRDefault="00805BB5" w:rsidP="00805BB5">
      <w:pPr>
        <w:pStyle w:val="NormalNonumber"/>
        <w:spacing w:after="0"/>
        <w:rPr>
          <w:rFonts w:asciiTheme="majorBidi" w:eastAsia="Calibri" w:hAnsiTheme="majorBidi" w:cstheme="majorBidi"/>
          <w:lang w:val="en-US"/>
        </w:rPr>
      </w:pPr>
    </w:p>
    <w:p w14:paraId="45C2173E" w14:textId="77777777" w:rsidR="00805BB5" w:rsidRPr="003A1F07" w:rsidRDefault="00805BB5" w:rsidP="00805BB5">
      <w:pPr>
        <w:pStyle w:val="CH1"/>
        <w:ind w:left="1276" w:firstLine="0"/>
      </w:pPr>
      <w:r w:rsidRPr="003A1F07">
        <w:t xml:space="preserve">D. </w:t>
      </w:r>
      <w:r>
        <w:tab/>
      </w:r>
      <w:r w:rsidRPr="003A1F07">
        <w:t xml:space="preserve">The contributions of the Basel, Rotterdam and Stockholm conventions to the 2020 goal on the sound management of chemicals and wastes and the 2030 Agenda for Sustainable Development </w:t>
      </w:r>
    </w:p>
    <w:p w14:paraId="420286B5" w14:textId="77777777" w:rsidR="00805BB5" w:rsidRPr="003A1F07" w:rsidRDefault="00805BB5" w:rsidP="002C0CB2">
      <w:pPr>
        <w:pStyle w:val="NormalNonumber"/>
        <w:numPr>
          <w:ilvl w:val="0"/>
          <w:numId w:val="7"/>
        </w:numPr>
        <w:spacing w:after="0"/>
        <w:ind w:left="1247" w:firstLine="0"/>
        <w:rPr>
          <w:rFonts w:asciiTheme="majorBidi" w:eastAsia="Calibri" w:hAnsiTheme="majorBidi" w:cstheme="majorBidi"/>
          <w:lang w:val="en-US"/>
        </w:rPr>
      </w:pPr>
      <w:r w:rsidRPr="003A1F07">
        <w:rPr>
          <w:rFonts w:asciiTheme="majorBidi" w:eastAsia="Calibri" w:hAnsiTheme="majorBidi" w:cstheme="majorBidi"/>
          <w:lang w:val="en-US"/>
        </w:rPr>
        <w:t xml:space="preserve">An overview of the cross-cutting provisions of the Basel, Rotterdam and Stockholm conventions and their contributions to the 2020 goal is set out in the table below:  </w:t>
      </w:r>
    </w:p>
    <w:p w14:paraId="75F697C8" w14:textId="77777777" w:rsidR="00805BB5" w:rsidRPr="003A6DB6" w:rsidRDefault="00805BB5" w:rsidP="00805BB5">
      <w:pPr>
        <w:spacing w:after="0" w:line="240" w:lineRule="auto"/>
        <w:rPr>
          <w:rFonts w:asciiTheme="majorBidi" w:eastAsia="Calibri" w:hAnsiTheme="majorBidi" w:cstheme="majorBidi"/>
          <w:sz w:val="20"/>
          <w:szCs w:val="20"/>
        </w:rPr>
      </w:pPr>
    </w:p>
    <w:tbl>
      <w:tblPr>
        <w:tblStyle w:val="TableGrid"/>
        <w:tblW w:w="0" w:type="auto"/>
        <w:tblInd w:w="1271" w:type="dxa"/>
        <w:tblLayout w:type="fixed"/>
        <w:tblLook w:val="04A0" w:firstRow="1" w:lastRow="0" w:firstColumn="1" w:lastColumn="0" w:noHBand="0" w:noVBand="1"/>
      </w:tblPr>
      <w:tblGrid>
        <w:gridCol w:w="1843"/>
        <w:gridCol w:w="1275"/>
        <w:gridCol w:w="1276"/>
        <w:gridCol w:w="1276"/>
        <w:gridCol w:w="1427"/>
        <w:gridCol w:w="982"/>
      </w:tblGrid>
      <w:tr w:rsidR="00805BB5" w:rsidRPr="006E3360" w14:paraId="5F935CDE" w14:textId="77777777" w:rsidTr="00E4551C">
        <w:tc>
          <w:tcPr>
            <w:tcW w:w="1843" w:type="dxa"/>
            <w:vMerge w:val="restart"/>
            <w:vAlign w:val="center"/>
          </w:tcPr>
          <w:p w14:paraId="1029BF2E" w14:textId="77777777" w:rsidR="00805BB5" w:rsidRPr="006E3360" w:rsidRDefault="00805BB5" w:rsidP="00E4551C">
            <w:pPr>
              <w:rPr>
                <w:rFonts w:ascii="Times New Roman" w:hAnsi="Times New Roman" w:cs="Times New Roman"/>
                <w:b/>
                <w:sz w:val="20"/>
                <w:szCs w:val="20"/>
              </w:rPr>
            </w:pPr>
            <w:r w:rsidRPr="006E3360">
              <w:rPr>
                <w:rFonts w:ascii="Times New Roman" w:hAnsi="Times New Roman" w:cs="Times New Roman"/>
                <w:b/>
                <w:sz w:val="20"/>
                <w:szCs w:val="20"/>
              </w:rPr>
              <w:t>Key provisions areas of work</w:t>
            </w:r>
          </w:p>
        </w:tc>
        <w:tc>
          <w:tcPr>
            <w:tcW w:w="1275" w:type="dxa"/>
            <w:vMerge w:val="restart"/>
            <w:vAlign w:val="center"/>
          </w:tcPr>
          <w:p w14:paraId="2C98145D" w14:textId="77777777" w:rsidR="00805BB5" w:rsidRPr="006E3360" w:rsidRDefault="00805BB5" w:rsidP="00E4551C">
            <w:pPr>
              <w:jc w:val="center"/>
              <w:rPr>
                <w:rFonts w:ascii="Times New Roman" w:hAnsi="Times New Roman" w:cs="Times New Roman"/>
                <w:b/>
                <w:sz w:val="20"/>
                <w:szCs w:val="20"/>
              </w:rPr>
            </w:pPr>
            <w:r w:rsidRPr="006E3360">
              <w:rPr>
                <w:rFonts w:ascii="Times New Roman" w:hAnsi="Times New Roman" w:cs="Times New Roman"/>
                <w:b/>
                <w:sz w:val="20"/>
                <w:szCs w:val="20"/>
              </w:rPr>
              <w:t>Basel</w:t>
            </w:r>
            <w:r>
              <w:rPr>
                <w:rFonts w:ascii="Times New Roman" w:hAnsi="Times New Roman" w:cs="Times New Roman"/>
                <w:b/>
                <w:sz w:val="20"/>
                <w:szCs w:val="20"/>
              </w:rPr>
              <w:t xml:space="preserve"> Convention</w:t>
            </w:r>
          </w:p>
        </w:tc>
        <w:tc>
          <w:tcPr>
            <w:tcW w:w="1276" w:type="dxa"/>
            <w:vMerge w:val="restart"/>
            <w:vAlign w:val="center"/>
          </w:tcPr>
          <w:p w14:paraId="615206A7" w14:textId="77777777" w:rsidR="00805BB5" w:rsidRPr="006E3360" w:rsidRDefault="00805BB5" w:rsidP="00E4551C">
            <w:pPr>
              <w:jc w:val="center"/>
              <w:rPr>
                <w:rFonts w:ascii="Times New Roman" w:hAnsi="Times New Roman" w:cs="Times New Roman"/>
                <w:b/>
                <w:sz w:val="20"/>
                <w:szCs w:val="20"/>
              </w:rPr>
            </w:pPr>
            <w:r w:rsidRPr="006E3360">
              <w:rPr>
                <w:rFonts w:ascii="Times New Roman" w:hAnsi="Times New Roman" w:cs="Times New Roman"/>
                <w:b/>
                <w:sz w:val="20"/>
                <w:szCs w:val="20"/>
              </w:rPr>
              <w:t>Rotterdam</w:t>
            </w:r>
            <w:r>
              <w:rPr>
                <w:rFonts w:ascii="Times New Roman" w:hAnsi="Times New Roman" w:cs="Times New Roman"/>
                <w:b/>
                <w:sz w:val="20"/>
                <w:szCs w:val="20"/>
              </w:rPr>
              <w:t xml:space="preserve"> Convention</w:t>
            </w:r>
          </w:p>
        </w:tc>
        <w:tc>
          <w:tcPr>
            <w:tcW w:w="1276" w:type="dxa"/>
            <w:vMerge w:val="restart"/>
            <w:vAlign w:val="center"/>
          </w:tcPr>
          <w:p w14:paraId="22D630D4" w14:textId="77777777" w:rsidR="00805BB5" w:rsidRPr="006E3360" w:rsidRDefault="00805BB5" w:rsidP="00E4551C">
            <w:pPr>
              <w:jc w:val="center"/>
              <w:rPr>
                <w:rFonts w:ascii="Times New Roman" w:hAnsi="Times New Roman" w:cs="Times New Roman"/>
                <w:b/>
                <w:sz w:val="20"/>
                <w:szCs w:val="20"/>
              </w:rPr>
            </w:pPr>
            <w:r w:rsidRPr="006E3360">
              <w:rPr>
                <w:rFonts w:ascii="Times New Roman" w:hAnsi="Times New Roman" w:cs="Times New Roman"/>
                <w:b/>
                <w:sz w:val="20"/>
                <w:szCs w:val="20"/>
              </w:rPr>
              <w:t>Stockholm</w:t>
            </w:r>
            <w:r>
              <w:rPr>
                <w:rFonts w:ascii="Times New Roman" w:hAnsi="Times New Roman" w:cs="Times New Roman"/>
                <w:b/>
                <w:sz w:val="20"/>
                <w:szCs w:val="20"/>
              </w:rPr>
              <w:t xml:space="preserve"> Convention </w:t>
            </w:r>
          </w:p>
        </w:tc>
        <w:tc>
          <w:tcPr>
            <w:tcW w:w="2409" w:type="dxa"/>
            <w:gridSpan w:val="2"/>
          </w:tcPr>
          <w:p w14:paraId="0E1BE7AC" w14:textId="77777777" w:rsidR="00805BB5" w:rsidRPr="006E3360" w:rsidRDefault="00805BB5" w:rsidP="00E4551C">
            <w:pPr>
              <w:rPr>
                <w:rFonts w:ascii="Times New Roman" w:hAnsi="Times New Roman" w:cs="Times New Roman"/>
                <w:b/>
                <w:sz w:val="20"/>
                <w:szCs w:val="20"/>
              </w:rPr>
            </w:pPr>
            <w:r w:rsidRPr="006E3360">
              <w:rPr>
                <w:rFonts w:ascii="Times New Roman" w:hAnsi="Times New Roman" w:cs="Times New Roman"/>
                <w:b/>
                <w:sz w:val="20"/>
                <w:szCs w:val="20"/>
              </w:rPr>
              <w:t>Links to 2020 goal as specified in SAICM texts</w:t>
            </w:r>
          </w:p>
        </w:tc>
      </w:tr>
      <w:tr w:rsidR="00805BB5" w:rsidRPr="006E3360" w14:paraId="63926BE3" w14:textId="77777777" w:rsidTr="00E4551C">
        <w:tc>
          <w:tcPr>
            <w:tcW w:w="1843" w:type="dxa"/>
            <w:vMerge/>
          </w:tcPr>
          <w:p w14:paraId="335E9102" w14:textId="77777777" w:rsidR="00805BB5" w:rsidRPr="006E3360" w:rsidRDefault="00805BB5" w:rsidP="00E4551C">
            <w:pPr>
              <w:rPr>
                <w:rFonts w:ascii="Times New Roman" w:hAnsi="Times New Roman" w:cs="Times New Roman"/>
                <w:b/>
                <w:sz w:val="20"/>
                <w:szCs w:val="20"/>
              </w:rPr>
            </w:pPr>
          </w:p>
        </w:tc>
        <w:tc>
          <w:tcPr>
            <w:tcW w:w="1275" w:type="dxa"/>
            <w:vMerge/>
          </w:tcPr>
          <w:p w14:paraId="4DEDC3D5" w14:textId="77777777" w:rsidR="00805BB5" w:rsidRPr="006E3360" w:rsidRDefault="00805BB5" w:rsidP="00E4551C">
            <w:pPr>
              <w:rPr>
                <w:rFonts w:ascii="Times New Roman" w:hAnsi="Times New Roman" w:cs="Times New Roman"/>
                <w:b/>
                <w:sz w:val="20"/>
                <w:szCs w:val="20"/>
              </w:rPr>
            </w:pPr>
          </w:p>
        </w:tc>
        <w:tc>
          <w:tcPr>
            <w:tcW w:w="1276" w:type="dxa"/>
            <w:vMerge/>
          </w:tcPr>
          <w:p w14:paraId="357E8E82" w14:textId="77777777" w:rsidR="00805BB5" w:rsidRPr="006E3360" w:rsidRDefault="00805BB5" w:rsidP="00E4551C">
            <w:pPr>
              <w:rPr>
                <w:rFonts w:ascii="Times New Roman" w:hAnsi="Times New Roman" w:cs="Times New Roman"/>
                <w:b/>
                <w:sz w:val="20"/>
                <w:szCs w:val="20"/>
              </w:rPr>
            </w:pPr>
          </w:p>
        </w:tc>
        <w:tc>
          <w:tcPr>
            <w:tcW w:w="1276" w:type="dxa"/>
            <w:vMerge/>
          </w:tcPr>
          <w:p w14:paraId="532DD9AE" w14:textId="77777777" w:rsidR="00805BB5" w:rsidRPr="006E3360" w:rsidRDefault="00805BB5" w:rsidP="00E4551C">
            <w:pPr>
              <w:rPr>
                <w:rFonts w:ascii="Times New Roman" w:hAnsi="Times New Roman" w:cs="Times New Roman"/>
                <w:b/>
                <w:sz w:val="20"/>
                <w:szCs w:val="20"/>
              </w:rPr>
            </w:pPr>
          </w:p>
        </w:tc>
        <w:tc>
          <w:tcPr>
            <w:tcW w:w="1427" w:type="dxa"/>
          </w:tcPr>
          <w:p w14:paraId="2104DADA" w14:textId="77777777" w:rsidR="00805BB5" w:rsidRPr="006E3360" w:rsidRDefault="00805BB5" w:rsidP="00E4551C">
            <w:pPr>
              <w:rPr>
                <w:rFonts w:ascii="Times New Roman" w:hAnsi="Times New Roman" w:cs="Times New Roman"/>
                <w:b/>
                <w:sz w:val="20"/>
                <w:szCs w:val="20"/>
              </w:rPr>
            </w:pPr>
            <w:r w:rsidRPr="006E3360">
              <w:rPr>
                <w:rFonts w:ascii="Times New Roman" w:hAnsi="Times New Roman" w:cs="Times New Roman"/>
                <w:b/>
                <w:sz w:val="20"/>
                <w:szCs w:val="20"/>
              </w:rPr>
              <w:t>OPS objective</w:t>
            </w:r>
          </w:p>
        </w:tc>
        <w:tc>
          <w:tcPr>
            <w:tcW w:w="982" w:type="dxa"/>
          </w:tcPr>
          <w:p w14:paraId="524CB396" w14:textId="77777777" w:rsidR="00805BB5" w:rsidRPr="006E3360" w:rsidRDefault="00805BB5" w:rsidP="00E4551C">
            <w:pPr>
              <w:rPr>
                <w:rFonts w:ascii="Times New Roman" w:hAnsi="Times New Roman" w:cs="Times New Roman"/>
                <w:b/>
                <w:sz w:val="20"/>
                <w:szCs w:val="20"/>
              </w:rPr>
            </w:pPr>
            <w:r w:rsidRPr="006E3360">
              <w:rPr>
                <w:rFonts w:ascii="Times New Roman" w:hAnsi="Times New Roman" w:cs="Times New Roman"/>
                <w:b/>
                <w:sz w:val="20"/>
                <w:szCs w:val="20"/>
              </w:rPr>
              <w:t xml:space="preserve">OOG basic element </w:t>
            </w:r>
          </w:p>
        </w:tc>
      </w:tr>
      <w:tr w:rsidR="00805BB5" w:rsidRPr="006E3360" w14:paraId="10C7947D" w14:textId="77777777" w:rsidTr="00E4551C">
        <w:tc>
          <w:tcPr>
            <w:tcW w:w="1843" w:type="dxa"/>
          </w:tcPr>
          <w:p w14:paraId="0341E0F9" w14:textId="77777777" w:rsidR="00805BB5" w:rsidRPr="006E3360" w:rsidRDefault="00805BB5" w:rsidP="00E4551C">
            <w:pPr>
              <w:rPr>
                <w:rFonts w:ascii="Times New Roman" w:hAnsi="Times New Roman" w:cs="Times New Roman"/>
                <w:b/>
                <w:sz w:val="20"/>
                <w:szCs w:val="20"/>
              </w:rPr>
            </w:pPr>
            <w:r w:rsidRPr="006E3360">
              <w:rPr>
                <w:rFonts w:ascii="Times New Roman" w:hAnsi="Times New Roman" w:cs="Times New Roman"/>
                <w:b/>
                <w:sz w:val="20"/>
                <w:szCs w:val="20"/>
              </w:rPr>
              <w:t xml:space="preserve">Evaluating/ regulating new and existing chemicals and wastes </w:t>
            </w:r>
          </w:p>
        </w:tc>
        <w:tc>
          <w:tcPr>
            <w:tcW w:w="1275" w:type="dxa"/>
          </w:tcPr>
          <w:p w14:paraId="11606D74" w14:textId="77777777" w:rsidR="00805BB5" w:rsidRPr="006E3360" w:rsidRDefault="00805BB5" w:rsidP="00E4551C">
            <w:pPr>
              <w:jc w:val="center"/>
              <w:rPr>
                <w:rFonts w:ascii="Times New Roman" w:hAnsi="Times New Roman" w:cs="Times New Roman"/>
                <w:b/>
                <w:sz w:val="20"/>
                <w:szCs w:val="20"/>
              </w:rPr>
            </w:pPr>
            <w:r w:rsidRPr="006E3360">
              <w:rPr>
                <w:rFonts w:ascii="Times New Roman" w:hAnsi="Times New Roman" w:cs="Times New Roman"/>
                <w:b/>
                <w:sz w:val="20"/>
                <w:szCs w:val="20"/>
              </w:rPr>
              <w:t>X</w:t>
            </w:r>
          </w:p>
        </w:tc>
        <w:tc>
          <w:tcPr>
            <w:tcW w:w="1276" w:type="dxa"/>
          </w:tcPr>
          <w:p w14:paraId="3B53A913" w14:textId="77777777" w:rsidR="00805BB5" w:rsidRPr="006E3360" w:rsidRDefault="00805BB5" w:rsidP="00E4551C">
            <w:pPr>
              <w:jc w:val="center"/>
              <w:rPr>
                <w:rFonts w:ascii="Times New Roman" w:hAnsi="Times New Roman" w:cs="Times New Roman"/>
                <w:b/>
                <w:sz w:val="20"/>
                <w:szCs w:val="20"/>
              </w:rPr>
            </w:pPr>
            <w:r w:rsidRPr="006E3360">
              <w:rPr>
                <w:rFonts w:ascii="Times New Roman" w:hAnsi="Times New Roman" w:cs="Times New Roman"/>
                <w:b/>
                <w:sz w:val="20"/>
                <w:szCs w:val="20"/>
              </w:rPr>
              <w:t>X</w:t>
            </w:r>
          </w:p>
        </w:tc>
        <w:tc>
          <w:tcPr>
            <w:tcW w:w="1276" w:type="dxa"/>
          </w:tcPr>
          <w:p w14:paraId="138A15A5" w14:textId="77777777" w:rsidR="00805BB5" w:rsidRPr="006E3360" w:rsidRDefault="00805BB5" w:rsidP="00E4551C">
            <w:pPr>
              <w:jc w:val="center"/>
              <w:rPr>
                <w:rFonts w:ascii="Times New Roman" w:hAnsi="Times New Roman" w:cs="Times New Roman"/>
                <w:b/>
                <w:sz w:val="20"/>
                <w:szCs w:val="20"/>
              </w:rPr>
            </w:pPr>
            <w:r w:rsidRPr="006E3360">
              <w:rPr>
                <w:rFonts w:ascii="Times New Roman" w:hAnsi="Times New Roman" w:cs="Times New Roman"/>
                <w:b/>
                <w:sz w:val="20"/>
                <w:szCs w:val="20"/>
              </w:rPr>
              <w:t>X</w:t>
            </w:r>
          </w:p>
        </w:tc>
        <w:tc>
          <w:tcPr>
            <w:tcW w:w="1427" w:type="dxa"/>
          </w:tcPr>
          <w:p w14:paraId="336D2951" w14:textId="77777777" w:rsidR="00805BB5" w:rsidRPr="006E3360" w:rsidRDefault="00805BB5" w:rsidP="00E4551C">
            <w:pPr>
              <w:rPr>
                <w:rFonts w:ascii="Times New Roman" w:hAnsi="Times New Roman" w:cs="Times New Roman"/>
                <w:sz w:val="20"/>
                <w:szCs w:val="20"/>
              </w:rPr>
            </w:pPr>
            <w:r w:rsidRPr="006E3360">
              <w:rPr>
                <w:rFonts w:ascii="Times New Roman" w:hAnsi="Times New Roman" w:cs="Times New Roman"/>
                <w:sz w:val="20"/>
                <w:szCs w:val="20"/>
              </w:rPr>
              <w:t xml:space="preserve">A. Risk reduction; </w:t>
            </w:r>
          </w:p>
          <w:p w14:paraId="7DD6E21D" w14:textId="77777777" w:rsidR="00805BB5" w:rsidRPr="006E3360" w:rsidRDefault="00805BB5" w:rsidP="00E4551C">
            <w:pPr>
              <w:rPr>
                <w:rFonts w:ascii="Times New Roman" w:hAnsi="Times New Roman" w:cs="Times New Roman"/>
                <w:sz w:val="20"/>
                <w:szCs w:val="20"/>
              </w:rPr>
            </w:pPr>
            <w:r w:rsidRPr="006E3360">
              <w:rPr>
                <w:rFonts w:ascii="Times New Roman" w:hAnsi="Times New Roman" w:cs="Times New Roman"/>
                <w:sz w:val="20"/>
                <w:szCs w:val="20"/>
              </w:rPr>
              <w:t>C.</w:t>
            </w:r>
            <w:r>
              <w:rPr>
                <w:rFonts w:ascii="Times New Roman" w:hAnsi="Times New Roman" w:cs="Times New Roman"/>
                <w:sz w:val="20"/>
                <w:szCs w:val="20"/>
              </w:rPr>
              <w:t xml:space="preserve"> </w:t>
            </w:r>
            <w:r w:rsidRPr="006E3360">
              <w:rPr>
                <w:rFonts w:ascii="Times New Roman" w:hAnsi="Times New Roman" w:cs="Times New Roman"/>
                <w:sz w:val="20"/>
                <w:szCs w:val="20"/>
              </w:rPr>
              <w:t>Governance</w:t>
            </w:r>
          </w:p>
        </w:tc>
        <w:tc>
          <w:tcPr>
            <w:tcW w:w="982" w:type="dxa"/>
          </w:tcPr>
          <w:p w14:paraId="37AD5CA2" w14:textId="77777777" w:rsidR="00805BB5" w:rsidRPr="006E3360" w:rsidRDefault="00805BB5" w:rsidP="00E4551C">
            <w:pPr>
              <w:rPr>
                <w:rFonts w:ascii="Times New Roman" w:hAnsi="Times New Roman" w:cs="Times New Roman"/>
                <w:sz w:val="20"/>
                <w:szCs w:val="20"/>
              </w:rPr>
            </w:pPr>
            <w:r w:rsidRPr="006E3360">
              <w:rPr>
                <w:rFonts w:ascii="Times New Roman" w:hAnsi="Times New Roman" w:cs="Times New Roman"/>
                <w:sz w:val="20"/>
                <w:szCs w:val="20"/>
              </w:rPr>
              <w:t>(a), (b), (c), (d), (e), (f), (h), (j), (k)</w:t>
            </w:r>
          </w:p>
        </w:tc>
      </w:tr>
      <w:tr w:rsidR="00805BB5" w:rsidRPr="006E3360" w14:paraId="1888D297" w14:textId="77777777" w:rsidTr="00E4551C">
        <w:tc>
          <w:tcPr>
            <w:tcW w:w="1843" w:type="dxa"/>
          </w:tcPr>
          <w:p w14:paraId="53982686" w14:textId="77777777" w:rsidR="00805BB5" w:rsidRPr="006E3360" w:rsidRDefault="00805BB5" w:rsidP="00E4551C">
            <w:pPr>
              <w:rPr>
                <w:rFonts w:ascii="Times New Roman" w:hAnsi="Times New Roman" w:cs="Times New Roman"/>
                <w:b/>
                <w:sz w:val="20"/>
                <w:szCs w:val="20"/>
              </w:rPr>
            </w:pPr>
            <w:r w:rsidRPr="006E3360">
              <w:rPr>
                <w:rFonts w:ascii="Times New Roman" w:hAnsi="Times New Roman" w:cs="Times New Roman"/>
                <w:b/>
                <w:sz w:val="20"/>
                <w:szCs w:val="20"/>
              </w:rPr>
              <w:t xml:space="preserve">Import/export controls </w:t>
            </w:r>
          </w:p>
        </w:tc>
        <w:tc>
          <w:tcPr>
            <w:tcW w:w="1275" w:type="dxa"/>
          </w:tcPr>
          <w:p w14:paraId="0F0AB57B" w14:textId="77777777" w:rsidR="00805BB5" w:rsidRPr="006E3360" w:rsidRDefault="00805BB5" w:rsidP="00E4551C">
            <w:pPr>
              <w:jc w:val="center"/>
              <w:rPr>
                <w:rFonts w:ascii="Times New Roman" w:hAnsi="Times New Roman" w:cs="Times New Roman"/>
                <w:b/>
                <w:sz w:val="20"/>
                <w:szCs w:val="20"/>
              </w:rPr>
            </w:pPr>
            <w:r w:rsidRPr="006E3360">
              <w:rPr>
                <w:rFonts w:ascii="Times New Roman" w:hAnsi="Times New Roman" w:cs="Times New Roman"/>
                <w:b/>
                <w:sz w:val="20"/>
                <w:szCs w:val="20"/>
              </w:rPr>
              <w:t>X</w:t>
            </w:r>
          </w:p>
        </w:tc>
        <w:tc>
          <w:tcPr>
            <w:tcW w:w="1276" w:type="dxa"/>
          </w:tcPr>
          <w:p w14:paraId="28E0D826" w14:textId="77777777" w:rsidR="00805BB5" w:rsidRPr="006E3360" w:rsidRDefault="00805BB5" w:rsidP="00E4551C">
            <w:pPr>
              <w:jc w:val="center"/>
              <w:rPr>
                <w:rFonts w:ascii="Times New Roman" w:hAnsi="Times New Roman" w:cs="Times New Roman"/>
                <w:b/>
                <w:sz w:val="20"/>
                <w:szCs w:val="20"/>
              </w:rPr>
            </w:pPr>
            <w:r w:rsidRPr="006E3360">
              <w:rPr>
                <w:rFonts w:ascii="Times New Roman" w:hAnsi="Times New Roman" w:cs="Times New Roman"/>
                <w:b/>
                <w:sz w:val="20"/>
                <w:szCs w:val="20"/>
              </w:rPr>
              <w:t>X</w:t>
            </w:r>
          </w:p>
        </w:tc>
        <w:tc>
          <w:tcPr>
            <w:tcW w:w="1276" w:type="dxa"/>
          </w:tcPr>
          <w:p w14:paraId="54D0E094" w14:textId="77777777" w:rsidR="00805BB5" w:rsidRPr="006E3360" w:rsidRDefault="00805BB5" w:rsidP="00E4551C">
            <w:pPr>
              <w:jc w:val="center"/>
              <w:rPr>
                <w:rFonts w:ascii="Times New Roman" w:hAnsi="Times New Roman" w:cs="Times New Roman"/>
                <w:b/>
                <w:sz w:val="20"/>
                <w:szCs w:val="20"/>
              </w:rPr>
            </w:pPr>
            <w:r w:rsidRPr="006E3360">
              <w:rPr>
                <w:rFonts w:ascii="Times New Roman" w:hAnsi="Times New Roman" w:cs="Times New Roman"/>
                <w:b/>
                <w:sz w:val="20"/>
                <w:szCs w:val="20"/>
              </w:rPr>
              <w:t>X</w:t>
            </w:r>
          </w:p>
        </w:tc>
        <w:tc>
          <w:tcPr>
            <w:tcW w:w="1427" w:type="dxa"/>
          </w:tcPr>
          <w:p w14:paraId="6C445F23" w14:textId="77777777" w:rsidR="00805BB5" w:rsidRPr="006E3360" w:rsidRDefault="00805BB5" w:rsidP="00E4551C">
            <w:pPr>
              <w:rPr>
                <w:rFonts w:ascii="Times New Roman" w:hAnsi="Times New Roman" w:cs="Times New Roman"/>
                <w:sz w:val="20"/>
                <w:szCs w:val="20"/>
              </w:rPr>
            </w:pPr>
            <w:r w:rsidRPr="006E3360">
              <w:rPr>
                <w:rFonts w:ascii="Times New Roman" w:hAnsi="Times New Roman" w:cs="Times New Roman"/>
                <w:sz w:val="20"/>
                <w:szCs w:val="20"/>
              </w:rPr>
              <w:t xml:space="preserve">E. Illegal international traffic; </w:t>
            </w:r>
          </w:p>
          <w:p w14:paraId="1602A599" w14:textId="77777777" w:rsidR="00805BB5" w:rsidRPr="006E3360" w:rsidRDefault="00805BB5" w:rsidP="00E4551C">
            <w:pPr>
              <w:rPr>
                <w:rFonts w:ascii="Times New Roman" w:hAnsi="Times New Roman" w:cs="Times New Roman"/>
                <w:sz w:val="20"/>
                <w:szCs w:val="20"/>
              </w:rPr>
            </w:pPr>
            <w:r w:rsidRPr="006E3360">
              <w:rPr>
                <w:rFonts w:ascii="Times New Roman" w:hAnsi="Times New Roman" w:cs="Times New Roman"/>
                <w:sz w:val="20"/>
                <w:szCs w:val="20"/>
              </w:rPr>
              <w:t>C. Governance</w:t>
            </w:r>
          </w:p>
        </w:tc>
        <w:tc>
          <w:tcPr>
            <w:tcW w:w="982" w:type="dxa"/>
          </w:tcPr>
          <w:p w14:paraId="7E979700" w14:textId="77777777" w:rsidR="00805BB5" w:rsidRPr="006E3360" w:rsidRDefault="00805BB5" w:rsidP="00E4551C">
            <w:pPr>
              <w:rPr>
                <w:rFonts w:ascii="Times New Roman" w:hAnsi="Times New Roman" w:cs="Times New Roman"/>
                <w:sz w:val="20"/>
                <w:szCs w:val="20"/>
              </w:rPr>
            </w:pPr>
            <w:r w:rsidRPr="006E3360">
              <w:rPr>
                <w:rFonts w:ascii="Times New Roman" w:hAnsi="Times New Roman" w:cs="Times New Roman"/>
                <w:sz w:val="20"/>
                <w:szCs w:val="20"/>
              </w:rPr>
              <w:t xml:space="preserve">(a), (b), (c), (d) (e) </w:t>
            </w:r>
          </w:p>
        </w:tc>
      </w:tr>
      <w:tr w:rsidR="00805BB5" w:rsidRPr="006E3360" w14:paraId="4EC48684" w14:textId="77777777" w:rsidTr="00E4551C">
        <w:tc>
          <w:tcPr>
            <w:tcW w:w="1843" w:type="dxa"/>
          </w:tcPr>
          <w:p w14:paraId="54039A6F" w14:textId="77777777" w:rsidR="00805BB5" w:rsidRPr="006E3360" w:rsidRDefault="00805BB5" w:rsidP="00E4551C">
            <w:pPr>
              <w:rPr>
                <w:rFonts w:ascii="Times New Roman" w:hAnsi="Times New Roman" w:cs="Times New Roman"/>
                <w:b/>
                <w:sz w:val="20"/>
                <w:szCs w:val="20"/>
              </w:rPr>
            </w:pPr>
            <w:r w:rsidRPr="006E3360">
              <w:rPr>
                <w:rFonts w:ascii="Times New Roman" w:hAnsi="Times New Roman" w:cs="Times New Roman"/>
                <w:b/>
                <w:sz w:val="20"/>
                <w:szCs w:val="20"/>
              </w:rPr>
              <w:t>Risk assessment and reduction</w:t>
            </w:r>
          </w:p>
        </w:tc>
        <w:tc>
          <w:tcPr>
            <w:tcW w:w="1275" w:type="dxa"/>
          </w:tcPr>
          <w:p w14:paraId="29487B47" w14:textId="77777777" w:rsidR="00805BB5" w:rsidRPr="006E3360" w:rsidRDefault="00805BB5" w:rsidP="00E4551C">
            <w:pPr>
              <w:jc w:val="center"/>
              <w:rPr>
                <w:rFonts w:ascii="Times New Roman" w:hAnsi="Times New Roman" w:cs="Times New Roman"/>
                <w:b/>
                <w:sz w:val="20"/>
                <w:szCs w:val="20"/>
              </w:rPr>
            </w:pPr>
            <w:r w:rsidRPr="006E3360">
              <w:rPr>
                <w:rFonts w:ascii="Times New Roman" w:hAnsi="Times New Roman" w:cs="Times New Roman"/>
                <w:b/>
                <w:sz w:val="20"/>
                <w:szCs w:val="20"/>
              </w:rPr>
              <w:t>X</w:t>
            </w:r>
          </w:p>
        </w:tc>
        <w:tc>
          <w:tcPr>
            <w:tcW w:w="1276" w:type="dxa"/>
          </w:tcPr>
          <w:p w14:paraId="5CAE1C4C" w14:textId="77777777" w:rsidR="00805BB5" w:rsidRPr="006E3360" w:rsidRDefault="00805BB5" w:rsidP="00E4551C">
            <w:pPr>
              <w:jc w:val="center"/>
              <w:rPr>
                <w:rFonts w:ascii="Times New Roman" w:hAnsi="Times New Roman" w:cs="Times New Roman"/>
                <w:b/>
                <w:sz w:val="20"/>
                <w:szCs w:val="20"/>
              </w:rPr>
            </w:pPr>
            <w:r w:rsidRPr="006E3360">
              <w:rPr>
                <w:rFonts w:ascii="Times New Roman" w:hAnsi="Times New Roman" w:cs="Times New Roman"/>
                <w:b/>
                <w:sz w:val="20"/>
                <w:szCs w:val="20"/>
              </w:rPr>
              <w:t>X</w:t>
            </w:r>
          </w:p>
        </w:tc>
        <w:tc>
          <w:tcPr>
            <w:tcW w:w="1276" w:type="dxa"/>
          </w:tcPr>
          <w:p w14:paraId="1E8070B8" w14:textId="77777777" w:rsidR="00805BB5" w:rsidRPr="006E3360" w:rsidRDefault="00805BB5" w:rsidP="00E4551C">
            <w:pPr>
              <w:jc w:val="center"/>
              <w:rPr>
                <w:rFonts w:ascii="Times New Roman" w:hAnsi="Times New Roman" w:cs="Times New Roman"/>
                <w:b/>
                <w:sz w:val="20"/>
                <w:szCs w:val="20"/>
              </w:rPr>
            </w:pPr>
            <w:r w:rsidRPr="006E3360">
              <w:rPr>
                <w:rFonts w:ascii="Times New Roman" w:hAnsi="Times New Roman" w:cs="Times New Roman"/>
                <w:b/>
                <w:sz w:val="20"/>
                <w:szCs w:val="20"/>
              </w:rPr>
              <w:t>X</w:t>
            </w:r>
          </w:p>
        </w:tc>
        <w:tc>
          <w:tcPr>
            <w:tcW w:w="1427" w:type="dxa"/>
          </w:tcPr>
          <w:p w14:paraId="407105E8" w14:textId="77777777" w:rsidR="00805BB5" w:rsidRPr="006E3360" w:rsidRDefault="00805BB5" w:rsidP="00E4551C">
            <w:pPr>
              <w:rPr>
                <w:rFonts w:ascii="Times New Roman" w:hAnsi="Times New Roman" w:cs="Times New Roman"/>
                <w:sz w:val="20"/>
                <w:szCs w:val="20"/>
              </w:rPr>
            </w:pPr>
            <w:r w:rsidRPr="006E3360">
              <w:rPr>
                <w:rFonts w:ascii="Times New Roman" w:hAnsi="Times New Roman" w:cs="Times New Roman"/>
                <w:sz w:val="20"/>
                <w:szCs w:val="20"/>
              </w:rPr>
              <w:t>A. Risk reduction</w:t>
            </w:r>
          </w:p>
        </w:tc>
        <w:tc>
          <w:tcPr>
            <w:tcW w:w="982" w:type="dxa"/>
          </w:tcPr>
          <w:p w14:paraId="4AFC5E90" w14:textId="77777777" w:rsidR="00805BB5" w:rsidRPr="006E3360" w:rsidRDefault="00805BB5" w:rsidP="00E4551C">
            <w:pPr>
              <w:rPr>
                <w:rFonts w:ascii="Times New Roman" w:hAnsi="Times New Roman" w:cs="Times New Roman"/>
                <w:sz w:val="20"/>
                <w:szCs w:val="20"/>
              </w:rPr>
            </w:pPr>
            <w:r w:rsidRPr="006E3360">
              <w:rPr>
                <w:rFonts w:ascii="Times New Roman" w:hAnsi="Times New Roman" w:cs="Times New Roman"/>
                <w:sz w:val="20"/>
                <w:szCs w:val="20"/>
              </w:rPr>
              <w:t xml:space="preserve">(a), (c), (e), (f) (h), (j), (k) </w:t>
            </w:r>
          </w:p>
        </w:tc>
      </w:tr>
      <w:tr w:rsidR="00805BB5" w:rsidRPr="006E3360" w14:paraId="6F236D99" w14:textId="77777777" w:rsidTr="00E4551C">
        <w:tc>
          <w:tcPr>
            <w:tcW w:w="1843" w:type="dxa"/>
          </w:tcPr>
          <w:p w14:paraId="64694560" w14:textId="77777777" w:rsidR="00805BB5" w:rsidRPr="006E3360" w:rsidRDefault="00805BB5" w:rsidP="00E4551C">
            <w:pPr>
              <w:rPr>
                <w:rFonts w:ascii="Times New Roman" w:hAnsi="Times New Roman" w:cs="Times New Roman"/>
                <w:b/>
                <w:sz w:val="20"/>
                <w:szCs w:val="20"/>
              </w:rPr>
            </w:pPr>
            <w:r w:rsidRPr="006E3360">
              <w:rPr>
                <w:rFonts w:ascii="Times New Roman" w:hAnsi="Times New Roman" w:cs="Times New Roman"/>
                <w:b/>
                <w:sz w:val="20"/>
                <w:szCs w:val="20"/>
              </w:rPr>
              <w:t>Wastes management</w:t>
            </w:r>
          </w:p>
        </w:tc>
        <w:tc>
          <w:tcPr>
            <w:tcW w:w="1275" w:type="dxa"/>
          </w:tcPr>
          <w:p w14:paraId="35976265" w14:textId="77777777" w:rsidR="00805BB5" w:rsidRPr="006E3360" w:rsidRDefault="00805BB5" w:rsidP="00E4551C">
            <w:pPr>
              <w:jc w:val="center"/>
              <w:rPr>
                <w:rFonts w:ascii="Times New Roman" w:hAnsi="Times New Roman" w:cs="Times New Roman"/>
                <w:b/>
                <w:sz w:val="20"/>
                <w:szCs w:val="20"/>
              </w:rPr>
            </w:pPr>
            <w:r w:rsidRPr="006E3360">
              <w:rPr>
                <w:rFonts w:ascii="Times New Roman" w:hAnsi="Times New Roman" w:cs="Times New Roman"/>
                <w:b/>
                <w:sz w:val="20"/>
                <w:szCs w:val="20"/>
              </w:rPr>
              <w:t>X</w:t>
            </w:r>
          </w:p>
        </w:tc>
        <w:tc>
          <w:tcPr>
            <w:tcW w:w="1276" w:type="dxa"/>
          </w:tcPr>
          <w:p w14:paraId="0BA69376" w14:textId="77777777" w:rsidR="00805BB5" w:rsidRPr="006E3360" w:rsidRDefault="00805BB5" w:rsidP="00E4551C">
            <w:pPr>
              <w:jc w:val="center"/>
              <w:rPr>
                <w:rFonts w:ascii="Times New Roman" w:hAnsi="Times New Roman" w:cs="Times New Roman"/>
                <w:b/>
                <w:sz w:val="20"/>
                <w:szCs w:val="20"/>
              </w:rPr>
            </w:pPr>
          </w:p>
        </w:tc>
        <w:tc>
          <w:tcPr>
            <w:tcW w:w="1276" w:type="dxa"/>
          </w:tcPr>
          <w:p w14:paraId="1073D662" w14:textId="77777777" w:rsidR="00805BB5" w:rsidRPr="006E3360" w:rsidRDefault="00805BB5" w:rsidP="00E4551C">
            <w:pPr>
              <w:jc w:val="center"/>
              <w:rPr>
                <w:rFonts w:ascii="Times New Roman" w:hAnsi="Times New Roman" w:cs="Times New Roman"/>
                <w:b/>
                <w:sz w:val="20"/>
                <w:szCs w:val="20"/>
              </w:rPr>
            </w:pPr>
            <w:r w:rsidRPr="006E3360">
              <w:rPr>
                <w:rFonts w:ascii="Times New Roman" w:hAnsi="Times New Roman" w:cs="Times New Roman"/>
                <w:b/>
                <w:sz w:val="20"/>
                <w:szCs w:val="20"/>
              </w:rPr>
              <w:t>X</w:t>
            </w:r>
          </w:p>
        </w:tc>
        <w:tc>
          <w:tcPr>
            <w:tcW w:w="1427" w:type="dxa"/>
          </w:tcPr>
          <w:p w14:paraId="46F43023" w14:textId="77777777" w:rsidR="00805BB5" w:rsidRPr="006E3360" w:rsidRDefault="00805BB5" w:rsidP="00E4551C">
            <w:pPr>
              <w:rPr>
                <w:rFonts w:ascii="Times New Roman" w:hAnsi="Times New Roman" w:cs="Times New Roman"/>
                <w:sz w:val="20"/>
                <w:szCs w:val="20"/>
              </w:rPr>
            </w:pPr>
            <w:r w:rsidRPr="006E3360">
              <w:rPr>
                <w:rFonts w:ascii="Times New Roman" w:hAnsi="Times New Roman" w:cs="Times New Roman"/>
                <w:sz w:val="20"/>
                <w:szCs w:val="20"/>
              </w:rPr>
              <w:t>A. Risk reduction</w:t>
            </w:r>
          </w:p>
        </w:tc>
        <w:tc>
          <w:tcPr>
            <w:tcW w:w="982" w:type="dxa"/>
          </w:tcPr>
          <w:p w14:paraId="20E793F2" w14:textId="77777777" w:rsidR="00805BB5" w:rsidRPr="006E3360" w:rsidRDefault="00805BB5" w:rsidP="00E4551C">
            <w:pPr>
              <w:rPr>
                <w:rFonts w:ascii="Times New Roman" w:hAnsi="Times New Roman" w:cs="Times New Roman"/>
                <w:sz w:val="20"/>
                <w:szCs w:val="20"/>
              </w:rPr>
            </w:pPr>
            <w:r w:rsidRPr="006E3360">
              <w:rPr>
                <w:rFonts w:ascii="Times New Roman" w:hAnsi="Times New Roman" w:cs="Times New Roman"/>
                <w:sz w:val="20"/>
                <w:szCs w:val="20"/>
              </w:rPr>
              <w:t>(a), (b), (c), (g)</w:t>
            </w:r>
          </w:p>
        </w:tc>
      </w:tr>
      <w:tr w:rsidR="00805BB5" w:rsidRPr="006E3360" w14:paraId="65CC29E7" w14:textId="77777777" w:rsidTr="00E4551C">
        <w:tc>
          <w:tcPr>
            <w:tcW w:w="1843" w:type="dxa"/>
          </w:tcPr>
          <w:p w14:paraId="3D3079BF" w14:textId="77777777" w:rsidR="00805BB5" w:rsidRPr="006E3360" w:rsidRDefault="00805BB5" w:rsidP="00E4551C">
            <w:pPr>
              <w:rPr>
                <w:rFonts w:ascii="Times New Roman" w:hAnsi="Times New Roman" w:cs="Times New Roman"/>
                <w:b/>
                <w:sz w:val="20"/>
                <w:szCs w:val="20"/>
              </w:rPr>
            </w:pPr>
            <w:r w:rsidRPr="006E3360">
              <w:rPr>
                <w:rFonts w:ascii="Times New Roman" w:hAnsi="Times New Roman" w:cs="Times New Roman"/>
                <w:b/>
                <w:sz w:val="20"/>
                <w:szCs w:val="20"/>
              </w:rPr>
              <w:t>Environmental releases</w:t>
            </w:r>
          </w:p>
        </w:tc>
        <w:tc>
          <w:tcPr>
            <w:tcW w:w="1275" w:type="dxa"/>
          </w:tcPr>
          <w:p w14:paraId="07BB7546" w14:textId="77777777" w:rsidR="00805BB5" w:rsidRPr="006E3360" w:rsidRDefault="00805BB5" w:rsidP="00E4551C">
            <w:pPr>
              <w:jc w:val="center"/>
              <w:rPr>
                <w:rFonts w:ascii="Times New Roman" w:hAnsi="Times New Roman" w:cs="Times New Roman"/>
                <w:b/>
                <w:sz w:val="20"/>
                <w:szCs w:val="20"/>
              </w:rPr>
            </w:pPr>
            <w:r w:rsidRPr="006E3360">
              <w:rPr>
                <w:rFonts w:ascii="Times New Roman" w:hAnsi="Times New Roman" w:cs="Times New Roman"/>
                <w:b/>
                <w:sz w:val="20"/>
                <w:szCs w:val="20"/>
              </w:rPr>
              <w:t>X</w:t>
            </w:r>
          </w:p>
        </w:tc>
        <w:tc>
          <w:tcPr>
            <w:tcW w:w="1276" w:type="dxa"/>
          </w:tcPr>
          <w:p w14:paraId="3D8EAC96" w14:textId="77777777" w:rsidR="00805BB5" w:rsidRPr="006E3360" w:rsidRDefault="00805BB5" w:rsidP="00E4551C">
            <w:pPr>
              <w:jc w:val="center"/>
              <w:rPr>
                <w:rFonts w:ascii="Times New Roman" w:hAnsi="Times New Roman" w:cs="Times New Roman"/>
                <w:b/>
                <w:sz w:val="20"/>
                <w:szCs w:val="20"/>
              </w:rPr>
            </w:pPr>
          </w:p>
        </w:tc>
        <w:tc>
          <w:tcPr>
            <w:tcW w:w="1276" w:type="dxa"/>
          </w:tcPr>
          <w:p w14:paraId="257FCC23" w14:textId="77777777" w:rsidR="00805BB5" w:rsidRPr="006E3360" w:rsidRDefault="00805BB5" w:rsidP="00E4551C">
            <w:pPr>
              <w:jc w:val="center"/>
              <w:rPr>
                <w:rFonts w:ascii="Times New Roman" w:hAnsi="Times New Roman" w:cs="Times New Roman"/>
                <w:b/>
                <w:sz w:val="20"/>
                <w:szCs w:val="20"/>
              </w:rPr>
            </w:pPr>
            <w:r w:rsidRPr="006E3360">
              <w:rPr>
                <w:rFonts w:ascii="Times New Roman" w:hAnsi="Times New Roman" w:cs="Times New Roman"/>
                <w:b/>
                <w:sz w:val="20"/>
                <w:szCs w:val="20"/>
              </w:rPr>
              <w:t xml:space="preserve">X </w:t>
            </w:r>
          </w:p>
        </w:tc>
        <w:tc>
          <w:tcPr>
            <w:tcW w:w="1427" w:type="dxa"/>
          </w:tcPr>
          <w:p w14:paraId="32C725CB" w14:textId="77777777" w:rsidR="00805BB5" w:rsidRPr="006E3360" w:rsidRDefault="00805BB5" w:rsidP="00E4551C">
            <w:pPr>
              <w:rPr>
                <w:rFonts w:ascii="Times New Roman" w:hAnsi="Times New Roman" w:cs="Times New Roman"/>
                <w:sz w:val="20"/>
                <w:szCs w:val="20"/>
              </w:rPr>
            </w:pPr>
            <w:r w:rsidRPr="006E3360">
              <w:rPr>
                <w:rFonts w:ascii="Times New Roman" w:hAnsi="Times New Roman" w:cs="Times New Roman"/>
                <w:sz w:val="20"/>
                <w:szCs w:val="20"/>
              </w:rPr>
              <w:t>A. Risk reduction</w:t>
            </w:r>
          </w:p>
        </w:tc>
        <w:tc>
          <w:tcPr>
            <w:tcW w:w="982" w:type="dxa"/>
          </w:tcPr>
          <w:p w14:paraId="1D01B6BD" w14:textId="77777777" w:rsidR="00805BB5" w:rsidRPr="006E3360" w:rsidRDefault="00805BB5" w:rsidP="00E4551C">
            <w:pPr>
              <w:rPr>
                <w:rFonts w:ascii="Times New Roman" w:hAnsi="Times New Roman" w:cs="Times New Roman"/>
                <w:sz w:val="20"/>
                <w:szCs w:val="20"/>
              </w:rPr>
            </w:pPr>
            <w:r w:rsidRPr="006E3360">
              <w:rPr>
                <w:rFonts w:ascii="Times New Roman" w:hAnsi="Times New Roman" w:cs="Times New Roman"/>
                <w:sz w:val="20"/>
                <w:szCs w:val="20"/>
              </w:rPr>
              <w:t>(c), (h), (j), (k)</w:t>
            </w:r>
          </w:p>
        </w:tc>
      </w:tr>
      <w:tr w:rsidR="00805BB5" w:rsidRPr="006E3360" w14:paraId="730CF45A" w14:textId="77777777" w:rsidTr="00E4551C">
        <w:tc>
          <w:tcPr>
            <w:tcW w:w="1843" w:type="dxa"/>
          </w:tcPr>
          <w:p w14:paraId="64707A6D" w14:textId="77777777" w:rsidR="00805BB5" w:rsidRPr="006E3360" w:rsidRDefault="00805BB5" w:rsidP="00E4551C">
            <w:pPr>
              <w:rPr>
                <w:rFonts w:ascii="Times New Roman" w:hAnsi="Times New Roman" w:cs="Times New Roman"/>
                <w:b/>
                <w:sz w:val="20"/>
                <w:szCs w:val="20"/>
              </w:rPr>
            </w:pPr>
            <w:r w:rsidRPr="006E3360">
              <w:rPr>
                <w:rFonts w:ascii="Times New Roman" w:hAnsi="Times New Roman" w:cs="Times New Roman"/>
                <w:b/>
                <w:sz w:val="20"/>
                <w:szCs w:val="20"/>
              </w:rPr>
              <w:t>Alternatives</w:t>
            </w:r>
          </w:p>
        </w:tc>
        <w:tc>
          <w:tcPr>
            <w:tcW w:w="1275" w:type="dxa"/>
          </w:tcPr>
          <w:p w14:paraId="4A159CEF" w14:textId="77777777" w:rsidR="00805BB5" w:rsidRPr="006E3360" w:rsidRDefault="00805BB5" w:rsidP="00E4551C">
            <w:pPr>
              <w:jc w:val="center"/>
              <w:rPr>
                <w:rFonts w:ascii="Times New Roman" w:hAnsi="Times New Roman" w:cs="Times New Roman"/>
                <w:b/>
                <w:sz w:val="20"/>
                <w:szCs w:val="20"/>
              </w:rPr>
            </w:pPr>
          </w:p>
        </w:tc>
        <w:tc>
          <w:tcPr>
            <w:tcW w:w="1276" w:type="dxa"/>
          </w:tcPr>
          <w:p w14:paraId="3A3267E6" w14:textId="77777777" w:rsidR="00805BB5" w:rsidRPr="006E3360" w:rsidRDefault="00805BB5" w:rsidP="00E4551C">
            <w:pPr>
              <w:jc w:val="center"/>
              <w:rPr>
                <w:rFonts w:ascii="Times New Roman" w:hAnsi="Times New Roman" w:cs="Times New Roman"/>
                <w:b/>
                <w:sz w:val="20"/>
                <w:szCs w:val="20"/>
              </w:rPr>
            </w:pPr>
            <w:r w:rsidRPr="006E3360">
              <w:rPr>
                <w:rFonts w:ascii="Times New Roman" w:hAnsi="Times New Roman" w:cs="Times New Roman"/>
                <w:b/>
                <w:sz w:val="20"/>
                <w:szCs w:val="20"/>
              </w:rPr>
              <w:t>X</w:t>
            </w:r>
          </w:p>
        </w:tc>
        <w:tc>
          <w:tcPr>
            <w:tcW w:w="1276" w:type="dxa"/>
          </w:tcPr>
          <w:p w14:paraId="3AC8ABAF" w14:textId="77777777" w:rsidR="00805BB5" w:rsidRPr="006E3360" w:rsidRDefault="00805BB5" w:rsidP="00E4551C">
            <w:pPr>
              <w:jc w:val="center"/>
              <w:rPr>
                <w:rFonts w:ascii="Times New Roman" w:hAnsi="Times New Roman" w:cs="Times New Roman"/>
                <w:b/>
                <w:sz w:val="20"/>
                <w:szCs w:val="20"/>
              </w:rPr>
            </w:pPr>
            <w:r w:rsidRPr="006E3360">
              <w:rPr>
                <w:rFonts w:ascii="Times New Roman" w:hAnsi="Times New Roman" w:cs="Times New Roman"/>
                <w:b/>
                <w:sz w:val="20"/>
                <w:szCs w:val="20"/>
              </w:rPr>
              <w:t>X</w:t>
            </w:r>
          </w:p>
        </w:tc>
        <w:tc>
          <w:tcPr>
            <w:tcW w:w="1427" w:type="dxa"/>
          </w:tcPr>
          <w:p w14:paraId="3F6F3D34" w14:textId="77777777" w:rsidR="00805BB5" w:rsidRPr="006E3360" w:rsidRDefault="00805BB5" w:rsidP="00E4551C">
            <w:pPr>
              <w:rPr>
                <w:rFonts w:ascii="Times New Roman" w:hAnsi="Times New Roman" w:cs="Times New Roman"/>
                <w:sz w:val="20"/>
                <w:szCs w:val="20"/>
              </w:rPr>
            </w:pPr>
            <w:r w:rsidRPr="006E3360">
              <w:rPr>
                <w:rFonts w:ascii="Times New Roman" w:hAnsi="Times New Roman" w:cs="Times New Roman"/>
                <w:sz w:val="20"/>
                <w:szCs w:val="20"/>
              </w:rPr>
              <w:t>A. Risk reduction</w:t>
            </w:r>
          </w:p>
        </w:tc>
        <w:tc>
          <w:tcPr>
            <w:tcW w:w="982" w:type="dxa"/>
          </w:tcPr>
          <w:p w14:paraId="298BCB8F" w14:textId="77777777" w:rsidR="00805BB5" w:rsidRPr="006E3360" w:rsidRDefault="00805BB5" w:rsidP="00E4551C">
            <w:pPr>
              <w:rPr>
                <w:rFonts w:ascii="Times New Roman" w:hAnsi="Times New Roman" w:cs="Times New Roman"/>
                <w:sz w:val="20"/>
                <w:szCs w:val="20"/>
              </w:rPr>
            </w:pPr>
            <w:r w:rsidRPr="006E3360">
              <w:rPr>
                <w:rFonts w:ascii="Times New Roman" w:hAnsi="Times New Roman" w:cs="Times New Roman"/>
                <w:sz w:val="20"/>
                <w:szCs w:val="20"/>
              </w:rPr>
              <w:t xml:space="preserve">(c), (k) </w:t>
            </w:r>
          </w:p>
        </w:tc>
      </w:tr>
      <w:tr w:rsidR="00805BB5" w:rsidRPr="006E3360" w14:paraId="6D09E6E4" w14:textId="77777777" w:rsidTr="00E4551C">
        <w:tc>
          <w:tcPr>
            <w:tcW w:w="1843" w:type="dxa"/>
          </w:tcPr>
          <w:p w14:paraId="530724DE" w14:textId="77777777" w:rsidR="00805BB5" w:rsidRPr="006E3360" w:rsidRDefault="00805BB5" w:rsidP="00E4551C">
            <w:pPr>
              <w:rPr>
                <w:rFonts w:ascii="Times New Roman" w:hAnsi="Times New Roman" w:cs="Times New Roman"/>
                <w:b/>
                <w:sz w:val="20"/>
                <w:szCs w:val="20"/>
              </w:rPr>
            </w:pPr>
            <w:r w:rsidRPr="006E3360">
              <w:rPr>
                <w:rFonts w:ascii="Times New Roman" w:hAnsi="Times New Roman" w:cs="Times New Roman"/>
                <w:b/>
                <w:sz w:val="20"/>
                <w:szCs w:val="20"/>
              </w:rPr>
              <w:lastRenderedPageBreak/>
              <w:t xml:space="preserve">Knowledge and information </w:t>
            </w:r>
          </w:p>
        </w:tc>
        <w:tc>
          <w:tcPr>
            <w:tcW w:w="1275" w:type="dxa"/>
          </w:tcPr>
          <w:p w14:paraId="541E425F" w14:textId="77777777" w:rsidR="00805BB5" w:rsidRPr="006E3360" w:rsidRDefault="00805BB5" w:rsidP="00E4551C">
            <w:pPr>
              <w:jc w:val="center"/>
              <w:rPr>
                <w:rFonts w:ascii="Times New Roman" w:hAnsi="Times New Roman" w:cs="Times New Roman"/>
                <w:b/>
                <w:sz w:val="20"/>
                <w:szCs w:val="20"/>
              </w:rPr>
            </w:pPr>
            <w:r w:rsidRPr="006E3360">
              <w:rPr>
                <w:rFonts w:ascii="Times New Roman" w:hAnsi="Times New Roman" w:cs="Times New Roman"/>
                <w:b/>
                <w:sz w:val="20"/>
                <w:szCs w:val="20"/>
              </w:rPr>
              <w:t>X</w:t>
            </w:r>
          </w:p>
        </w:tc>
        <w:tc>
          <w:tcPr>
            <w:tcW w:w="1276" w:type="dxa"/>
          </w:tcPr>
          <w:p w14:paraId="27E51BAB" w14:textId="77777777" w:rsidR="00805BB5" w:rsidRPr="006E3360" w:rsidRDefault="00805BB5" w:rsidP="00E4551C">
            <w:pPr>
              <w:jc w:val="center"/>
              <w:rPr>
                <w:rFonts w:ascii="Times New Roman" w:hAnsi="Times New Roman" w:cs="Times New Roman"/>
                <w:b/>
                <w:sz w:val="20"/>
                <w:szCs w:val="20"/>
              </w:rPr>
            </w:pPr>
            <w:r w:rsidRPr="006E3360">
              <w:rPr>
                <w:rFonts w:ascii="Times New Roman" w:hAnsi="Times New Roman" w:cs="Times New Roman"/>
                <w:b/>
                <w:sz w:val="20"/>
                <w:szCs w:val="20"/>
              </w:rPr>
              <w:t>X</w:t>
            </w:r>
          </w:p>
        </w:tc>
        <w:tc>
          <w:tcPr>
            <w:tcW w:w="1276" w:type="dxa"/>
          </w:tcPr>
          <w:p w14:paraId="1B632AD7" w14:textId="77777777" w:rsidR="00805BB5" w:rsidRPr="006E3360" w:rsidRDefault="00805BB5" w:rsidP="00E4551C">
            <w:pPr>
              <w:jc w:val="center"/>
              <w:rPr>
                <w:rFonts w:ascii="Times New Roman" w:hAnsi="Times New Roman" w:cs="Times New Roman"/>
                <w:b/>
                <w:sz w:val="20"/>
                <w:szCs w:val="20"/>
              </w:rPr>
            </w:pPr>
            <w:r w:rsidRPr="006E3360">
              <w:rPr>
                <w:rFonts w:ascii="Times New Roman" w:hAnsi="Times New Roman" w:cs="Times New Roman"/>
                <w:b/>
                <w:sz w:val="20"/>
                <w:szCs w:val="20"/>
              </w:rPr>
              <w:t>X</w:t>
            </w:r>
          </w:p>
        </w:tc>
        <w:tc>
          <w:tcPr>
            <w:tcW w:w="1427" w:type="dxa"/>
          </w:tcPr>
          <w:p w14:paraId="466F4B07" w14:textId="77777777" w:rsidR="00805BB5" w:rsidRPr="006E3360" w:rsidRDefault="00805BB5" w:rsidP="00E4551C">
            <w:pPr>
              <w:rPr>
                <w:rFonts w:ascii="Times New Roman" w:hAnsi="Times New Roman" w:cs="Times New Roman"/>
                <w:sz w:val="20"/>
                <w:szCs w:val="20"/>
              </w:rPr>
            </w:pPr>
            <w:r w:rsidRPr="006E3360">
              <w:rPr>
                <w:rFonts w:ascii="Times New Roman" w:hAnsi="Times New Roman" w:cs="Times New Roman"/>
                <w:sz w:val="20"/>
                <w:szCs w:val="20"/>
              </w:rPr>
              <w:t>B. Knowledge and information</w:t>
            </w:r>
          </w:p>
        </w:tc>
        <w:tc>
          <w:tcPr>
            <w:tcW w:w="982" w:type="dxa"/>
          </w:tcPr>
          <w:p w14:paraId="369E2BFA" w14:textId="77777777" w:rsidR="00805BB5" w:rsidRPr="006E3360" w:rsidRDefault="00805BB5" w:rsidP="00E4551C">
            <w:pPr>
              <w:rPr>
                <w:rFonts w:ascii="Times New Roman" w:hAnsi="Times New Roman" w:cs="Times New Roman"/>
                <w:sz w:val="20"/>
                <w:szCs w:val="20"/>
              </w:rPr>
            </w:pPr>
            <w:r w:rsidRPr="006E3360">
              <w:rPr>
                <w:rFonts w:ascii="Times New Roman" w:hAnsi="Times New Roman" w:cs="Times New Roman"/>
                <w:sz w:val="20"/>
                <w:szCs w:val="20"/>
              </w:rPr>
              <w:t xml:space="preserve">(c), (e) </w:t>
            </w:r>
          </w:p>
        </w:tc>
      </w:tr>
      <w:tr w:rsidR="00805BB5" w:rsidRPr="006E3360" w14:paraId="3C72382C" w14:textId="77777777" w:rsidTr="00E4551C">
        <w:tc>
          <w:tcPr>
            <w:tcW w:w="1843" w:type="dxa"/>
          </w:tcPr>
          <w:p w14:paraId="2FEBA733" w14:textId="77777777" w:rsidR="00805BB5" w:rsidRPr="006E3360" w:rsidRDefault="00805BB5" w:rsidP="00E4551C">
            <w:pPr>
              <w:rPr>
                <w:rFonts w:ascii="Times New Roman" w:hAnsi="Times New Roman" w:cs="Times New Roman"/>
                <w:b/>
                <w:sz w:val="20"/>
                <w:szCs w:val="20"/>
              </w:rPr>
            </w:pPr>
            <w:r w:rsidRPr="006E3360">
              <w:rPr>
                <w:rFonts w:ascii="Times New Roman" w:hAnsi="Times New Roman" w:cs="Times New Roman"/>
                <w:b/>
                <w:sz w:val="20"/>
                <w:szCs w:val="20"/>
              </w:rPr>
              <w:t xml:space="preserve">Reporting </w:t>
            </w:r>
          </w:p>
        </w:tc>
        <w:tc>
          <w:tcPr>
            <w:tcW w:w="1275" w:type="dxa"/>
          </w:tcPr>
          <w:p w14:paraId="7E7A186E" w14:textId="77777777" w:rsidR="00805BB5" w:rsidRPr="006E3360" w:rsidRDefault="00805BB5" w:rsidP="00E4551C">
            <w:pPr>
              <w:jc w:val="center"/>
              <w:rPr>
                <w:rFonts w:ascii="Times New Roman" w:hAnsi="Times New Roman" w:cs="Times New Roman"/>
                <w:b/>
                <w:sz w:val="20"/>
                <w:szCs w:val="20"/>
              </w:rPr>
            </w:pPr>
            <w:r w:rsidRPr="006E3360">
              <w:rPr>
                <w:rFonts w:ascii="Times New Roman" w:hAnsi="Times New Roman" w:cs="Times New Roman"/>
                <w:b/>
                <w:sz w:val="20"/>
                <w:szCs w:val="20"/>
              </w:rPr>
              <w:t>X</w:t>
            </w:r>
          </w:p>
        </w:tc>
        <w:tc>
          <w:tcPr>
            <w:tcW w:w="1276" w:type="dxa"/>
          </w:tcPr>
          <w:p w14:paraId="2D082A0D" w14:textId="77777777" w:rsidR="00805BB5" w:rsidRPr="006E3360" w:rsidRDefault="00805BB5" w:rsidP="00E4551C">
            <w:pPr>
              <w:jc w:val="center"/>
              <w:rPr>
                <w:rFonts w:ascii="Times New Roman" w:hAnsi="Times New Roman" w:cs="Times New Roman"/>
                <w:b/>
                <w:sz w:val="20"/>
                <w:szCs w:val="20"/>
              </w:rPr>
            </w:pPr>
          </w:p>
        </w:tc>
        <w:tc>
          <w:tcPr>
            <w:tcW w:w="1276" w:type="dxa"/>
          </w:tcPr>
          <w:p w14:paraId="2D41F264" w14:textId="77777777" w:rsidR="00805BB5" w:rsidRPr="006E3360" w:rsidRDefault="00805BB5" w:rsidP="00E4551C">
            <w:pPr>
              <w:jc w:val="center"/>
              <w:rPr>
                <w:rFonts w:ascii="Times New Roman" w:hAnsi="Times New Roman" w:cs="Times New Roman"/>
                <w:b/>
                <w:sz w:val="20"/>
                <w:szCs w:val="20"/>
              </w:rPr>
            </w:pPr>
            <w:r w:rsidRPr="006E3360">
              <w:rPr>
                <w:rFonts w:ascii="Times New Roman" w:hAnsi="Times New Roman" w:cs="Times New Roman"/>
                <w:b/>
                <w:sz w:val="20"/>
                <w:szCs w:val="20"/>
              </w:rPr>
              <w:t>X</w:t>
            </w:r>
          </w:p>
        </w:tc>
        <w:tc>
          <w:tcPr>
            <w:tcW w:w="1427" w:type="dxa"/>
          </w:tcPr>
          <w:p w14:paraId="55FCAC9C" w14:textId="77777777" w:rsidR="00805BB5" w:rsidRPr="006E3360" w:rsidRDefault="00805BB5" w:rsidP="00E4551C">
            <w:pPr>
              <w:rPr>
                <w:rFonts w:ascii="Times New Roman" w:hAnsi="Times New Roman" w:cs="Times New Roman"/>
                <w:sz w:val="20"/>
                <w:szCs w:val="20"/>
              </w:rPr>
            </w:pPr>
            <w:r w:rsidRPr="006E3360">
              <w:rPr>
                <w:rFonts w:ascii="Times New Roman" w:hAnsi="Times New Roman" w:cs="Times New Roman"/>
                <w:sz w:val="20"/>
                <w:szCs w:val="20"/>
              </w:rPr>
              <w:t>B. Knowledge and information</w:t>
            </w:r>
          </w:p>
        </w:tc>
        <w:tc>
          <w:tcPr>
            <w:tcW w:w="982" w:type="dxa"/>
          </w:tcPr>
          <w:p w14:paraId="5976C50C" w14:textId="77777777" w:rsidR="00805BB5" w:rsidRPr="006E3360" w:rsidRDefault="00805BB5" w:rsidP="00E4551C">
            <w:pPr>
              <w:rPr>
                <w:rFonts w:ascii="Times New Roman" w:hAnsi="Times New Roman" w:cs="Times New Roman"/>
                <w:sz w:val="20"/>
                <w:szCs w:val="20"/>
              </w:rPr>
            </w:pPr>
            <w:r w:rsidRPr="006E3360">
              <w:rPr>
                <w:rFonts w:ascii="Times New Roman" w:hAnsi="Times New Roman" w:cs="Times New Roman"/>
                <w:sz w:val="20"/>
                <w:szCs w:val="20"/>
              </w:rPr>
              <w:t>(c), (e)</w:t>
            </w:r>
          </w:p>
        </w:tc>
      </w:tr>
      <w:tr w:rsidR="00805BB5" w:rsidRPr="006E3360" w14:paraId="22A33998" w14:textId="77777777" w:rsidTr="00E4551C">
        <w:tc>
          <w:tcPr>
            <w:tcW w:w="1843" w:type="dxa"/>
          </w:tcPr>
          <w:p w14:paraId="04E1CF86" w14:textId="77777777" w:rsidR="00805BB5" w:rsidRPr="006E3360" w:rsidRDefault="00805BB5" w:rsidP="00E4551C">
            <w:pPr>
              <w:rPr>
                <w:rFonts w:ascii="Times New Roman" w:hAnsi="Times New Roman" w:cs="Times New Roman"/>
                <w:b/>
                <w:sz w:val="20"/>
                <w:szCs w:val="20"/>
              </w:rPr>
            </w:pPr>
            <w:r w:rsidRPr="006E3360">
              <w:rPr>
                <w:rFonts w:ascii="Times New Roman" w:hAnsi="Times New Roman" w:cs="Times New Roman"/>
                <w:b/>
                <w:sz w:val="20"/>
                <w:szCs w:val="20"/>
              </w:rPr>
              <w:t>Technical assistance</w:t>
            </w:r>
          </w:p>
        </w:tc>
        <w:tc>
          <w:tcPr>
            <w:tcW w:w="1275" w:type="dxa"/>
          </w:tcPr>
          <w:p w14:paraId="65E2EB7E" w14:textId="77777777" w:rsidR="00805BB5" w:rsidRPr="006E3360" w:rsidRDefault="00805BB5" w:rsidP="00E4551C">
            <w:pPr>
              <w:jc w:val="center"/>
              <w:rPr>
                <w:rFonts w:ascii="Times New Roman" w:hAnsi="Times New Roman" w:cs="Times New Roman"/>
                <w:b/>
                <w:sz w:val="20"/>
                <w:szCs w:val="20"/>
              </w:rPr>
            </w:pPr>
            <w:r w:rsidRPr="006E3360">
              <w:rPr>
                <w:rFonts w:ascii="Times New Roman" w:hAnsi="Times New Roman" w:cs="Times New Roman"/>
                <w:b/>
                <w:sz w:val="20"/>
                <w:szCs w:val="20"/>
              </w:rPr>
              <w:t>X</w:t>
            </w:r>
          </w:p>
        </w:tc>
        <w:tc>
          <w:tcPr>
            <w:tcW w:w="1276" w:type="dxa"/>
          </w:tcPr>
          <w:p w14:paraId="4D713A3B" w14:textId="77777777" w:rsidR="00805BB5" w:rsidRPr="006E3360" w:rsidRDefault="00805BB5" w:rsidP="00E4551C">
            <w:pPr>
              <w:jc w:val="center"/>
              <w:rPr>
                <w:rFonts w:ascii="Times New Roman" w:hAnsi="Times New Roman" w:cs="Times New Roman"/>
                <w:b/>
                <w:sz w:val="20"/>
                <w:szCs w:val="20"/>
              </w:rPr>
            </w:pPr>
            <w:r w:rsidRPr="006E3360">
              <w:rPr>
                <w:rFonts w:ascii="Times New Roman" w:hAnsi="Times New Roman" w:cs="Times New Roman"/>
                <w:b/>
                <w:sz w:val="20"/>
                <w:szCs w:val="20"/>
              </w:rPr>
              <w:t>X</w:t>
            </w:r>
          </w:p>
        </w:tc>
        <w:tc>
          <w:tcPr>
            <w:tcW w:w="1276" w:type="dxa"/>
          </w:tcPr>
          <w:p w14:paraId="0BD3D423" w14:textId="77777777" w:rsidR="00805BB5" w:rsidRPr="006E3360" w:rsidRDefault="00805BB5" w:rsidP="00E4551C">
            <w:pPr>
              <w:jc w:val="center"/>
              <w:rPr>
                <w:rFonts w:ascii="Times New Roman" w:hAnsi="Times New Roman" w:cs="Times New Roman"/>
                <w:b/>
                <w:sz w:val="20"/>
                <w:szCs w:val="20"/>
              </w:rPr>
            </w:pPr>
            <w:r w:rsidRPr="006E3360">
              <w:rPr>
                <w:rFonts w:ascii="Times New Roman" w:hAnsi="Times New Roman" w:cs="Times New Roman"/>
                <w:b/>
                <w:sz w:val="20"/>
                <w:szCs w:val="20"/>
              </w:rPr>
              <w:t>X</w:t>
            </w:r>
          </w:p>
        </w:tc>
        <w:tc>
          <w:tcPr>
            <w:tcW w:w="1427" w:type="dxa"/>
          </w:tcPr>
          <w:p w14:paraId="587DE901" w14:textId="77777777" w:rsidR="00805BB5" w:rsidRPr="006E3360" w:rsidRDefault="00805BB5" w:rsidP="00E4551C">
            <w:pPr>
              <w:rPr>
                <w:rFonts w:ascii="Times New Roman" w:hAnsi="Times New Roman" w:cs="Times New Roman"/>
                <w:sz w:val="20"/>
                <w:szCs w:val="20"/>
              </w:rPr>
            </w:pPr>
            <w:r w:rsidRPr="006E3360">
              <w:rPr>
                <w:rFonts w:ascii="Times New Roman" w:hAnsi="Times New Roman" w:cs="Times New Roman"/>
                <w:sz w:val="20"/>
                <w:szCs w:val="20"/>
              </w:rPr>
              <w:t xml:space="preserve">D. Capacity-building and technical cooperation </w:t>
            </w:r>
          </w:p>
        </w:tc>
        <w:tc>
          <w:tcPr>
            <w:tcW w:w="982" w:type="dxa"/>
          </w:tcPr>
          <w:p w14:paraId="71609E3B" w14:textId="77777777" w:rsidR="00805BB5" w:rsidRPr="006E3360" w:rsidRDefault="00805BB5" w:rsidP="00E4551C">
            <w:pPr>
              <w:rPr>
                <w:rFonts w:ascii="Times New Roman" w:hAnsi="Times New Roman" w:cs="Times New Roman"/>
                <w:sz w:val="20"/>
                <w:szCs w:val="20"/>
              </w:rPr>
            </w:pPr>
            <w:r w:rsidRPr="006E3360">
              <w:rPr>
                <w:rFonts w:ascii="Times New Roman" w:hAnsi="Times New Roman" w:cs="Times New Roman"/>
                <w:sz w:val="20"/>
                <w:szCs w:val="20"/>
              </w:rPr>
              <w:t xml:space="preserve">All </w:t>
            </w:r>
          </w:p>
        </w:tc>
      </w:tr>
      <w:tr w:rsidR="00805BB5" w:rsidRPr="006E3360" w14:paraId="26EC2AC1" w14:textId="77777777" w:rsidTr="00E4551C">
        <w:tc>
          <w:tcPr>
            <w:tcW w:w="1843" w:type="dxa"/>
          </w:tcPr>
          <w:p w14:paraId="6AE52EF1" w14:textId="77777777" w:rsidR="00805BB5" w:rsidRPr="006E3360" w:rsidRDefault="00805BB5" w:rsidP="00E4551C">
            <w:pPr>
              <w:rPr>
                <w:rFonts w:ascii="Times New Roman" w:hAnsi="Times New Roman" w:cs="Times New Roman"/>
                <w:b/>
                <w:sz w:val="20"/>
                <w:szCs w:val="20"/>
              </w:rPr>
            </w:pPr>
            <w:r w:rsidRPr="006E3360">
              <w:rPr>
                <w:rFonts w:ascii="Times New Roman" w:hAnsi="Times New Roman" w:cs="Times New Roman"/>
                <w:b/>
                <w:sz w:val="20"/>
                <w:szCs w:val="20"/>
              </w:rPr>
              <w:t>Financial mechanism</w:t>
            </w:r>
          </w:p>
        </w:tc>
        <w:tc>
          <w:tcPr>
            <w:tcW w:w="1275" w:type="dxa"/>
          </w:tcPr>
          <w:p w14:paraId="7546D2A0" w14:textId="77777777" w:rsidR="00805BB5" w:rsidRPr="006E3360" w:rsidRDefault="00805BB5" w:rsidP="00E4551C">
            <w:pPr>
              <w:jc w:val="center"/>
              <w:rPr>
                <w:rFonts w:ascii="Times New Roman" w:hAnsi="Times New Roman" w:cs="Times New Roman"/>
                <w:b/>
                <w:sz w:val="20"/>
                <w:szCs w:val="20"/>
              </w:rPr>
            </w:pPr>
            <w:r w:rsidRPr="006E3360">
              <w:rPr>
                <w:rFonts w:ascii="Times New Roman" w:hAnsi="Times New Roman" w:cs="Times New Roman"/>
                <w:b/>
                <w:sz w:val="20"/>
                <w:szCs w:val="20"/>
              </w:rPr>
              <w:t>X</w:t>
            </w:r>
          </w:p>
        </w:tc>
        <w:tc>
          <w:tcPr>
            <w:tcW w:w="1276" w:type="dxa"/>
          </w:tcPr>
          <w:p w14:paraId="390B46BA" w14:textId="77777777" w:rsidR="00805BB5" w:rsidRPr="006E3360" w:rsidRDefault="00805BB5" w:rsidP="00E4551C">
            <w:pPr>
              <w:jc w:val="center"/>
              <w:rPr>
                <w:rFonts w:ascii="Times New Roman" w:hAnsi="Times New Roman" w:cs="Times New Roman"/>
                <w:b/>
                <w:sz w:val="20"/>
                <w:szCs w:val="20"/>
              </w:rPr>
            </w:pPr>
            <w:r w:rsidRPr="006E3360">
              <w:rPr>
                <w:rFonts w:ascii="Times New Roman" w:hAnsi="Times New Roman" w:cs="Times New Roman"/>
                <w:b/>
                <w:sz w:val="20"/>
                <w:szCs w:val="20"/>
              </w:rPr>
              <w:t>X</w:t>
            </w:r>
          </w:p>
        </w:tc>
        <w:tc>
          <w:tcPr>
            <w:tcW w:w="1276" w:type="dxa"/>
          </w:tcPr>
          <w:p w14:paraId="00A51821" w14:textId="77777777" w:rsidR="00805BB5" w:rsidRPr="006E3360" w:rsidRDefault="00805BB5" w:rsidP="00E4551C">
            <w:pPr>
              <w:jc w:val="center"/>
              <w:rPr>
                <w:rFonts w:ascii="Times New Roman" w:hAnsi="Times New Roman" w:cs="Times New Roman"/>
                <w:b/>
                <w:sz w:val="20"/>
                <w:szCs w:val="20"/>
              </w:rPr>
            </w:pPr>
            <w:r w:rsidRPr="006E3360">
              <w:rPr>
                <w:rFonts w:ascii="Times New Roman" w:hAnsi="Times New Roman" w:cs="Times New Roman"/>
                <w:b/>
                <w:sz w:val="20"/>
                <w:szCs w:val="20"/>
              </w:rPr>
              <w:t>X</w:t>
            </w:r>
          </w:p>
        </w:tc>
        <w:tc>
          <w:tcPr>
            <w:tcW w:w="1427" w:type="dxa"/>
          </w:tcPr>
          <w:p w14:paraId="589B5333" w14:textId="77777777" w:rsidR="00805BB5" w:rsidRPr="006E3360" w:rsidRDefault="00805BB5" w:rsidP="00E4551C">
            <w:pPr>
              <w:rPr>
                <w:rFonts w:ascii="Times New Roman" w:hAnsi="Times New Roman" w:cs="Times New Roman"/>
                <w:sz w:val="20"/>
                <w:szCs w:val="20"/>
              </w:rPr>
            </w:pPr>
            <w:r w:rsidRPr="006E3360">
              <w:rPr>
                <w:rFonts w:ascii="Times New Roman" w:hAnsi="Times New Roman" w:cs="Times New Roman"/>
                <w:sz w:val="20"/>
                <w:szCs w:val="20"/>
              </w:rPr>
              <w:t>D. Capacity-building and technical cooperation</w:t>
            </w:r>
          </w:p>
        </w:tc>
        <w:tc>
          <w:tcPr>
            <w:tcW w:w="982" w:type="dxa"/>
          </w:tcPr>
          <w:p w14:paraId="59D3A19F" w14:textId="77777777" w:rsidR="00805BB5" w:rsidRPr="006E3360" w:rsidRDefault="00805BB5" w:rsidP="00E4551C">
            <w:pPr>
              <w:rPr>
                <w:rFonts w:ascii="Times New Roman" w:hAnsi="Times New Roman" w:cs="Times New Roman"/>
                <w:sz w:val="20"/>
                <w:szCs w:val="20"/>
              </w:rPr>
            </w:pPr>
            <w:r w:rsidRPr="006E3360">
              <w:rPr>
                <w:rFonts w:ascii="Times New Roman" w:hAnsi="Times New Roman" w:cs="Times New Roman"/>
                <w:sz w:val="20"/>
                <w:szCs w:val="20"/>
              </w:rPr>
              <w:t xml:space="preserve">All </w:t>
            </w:r>
          </w:p>
        </w:tc>
      </w:tr>
    </w:tbl>
    <w:p w14:paraId="4D30E75C" w14:textId="77777777" w:rsidR="00805BB5" w:rsidRDefault="00805BB5" w:rsidP="00805BB5">
      <w:pPr>
        <w:spacing w:after="0" w:line="240" w:lineRule="auto"/>
        <w:rPr>
          <w:rFonts w:ascii="Times New Roman" w:hAnsi="Times New Roman" w:cs="Times New Roman"/>
          <w:b/>
          <w:sz w:val="20"/>
          <w:szCs w:val="20"/>
        </w:rPr>
      </w:pPr>
    </w:p>
    <w:p w14:paraId="68288591" w14:textId="77777777" w:rsidR="00805BB5" w:rsidRPr="003A1F07" w:rsidRDefault="00805BB5" w:rsidP="00805BB5">
      <w:pPr>
        <w:pStyle w:val="CH1"/>
        <w:ind w:left="1276" w:firstLine="0"/>
      </w:pPr>
      <w:r w:rsidRPr="003A1F07">
        <w:t>E. The 2030 Agenda’s goals, targets and indicators of relevance to the Basel, Rotterdam and Stockholm conventions</w:t>
      </w:r>
    </w:p>
    <w:p w14:paraId="75990103" w14:textId="77777777" w:rsidR="00805BB5" w:rsidRPr="002279DB" w:rsidRDefault="00805BB5" w:rsidP="002C0CB2">
      <w:pPr>
        <w:pStyle w:val="NormalNonumber"/>
        <w:numPr>
          <w:ilvl w:val="0"/>
          <w:numId w:val="7"/>
        </w:numPr>
        <w:spacing w:after="0"/>
        <w:ind w:left="1247" w:firstLine="0"/>
        <w:rPr>
          <w:lang w:val="en-US"/>
        </w:rPr>
      </w:pPr>
      <w:r w:rsidRPr="003A1F07">
        <w:rPr>
          <w:lang w:val="en-US"/>
        </w:rPr>
        <w:t xml:space="preserve">The sound management of chemicals and wastes is an essential and integral cross-cutting element of the sustainable development. </w:t>
      </w:r>
      <w:r w:rsidRPr="002279DB">
        <w:rPr>
          <w:lang w:val="en-US"/>
        </w:rPr>
        <w:t xml:space="preserve">The Basel, Rotterdam and Stockholm </w:t>
      </w:r>
      <w:r w:rsidRPr="002279DB">
        <w:rPr>
          <w:rFonts w:asciiTheme="majorBidi" w:eastAsia="Calibri" w:hAnsiTheme="majorBidi" w:cstheme="majorBidi"/>
          <w:lang w:val="en-US"/>
        </w:rPr>
        <w:t>conventions</w:t>
      </w:r>
      <w:r w:rsidRPr="002279DB">
        <w:rPr>
          <w:lang w:val="en-US"/>
        </w:rPr>
        <w:t xml:space="preserve"> make important contributions to supporting the conventions’ Parties in implementing the 2030 Agenda for Sustainable Development and the achievement of the relevant Sustainable Development Goals and associated targets.</w:t>
      </w:r>
      <w:r w:rsidRPr="00E3355F">
        <w:rPr>
          <w:rStyle w:val="FootnoteReference"/>
        </w:rPr>
        <w:footnoteReference w:id="4"/>
      </w:r>
      <w:r w:rsidRPr="002279DB">
        <w:rPr>
          <w:lang w:val="en-US"/>
        </w:rPr>
        <w:t xml:space="preserve"> The Agenda’s goals, targets and indicators relevant to the conventions are set out in the table below:</w:t>
      </w:r>
    </w:p>
    <w:p w14:paraId="09C8BB2A" w14:textId="77777777" w:rsidR="00805BB5" w:rsidRDefault="00805BB5" w:rsidP="00805BB5">
      <w:pPr>
        <w:spacing w:after="0" w:line="240" w:lineRule="auto"/>
        <w:rPr>
          <w:rFonts w:ascii="Times New Roman" w:hAnsi="Times New Roman" w:cs="Times New Roman"/>
          <w:b/>
        </w:rPr>
      </w:pPr>
    </w:p>
    <w:tbl>
      <w:tblPr>
        <w:tblStyle w:val="TableGrid"/>
        <w:tblW w:w="0" w:type="auto"/>
        <w:tblInd w:w="1271" w:type="dxa"/>
        <w:tblLook w:val="04A0" w:firstRow="1" w:lastRow="0" w:firstColumn="1" w:lastColumn="0" w:noHBand="0" w:noVBand="1"/>
      </w:tblPr>
      <w:tblGrid>
        <w:gridCol w:w="4536"/>
        <w:gridCol w:w="3543"/>
      </w:tblGrid>
      <w:tr w:rsidR="00805BB5" w14:paraId="67DAF5C6" w14:textId="77777777" w:rsidTr="00E4551C">
        <w:tc>
          <w:tcPr>
            <w:tcW w:w="8079" w:type="dxa"/>
            <w:gridSpan w:val="2"/>
          </w:tcPr>
          <w:p w14:paraId="74C10376" w14:textId="77777777" w:rsidR="00805BB5" w:rsidRDefault="00805BB5" w:rsidP="00E4551C">
            <w:pPr>
              <w:autoSpaceDE w:val="0"/>
              <w:autoSpaceDN w:val="0"/>
              <w:adjustRightInd w:val="0"/>
              <w:rPr>
                <w:rFonts w:ascii="Times New Roman" w:eastAsia="Times New Roman" w:hAnsi="Times New Roman" w:cs="Times New Roman"/>
                <w:b/>
                <w:sz w:val="20"/>
                <w:szCs w:val="20"/>
              </w:rPr>
            </w:pPr>
            <w:r w:rsidRPr="00094C3E">
              <w:rPr>
                <w:rFonts w:ascii="Times New Roman" w:eastAsia="Times New Roman" w:hAnsi="Times New Roman" w:cs="Times New Roman"/>
                <w:b/>
                <w:sz w:val="20"/>
                <w:szCs w:val="20"/>
              </w:rPr>
              <w:t>Goal 2. End hunger, achieve food security and improved nutrition and promote sustainable agriculture</w:t>
            </w:r>
          </w:p>
          <w:p w14:paraId="2BAEB177" w14:textId="77777777" w:rsidR="00805BB5" w:rsidRPr="00094C3E" w:rsidRDefault="00805BB5" w:rsidP="00E4551C">
            <w:pPr>
              <w:autoSpaceDE w:val="0"/>
              <w:autoSpaceDN w:val="0"/>
              <w:adjustRightInd w:val="0"/>
              <w:rPr>
                <w:rFonts w:ascii="Times New Roman" w:eastAsia="Times New Roman" w:hAnsi="Times New Roman" w:cs="Times New Roman"/>
                <w:b/>
                <w:sz w:val="20"/>
                <w:szCs w:val="20"/>
              </w:rPr>
            </w:pPr>
          </w:p>
        </w:tc>
      </w:tr>
      <w:tr w:rsidR="00805BB5" w14:paraId="1400AC67" w14:textId="77777777" w:rsidTr="00E4551C">
        <w:tc>
          <w:tcPr>
            <w:tcW w:w="4536" w:type="dxa"/>
          </w:tcPr>
          <w:p w14:paraId="56139B13" w14:textId="77777777" w:rsidR="00805BB5" w:rsidRPr="00805BB5" w:rsidRDefault="00805BB5" w:rsidP="00E4551C">
            <w:pPr>
              <w:autoSpaceDE w:val="0"/>
              <w:autoSpaceDN w:val="0"/>
              <w:adjustRightInd w:val="0"/>
              <w:rPr>
                <w:rFonts w:ascii="Times New Roman" w:eastAsia="Times New Roman" w:hAnsi="Times New Roman" w:cs="Times New Roman"/>
                <w:sz w:val="20"/>
                <w:szCs w:val="20"/>
              </w:rPr>
            </w:pPr>
            <w:r w:rsidRPr="00805BB5">
              <w:rPr>
                <w:rFonts w:ascii="Times New Roman" w:eastAsia="Times New Roman" w:hAnsi="Times New Roman" w:cs="Times New Roman"/>
                <w:sz w:val="20"/>
                <w:szCs w:val="20"/>
              </w:rPr>
              <w:t>2.4 By 2030, ensure sustainable food production</w:t>
            </w:r>
          </w:p>
          <w:p w14:paraId="49310231" w14:textId="77777777" w:rsidR="00805BB5" w:rsidRPr="00805BB5" w:rsidRDefault="00805BB5" w:rsidP="00E4551C">
            <w:pPr>
              <w:autoSpaceDE w:val="0"/>
              <w:autoSpaceDN w:val="0"/>
              <w:adjustRightInd w:val="0"/>
              <w:rPr>
                <w:rFonts w:ascii="Times New Roman" w:eastAsia="Times New Roman" w:hAnsi="Times New Roman" w:cs="Times New Roman"/>
                <w:sz w:val="20"/>
                <w:szCs w:val="20"/>
              </w:rPr>
            </w:pPr>
            <w:r w:rsidRPr="00805BB5">
              <w:rPr>
                <w:rFonts w:ascii="Times New Roman" w:eastAsia="Times New Roman" w:hAnsi="Times New Roman" w:cs="Times New Roman"/>
                <w:sz w:val="20"/>
                <w:szCs w:val="20"/>
              </w:rPr>
              <w:t>systems and implement resilient agricultural practices that increase productivity and production, that help maintain ecosystems, that strengthen capacity for adaptation to climate change, extreme weather, drought, flooding and other disasters and that progressively improve land and soil quality</w:t>
            </w:r>
          </w:p>
        </w:tc>
        <w:tc>
          <w:tcPr>
            <w:tcW w:w="3543" w:type="dxa"/>
          </w:tcPr>
          <w:p w14:paraId="782DE6EB" w14:textId="77777777" w:rsidR="00805BB5" w:rsidRPr="00805BB5" w:rsidRDefault="00805BB5" w:rsidP="00E4551C">
            <w:pPr>
              <w:pStyle w:val="NormalNonumber"/>
              <w:ind w:left="0"/>
              <w:rPr>
                <w:rFonts w:ascii="Times New Roman" w:hAnsi="Times New Roman" w:cs="Times New Roman"/>
                <w:sz w:val="20"/>
                <w:szCs w:val="20"/>
                <w:lang w:val="en-US"/>
              </w:rPr>
            </w:pPr>
            <w:r w:rsidRPr="00805BB5">
              <w:rPr>
                <w:rFonts w:ascii="Times New Roman" w:hAnsi="Times New Roman" w:cs="Times New Roman"/>
                <w:sz w:val="20"/>
                <w:szCs w:val="20"/>
                <w:lang w:val="en-US"/>
              </w:rPr>
              <w:t>2.4.1 Proportion of agricultural area under productive and sustainable agriculture</w:t>
            </w:r>
          </w:p>
        </w:tc>
      </w:tr>
      <w:tr w:rsidR="00805BB5" w14:paraId="2AD21562" w14:textId="77777777" w:rsidTr="00E4551C">
        <w:tc>
          <w:tcPr>
            <w:tcW w:w="8079" w:type="dxa"/>
            <w:gridSpan w:val="2"/>
          </w:tcPr>
          <w:p w14:paraId="279218E7" w14:textId="39D5166C" w:rsidR="00805BB5" w:rsidRPr="00094C3E" w:rsidRDefault="00805BB5" w:rsidP="00805BB5">
            <w:pPr>
              <w:autoSpaceDE w:val="0"/>
              <w:autoSpaceDN w:val="0"/>
              <w:adjustRightInd w:val="0"/>
              <w:rPr>
                <w:rFonts w:ascii="Times New Roman" w:eastAsia="Times New Roman" w:hAnsi="Times New Roman" w:cs="Times New Roman"/>
                <w:b/>
                <w:sz w:val="20"/>
                <w:szCs w:val="20"/>
              </w:rPr>
            </w:pPr>
            <w:r w:rsidRPr="00094C3E">
              <w:rPr>
                <w:rFonts w:ascii="Times New Roman" w:eastAsia="Times New Roman" w:hAnsi="Times New Roman" w:cs="Times New Roman"/>
                <w:b/>
                <w:sz w:val="20"/>
                <w:szCs w:val="20"/>
              </w:rPr>
              <w:t>Goal 3. Ensure healthy lives and promote well-being for all at all ages</w:t>
            </w:r>
          </w:p>
        </w:tc>
      </w:tr>
      <w:tr w:rsidR="00805BB5" w14:paraId="0844A48B" w14:textId="77777777" w:rsidTr="00E4551C">
        <w:tc>
          <w:tcPr>
            <w:tcW w:w="4536" w:type="dxa"/>
            <w:vMerge w:val="restart"/>
          </w:tcPr>
          <w:p w14:paraId="6D0AACAE" w14:textId="0866E7C5" w:rsidR="00805BB5" w:rsidRPr="00805BB5" w:rsidRDefault="00805BB5" w:rsidP="009F56FA">
            <w:pPr>
              <w:autoSpaceDE w:val="0"/>
              <w:autoSpaceDN w:val="0"/>
              <w:adjustRightInd w:val="0"/>
              <w:rPr>
                <w:rFonts w:asciiTheme="majorBidi" w:eastAsia="Times New Roman" w:hAnsiTheme="majorBidi" w:cstheme="majorBidi"/>
                <w:sz w:val="20"/>
                <w:szCs w:val="20"/>
              </w:rPr>
            </w:pPr>
            <w:r w:rsidRPr="00805BB5">
              <w:rPr>
                <w:rFonts w:asciiTheme="majorBidi" w:eastAsia="Times New Roman" w:hAnsiTheme="majorBidi" w:cstheme="majorBidi"/>
                <w:sz w:val="20"/>
                <w:szCs w:val="20"/>
              </w:rPr>
              <w:t>3.9 By 2030, substantially reduce the number of</w:t>
            </w:r>
            <w:r w:rsidR="009F56FA">
              <w:rPr>
                <w:rFonts w:asciiTheme="majorBidi" w:eastAsia="Times New Roman" w:hAnsiTheme="majorBidi" w:cstheme="majorBidi"/>
                <w:sz w:val="20"/>
                <w:szCs w:val="20"/>
              </w:rPr>
              <w:t xml:space="preserve"> </w:t>
            </w:r>
            <w:r w:rsidRPr="00805BB5">
              <w:rPr>
                <w:rFonts w:asciiTheme="majorBidi" w:eastAsia="Times New Roman" w:hAnsiTheme="majorBidi" w:cstheme="majorBidi"/>
                <w:sz w:val="20"/>
                <w:szCs w:val="20"/>
              </w:rPr>
              <w:t>deaths and illnesses from hazardous chemicals and air, water and soil pollution and contamination</w:t>
            </w:r>
          </w:p>
        </w:tc>
        <w:tc>
          <w:tcPr>
            <w:tcW w:w="3543" w:type="dxa"/>
          </w:tcPr>
          <w:p w14:paraId="133C3832" w14:textId="608EAB4D" w:rsidR="00805BB5" w:rsidRPr="00805BB5" w:rsidRDefault="00805BB5" w:rsidP="00805BB5">
            <w:pPr>
              <w:pStyle w:val="NormalNonumber"/>
              <w:ind w:left="0"/>
              <w:rPr>
                <w:rFonts w:asciiTheme="majorBidi" w:hAnsiTheme="majorBidi" w:cstheme="majorBidi"/>
                <w:sz w:val="20"/>
                <w:szCs w:val="20"/>
                <w:lang w:val="en-US"/>
              </w:rPr>
            </w:pPr>
            <w:r w:rsidRPr="00805BB5">
              <w:rPr>
                <w:rFonts w:asciiTheme="majorBidi" w:hAnsiTheme="majorBidi" w:cstheme="majorBidi"/>
                <w:sz w:val="20"/>
                <w:szCs w:val="20"/>
                <w:lang w:val="en-US"/>
              </w:rPr>
              <w:t xml:space="preserve">3.9.1 Mortality rate attributed to household and ambient air pollution </w:t>
            </w:r>
          </w:p>
        </w:tc>
      </w:tr>
      <w:tr w:rsidR="00805BB5" w14:paraId="25B7AF22" w14:textId="77777777" w:rsidTr="00E4551C">
        <w:tc>
          <w:tcPr>
            <w:tcW w:w="4536" w:type="dxa"/>
            <w:vMerge/>
          </w:tcPr>
          <w:p w14:paraId="4C691BD2" w14:textId="77777777" w:rsidR="00805BB5" w:rsidRPr="00805BB5" w:rsidRDefault="00805BB5" w:rsidP="00E4551C">
            <w:pPr>
              <w:autoSpaceDE w:val="0"/>
              <w:autoSpaceDN w:val="0"/>
              <w:adjustRightInd w:val="0"/>
              <w:rPr>
                <w:rFonts w:asciiTheme="majorBidi" w:eastAsia="Times New Roman" w:hAnsiTheme="majorBidi" w:cstheme="majorBidi"/>
                <w:sz w:val="20"/>
                <w:szCs w:val="20"/>
              </w:rPr>
            </w:pPr>
          </w:p>
        </w:tc>
        <w:tc>
          <w:tcPr>
            <w:tcW w:w="3543" w:type="dxa"/>
          </w:tcPr>
          <w:p w14:paraId="4D3C8499" w14:textId="7A3E171D" w:rsidR="00805BB5" w:rsidRPr="00805BB5" w:rsidRDefault="00805BB5" w:rsidP="00805BB5">
            <w:pPr>
              <w:autoSpaceDE w:val="0"/>
              <w:autoSpaceDN w:val="0"/>
              <w:adjustRightInd w:val="0"/>
              <w:rPr>
                <w:rFonts w:asciiTheme="majorBidi" w:eastAsia="Times New Roman" w:hAnsiTheme="majorBidi" w:cstheme="majorBidi"/>
                <w:sz w:val="20"/>
                <w:szCs w:val="20"/>
              </w:rPr>
            </w:pPr>
            <w:r w:rsidRPr="00805BB5">
              <w:rPr>
                <w:rFonts w:asciiTheme="majorBidi" w:eastAsia="Times New Roman" w:hAnsiTheme="majorBidi" w:cstheme="majorBidi"/>
                <w:sz w:val="20"/>
                <w:szCs w:val="20"/>
              </w:rPr>
              <w:t>3.9.2 Mortality rate attributed to unsafe water, unsafe sanitation and lack of hygiene (exposure to unsafe WASH services)</w:t>
            </w:r>
          </w:p>
        </w:tc>
      </w:tr>
      <w:tr w:rsidR="00805BB5" w14:paraId="10CE19E1" w14:textId="77777777" w:rsidTr="00E4551C">
        <w:tc>
          <w:tcPr>
            <w:tcW w:w="4536" w:type="dxa"/>
            <w:vMerge/>
          </w:tcPr>
          <w:p w14:paraId="12C6851E" w14:textId="77777777" w:rsidR="00805BB5" w:rsidRPr="00805BB5" w:rsidRDefault="00805BB5" w:rsidP="00E4551C">
            <w:pPr>
              <w:autoSpaceDE w:val="0"/>
              <w:autoSpaceDN w:val="0"/>
              <w:adjustRightInd w:val="0"/>
              <w:rPr>
                <w:rFonts w:asciiTheme="majorBidi" w:eastAsia="Times New Roman" w:hAnsiTheme="majorBidi" w:cstheme="majorBidi"/>
                <w:sz w:val="20"/>
                <w:szCs w:val="20"/>
              </w:rPr>
            </w:pPr>
          </w:p>
        </w:tc>
        <w:tc>
          <w:tcPr>
            <w:tcW w:w="3543" w:type="dxa"/>
          </w:tcPr>
          <w:p w14:paraId="64ED9A9A" w14:textId="77777777" w:rsidR="00805BB5" w:rsidRPr="00805BB5" w:rsidRDefault="00805BB5" w:rsidP="00E4551C">
            <w:pPr>
              <w:autoSpaceDE w:val="0"/>
              <w:autoSpaceDN w:val="0"/>
              <w:adjustRightInd w:val="0"/>
              <w:rPr>
                <w:rFonts w:asciiTheme="majorBidi" w:eastAsia="Times New Roman" w:hAnsiTheme="majorBidi" w:cstheme="majorBidi"/>
                <w:sz w:val="20"/>
                <w:szCs w:val="20"/>
              </w:rPr>
            </w:pPr>
            <w:r w:rsidRPr="00805BB5">
              <w:rPr>
                <w:rFonts w:asciiTheme="majorBidi" w:eastAsia="Times New Roman" w:hAnsiTheme="majorBidi" w:cstheme="majorBidi"/>
                <w:sz w:val="20"/>
                <w:szCs w:val="20"/>
              </w:rPr>
              <w:t>3.9.3 Mortality rate attributed to unintentional</w:t>
            </w:r>
          </w:p>
          <w:p w14:paraId="38DCFC76" w14:textId="38FEA6EC" w:rsidR="00805BB5" w:rsidRPr="00805BB5" w:rsidRDefault="00805BB5" w:rsidP="00805BB5">
            <w:pPr>
              <w:autoSpaceDE w:val="0"/>
              <w:autoSpaceDN w:val="0"/>
              <w:adjustRightInd w:val="0"/>
              <w:rPr>
                <w:rFonts w:asciiTheme="majorBidi" w:eastAsia="Times New Roman" w:hAnsiTheme="majorBidi" w:cstheme="majorBidi"/>
                <w:sz w:val="20"/>
                <w:szCs w:val="20"/>
              </w:rPr>
            </w:pPr>
            <w:r w:rsidRPr="00805BB5">
              <w:rPr>
                <w:rFonts w:asciiTheme="majorBidi" w:eastAsia="Times New Roman" w:hAnsiTheme="majorBidi" w:cstheme="majorBidi"/>
                <w:sz w:val="20"/>
                <w:szCs w:val="20"/>
              </w:rPr>
              <w:t>Poisoning</w:t>
            </w:r>
          </w:p>
        </w:tc>
      </w:tr>
      <w:tr w:rsidR="00805BB5" w14:paraId="1B21A921" w14:textId="77777777" w:rsidTr="00E4551C">
        <w:tc>
          <w:tcPr>
            <w:tcW w:w="8079" w:type="dxa"/>
            <w:gridSpan w:val="2"/>
          </w:tcPr>
          <w:p w14:paraId="61F1FA71" w14:textId="6D95623E" w:rsidR="00805BB5" w:rsidRPr="00094C3E" w:rsidRDefault="00805BB5" w:rsidP="00805BB5">
            <w:pPr>
              <w:autoSpaceDE w:val="0"/>
              <w:autoSpaceDN w:val="0"/>
              <w:adjustRightInd w:val="0"/>
              <w:rPr>
                <w:rFonts w:ascii="Times New Roman" w:eastAsia="Times New Roman" w:hAnsi="Times New Roman" w:cs="Times New Roman"/>
                <w:b/>
                <w:sz w:val="20"/>
                <w:szCs w:val="20"/>
              </w:rPr>
            </w:pPr>
            <w:r w:rsidRPr="00094C3E">
              <w:rPr>
                <w:rFonts w:ascii="Times New Roman" w:eastAsia="Times New Roman" w:hAnsi="Times New Roman" w:cs="Times New Roman"/>
                <w:b/>
                <w:sz w:val="20"/>
                <w:szCs w:val="20"/>
              </w:rPr>
              <w:t>Goal 12. Ensure sustainable consumption and production patterns</w:t>
            </w:r>
          </w:p>
        </w:tc>
      </w:tr>
      <w:tr w:rsidR="00805BB5" w14:paraId="3218BE75" w14:textId="77777777" w:rsidTr="00E4551C">
        <w:tc>
          <w:tcPr>
            <w:tcW w:w="4536" w:type="dxa"/>
            <w:vMerge w:val="restart"/>
          </w:tcPr>
          <w:p w14:paraId="4EF0151D" w14:textId="4001A45D" w:rsidR="00805BB5" w:rsidRPr="00805BB5" w:rsidRDefault="00805BB5" w:rsidP="009F56FA">
            <w:pPr>
              <w:autoSpaceDE w:val="0"/>
              <w:autoSpaceDN w:val="0"/>
              <w:adjustRightInd w:val="0"/>
              <w:rPr>
                <w:rFonts w:asciiTheme="majorBidi" w:eastAsia="Times New Roman" w:hAnsiTheme="majorBidi" w:cstheme="majorBidi"/>
                <w:sz w:val="20"/>
                <w:szCs w:val="20"/>
              </w:rPr>
            </w:pPr>
            <w:r w:rsidRPr="00805BB5">
              <w:rPr>
                <w:rFonts w:asciiTheme="majorBidi" w:eastAsia="Times New Roman" w:hAnsiTheme="majorBidi" w:cstheme="majorBidi"/>
                <w:sz w:val="20"/>
                <w:szCs w:val="20"/>
              </w:rPr>
              <w:t>12.4 By 2020, achieve the environmentally sound</w:t>
            </w:r>
            <w:r w:rsidR="009F56FA">
              <w:rPr>
                <w:rFonts w:asciiTheme="majorBidi" w:eastAsia="Times New Roman" w:hAnsiTheme="majorBidi" w:cstheme="majorBidi"/>
                <w:sz w:val="20"/>
                <w:szCs w:val="20"/>
              </w:rPr>
              <w:t xml:space="preserve"> </w:t>
            </w:r>
            <w:r w:rsidRPr="00805BB5">
              <w:rPr>
                <w:rFonts w:asciiTheme="majorBidi" w:eastAsia="Times New Roman" w:hAnsiTheme="majorBidi" w:cstheme="majorBidi"/>
                <w:sz w:val="20"/>
                <w:szCs w:val="20"/>
              </w:rPr>
              <w:t>management of chemicals and all wastes throughout their life cycle, in accordance with agreed international frameworks, and significantly reduce their release to air, water and soil in order to minimize their adverse impacts on human health and the environment</w:t>
            </w:r>
          </w:p>
        </w:tc>
        <w:tc>
          <w:tcPr>
            <w:tcW w:w="3543" w:type="dxa"/>
          </w:tcPr>
          <w:p w14:paraId="6B66E8A7" w14:textId="77777777" w:rsidR="00805BB5" w:rsidRPr="00805BB5" w:rsidRDefault="00805BB5" w:rsidP="00805BB5">
            <w:pPr>
              <w:autoSpaceDE w:val="0"/>
              <w:autoSpaceDN w:val="0"/>
              <w:adjustRightInd w:val="0"/>
              <w:spacing w:after="0"/>
              <w:rPr>
                <w:rFonts w:asciiTheme="majorBidi" w:eastAsia="Times New Roman" w:hAnsiTheme="majorBidi" w:cstheme="majorBidi"/>
                <w:sz w:val="20"/>
                <w:szCs w:val="20"/>
              </w:rPr>
            </w:pPr>
            <w:r w:rsidRPr="00805BB5">
              <w:rPr>
                <w:rFonts w:asciiTheme="majorBidi" w:eastAsia="Times New Roman" w:hAnsiTheme="majorBidi" w:cstheme="majorBidi"/>
                <w:sz w:val="20"/>
                <w:szCs w:val="20"/>
              </w:rPr>
              <w:t>12.4.1 Number of Parties to international multilateral</w:t>
            </w:r>
          </w:p>
          <w:p w14:paraId="65F836D1" w14:textId="77777777" w:rsidR="00805BB5" w:rsidRPr="00805BB5" w:rsidRDefault="00805BB5" w:rsidP="00805BB5">
            <w:pPr>
              <w:autoSpaceDE w:val="0"/>
              <w:autoSpaceDN w:val="0"/>
              <w:adjustRightInd w:val="0"/>
              <w:spacing w:after="0"/>
              <w:rPr>
                <w:rFonts w:asciiTheme="majorBidi" w:eastAsia="Times New Roman" w:hAnsiTheme="majorBidi" w:cstheme="majorBidi"/>
                <w:sz w:val="20"/>
                <w:szCs w:val="20"/>
              </w:rPr>
            </w:pPr>
            <w:r w:rsidRPr="00805BB5">
              <w:rPr>
                <w:rFonts w:asciiTheme="majorBidi" w:eastAsia="Times New Roman" w:hAnsiTheme="majorBidi" w:cstheme="majorBidi"/>
                <w:sz w:val="20"/>
                <w:szCs w:val="20"/>
              </w:rPr>
              <w:t>environmental agreements on hazardous waste, and</w:t>
            </w:r>
          </w:p>
          <w:p w14:paraId="7E5BDC58" w14:textId="77777777" w:rsidR="00805BB5" w:rsidRPr="00805BB5" w:rsidRDefault="00805BB5" w:rsidP="00805BB5">
            <w:pPr>
              <w:autoSpaceDE w:val="0"/>
              <w:autoSpaceDN w:val="0"/>
              <w:adjustRightInd w:val="0"/>
              <w:spacing w:after="0"/>
              <w:rPr>
                <w:rFonts w:asciiTheme="majorBidi" w:eastAsia="Times New Roman" w:hAnsiTheme="majorBidi" w:cstheme="majorBidi"/>
                <w:sz w:val="20"/>
                <w:szCs w:val="20"/>
              </w:rPr>
            </w:pPr>
            <w:r w:rsidRPr="00805BB5">
              <w:rPr>
                <w:rFonts w:asciiTheme="majorBidi" w:eastAsia="Times New Roman" w:hAnsiTheme="majorBidi" w:cstheme="majorBidi"/>
                <w:sz w:val="20"/>
                <w:szCs w:val="20"/>
              </w:rPr>
              <w:t>other chemicals that meet their commitments and</w:t>
            </w:r>
          </w:p>
          <w:p w14:paraId="252115CE" w14:textId="77777777" w:rsidR="00805BB5" w:rsidRPr="00805BB5" w:rsidRDefault="00805BB5" w:rsidP="00805BB5">
            <w:pPr>
              <w:autoSpaceDE w:val="0"/>
              <w:autoSpaceDN w:val="0"/>
              <w:adjustRightInd w:val="0"/>
              <w:spacing w:after="0"/>
              <w:rPr>
                <w:rFonts w:asciiTheme="majorBidi" w:eastAsia="Times New Roman" w:hAnsiTheme="majorBidi" w:cstheme="majorBidi"/>
                <w:sz w:val="20"/>
                <w:szCs w:val="20"/>
              </w:rPr>
            </w:pPr>
            <w:r w:rsidRPr="00805BB5">
              <w:rPr>
                <w:rFonts w:asciiTheme="majorBidi" w:eastAsia="Times New Roman" w:hAnsiTheme="majorBidi" w:cstheme="majorBidi"/>
                <w:sz w:val="20"/>
                <w:szCs w:val="20"/>
              </w:rPr>
              <w:t>obligations in transmitting information as required by</w:t>
            </w:r>
          </w:p>
          <w:p w14:paraId="014E40CE" w14:textId="77777777" w:rsidR="00805BB5" w:rsidRPr="00805BB5" w:rsidRDefault="00805BB5" w:rsidP="00805BB5">
            <w:pPr>
              <w:pStyle w:val="NormalNonumber"/>
              <w:spacing w:after="0"/>
              <w:ind w:left="0"/>
              <w:rPr>
                <w:rFonts w:asciiTheme="majorBidi" w:hAnsiTheme="majorBidi" w:cstheme="majorBidi"/>
                <w:sz w:val="20"/>
                <w:szCs w:val="20"/>
                <w:lang w:val="en-US"/>
              </w:rPr>
            </w:pPr>
            <w:r w:rsidRPr="00805BB5">
              <w:rPr>
                <w:rFonts w:asciiTheme="majorBidi" w:hAnsiTheme="majorBidi" w:cstheme="majorBidi"/>
                <w:sz w:val="20"/>
                <w:szCs w:val="20"/>
                <w:lang w:val="en-US"/>
              </w:rPr>
              <w:t>each relevant agreement</w:t>
            </w:r>
          </w:p>
        </w:tc>
      </w:tr>
      <w:tr w:rsidR="00805BB5" w14:paraId="3AB372EE" w14:textId="77777777" w:rsidTr="00E4551C">
        <w:tc>
          <w:tcPr>
            <w:tcW w:w="4536" w:type="dxa"/>
            <w:vMerge/>
          </w:tcPr>
          <w:p w14:paraId="7A4F5B01" w14:textId="77777777" w:rsidR="00805BB5" w:rsidRPr="00805BB5" w:rsidRDefault="00805BB5" w:rsidP="00E4551C">
            <w:pPr>
              <w:pStyle w:val="NormalNonumber"/>
              <w:ind w:left="0"/>
              <w:rPr>
                <w:rFonts w:asciiTheme="majorBidi" w:hAnsiTheme="majorBidi" w:cstheme="majorBidi"/>
                <w:sz w:val="20"/>
                <w:szCs w:val="20"/>
              </w:rPr>
            </w:pPr>
          </w:p>
        </w:tc>
        <w:tc>
          <w:tcPr>
            <w:tcW w:w="3543" w:type="dxa"/>
          </w:tcPr>
          <w:p w14:paraId="51632C29" w14:textId="77777777" w:rsidR="00805BB5" w:rsidRPr="00805BB5" w:rsidRDefault="00805BB5" w:rsidP="00805BB5">
            <w:pPr>
              <w:autoSpaceDE w:val="0"/>
              <w:autoSpaceDN w:val="0"/>
              <w:adjustRightInd w:val="0"/>
              <w:spacing w:after="0"/>
              <w:rPr>
                <w:rFonts w:asciiTheme="majorBidi" w:eastAsia="Times New Roman" w:hAnsiTheme="majorBidi" w:cstheme="majorBidi"/>
                <w:sz w:val="20"/>
                <w:szCs w:val="20"/>
              </w:rPr>
            </w:pPr>
            <w:r w:rsidRPr="00805BB5">
              <w:rPr>
                <w:rFonts w:asciiTheme="majorBidi" w:eastAsia="Times New Roman" w:hAnsiTheme="majorBidi" w:cstheme="majorBidi"/>
                <w:sz w:val="20"/>
                <w:szCs w:val="20"/>
              </w:rPr>
              <w:t>12.4.2 Hazardous waste generated per capita,</w:t>
            </w:r>
          </w:p>
          <w:p w14:paraId="37F12F61" w14:textId="0E6A61C8" w:rsidR="00805BB5" w:rsidRPr="00805BB5" w:rsidRDefault="00805BB5" w:rsidP="00805BB5">
            <w:pPr>
              <w:autoSpaceDE w:val="0"/>
              <w:autoSpaceDN w:val="0"/>
              <w:adjustRightInd w:val="0"/>
              <w:spacing w:after="0"/>
              <w:rPr>
                <w:rFonts w:asciiTheme="majorBidi" w:hAnsiTheme="majorBidi" w:cstheme="majorBidi"/>
                <w:sz w:val="20"/>
                <w:szCs w:val="20"/>
              </w:rPr>
            </w:pPr>
            <w:r w:rsidRPr="00805BB5">
              <w:rPr>
                <w:rFonts w:asciiTheme="majorBidi" w:eastAsia="Times New Roman" w:hAnsiTheme="majorBidi" w:cstheme="majorBidi"/>
                <w:sz w:val="20"/>
                <w:szCs w:val="20"/>
              </w:rPr>
              <w:t>proportion of hazardous waste treated and by type of</w:t>
            </w:r>
            <w:r>
              <w:rPr>
                <w:rFonts w:asciiTheme="majorBidi" w:eastAsia="Times New Roman" w:hAnsiTheme="majorBidi" w:cstheme="majorBidi"/>
                <w:sz w:val="20"/>
                <w:szCs w:val="20"/>
              </w:rPr>
              <w:t xml:space="preserve"> </w:t>
            </w:r>
            <w:r w:rsidRPr="00805BB5">
              <w:rPr>
                <w:rFonts w:asciiTheme="majorBidi" w:hAnsiTheme="majorBidi" w:cstheme="majorBidi"/>
                <w:sz w:val="20"/>
                <w:szCs w:val="20"/>
                <w:lang w:val="en-US"/>
              </w:rPr>
              <w:t>treatment</w:t>
            </w:r>
          </w:p>
        </w:tc>
      </w:tr>
      <w:tr w:rsidR="00805BB5" w14:paraId="57766B87" w14:textId="77777777" w:rsidTr="00E4551C">
        <w:tc>
          <w:tcPr>
            <w:tcW w:w="4536" w:type="dxa"/>
          </w:tcPr>
          <w:p w14:paraId="114CF45F" w14:textId="77777777" w:rsidR="00805BB5" w:rsidRPr="00805BB5" w:rsidRDefault="00805BB5" w:rsidP="00E4551C">
            <w:pPr>
              <w:autoSpaceDE w:val="0"/>
              <w:autoSpaceDN w:val="0"/>
              <w:adjustRightInd w:val="0"/>
              <w:rPr>
                <w:rFonts w:asciiTheme="majorBidi" w:eastAsia="Times New Roman" w:hAnsiTheme="majorBidi" w:cstheme="majorBidi"/>
                <w:sz w:val="20"/>
                <w:szCs w:val="20"/>
              </w:rPr>
            </w:pPr>
            <w:r w:rsidRPr="00805BB5">
              <w:rPr>
                <w:rFonts w:asciiTheme="majorBidi" w:eastAsia="Times New Roman" w:hAnsiTheme="majorBidi" w:cstheme="majorBidi"/>
                <w:sz w:val="20"/>
                <w:szCs w:val="20"/>
              </w:rPr>
              <w:t>12.5 By 2030, substantially reduce waste generation through prevention, reduction, recycling and reuse</w:t>
            </w:r>
          </w:p>
        </w:tc>
        <w:tc>
          <w:tcPr>
            <w:tcW w:w="3543" w:type="dxa"/>
          </w:tcPr>
          <w:p w14:paraId="67E50179" w14:textId="74D7AC46" w:rsidR="00805BB5" w:rsidRPr="00805BB5" w:rsidRDefault="00805BB5" w:rsidP="009F56FA">
            <w:pPr>
              <w:autoSpaceDE w:val="0"/>
              <w:autoSpaceDN w:val="0"/>
              <w:adjustRightInd w:val="0"/>
              <w:rPr>
                <w:rFonts w:asciiTheme="majorBidi" w:hAnsiTheme="majorBidi" w:cstheme="majorBidi"/>
                <w:sz w:val="20"/>
                <w:szCs w:val="20"/>
              </w:rPr>
            </w:pPr>
            <w:r w:rsidRPr="00805BB5">
              <w:rPr>
                <w:rFonts w:asciiTheme="majorBidi" w:eastAsia="Times New Roman" w:hAnsiTheme="majorBidi" w:cstheme="majorBidi"/>
                <w:sz w:val="20"/>
                <w:szCs w:val="20"/>
              </w:rPr>
              <w:t>12.5.1 National recycling rate, tons of material</w:t>
            </w:r>
            <w:r w:rsidR="009F56FA">
              <w:rPr>
                <w:rFonts w:asciiTheme="majorBidi" w:eastAsia="Times New Roman" w:hAnsiTheme="majorBidi" w:cstheme="majorBidi"/>
                <w:sz w:val="20"/>
                <w:szCs w:val="20"/>
              </w:rPr>
              <w:t xml:space="preserve"> </w:t>
            </w:r>
            <w:r w:rsidRPr="00805BB5">
              <w:rPr>
                <w:rFonts w:asciiTheme="majorBidi" w:hAnsiTheme="majorBidi" w:cstheme="majorBidi"/>
                <w:sz w:val="20"/>
                <w:szCs w:val="20"/>
                <w:lang w:val="en-US"/>
              </w:rPr>
              <w:t>recycled</w:t>
            </w:r>
          </w:p>
        </w:tc>
      </w:tr>
      <w:tr w:rsidR="00805BB5" w:rsidRPr="00094C3E" w14:paraId="7986AA59" w14:textId="77777777" w:rsidTr="00E4551C">
        <w:tc>
          <w:tcPr>
            <w:tcW w:w="8079" w:type="dxa"/>
            <w:gridSpan w:val="2"/>
          </w:tcPr>
          <w:p w14:paraId="4E4649B6" w14:textId="1449F595" w:rsidR="00805BB5" w:rsidRPr="00094C3E" w:rsidRDefault="00805BB5" w:rsidP="00805BB5">
            <w:pPr>
              <w:autoSpaceDE w:val="0"/>
              <w:autoSpaceDN w:val="0"/>
              <w:adjustRightInd w:val="0"/>
              <w:rPr>
                <w:rFonts w:ascii="Times New Roman" w:eastAsia="Times New Roman" w:hAnsi="Times New Roman" w:cs="Times New Roman"/>
                <w:b/>
                <w:sz w:val="20"/>
                <w:szCs w:val="20"/>
              </w:rPr>
            </w:pPr>
            <w:r w:rsidRPr="00094C3E">
              <w:rPr>
                <w:rFonts w:ascii="Times New Roman" w:eastAsia="Times New Roman" w:hAnsi="Times New Roman" w:cs="Times New Roman"/>
                <w:b/>
                <w:sz w:val="20"/>
                <w:szCs w:val="20"/>
              </w:rPr>
              <w:t>Goal 6. Ensure availability and sustainable management of water and sanitation for all</w:t>
            </w:r>
          </w:p>
        </w:tc>
      </w:tr>
      <w:tr w:rsidR="00805BB5" w:rsidRPr="00094C3E" w14:paraId="7708097D" w14:textId="77777777" w:rsidTr="00E4551C">
        <w:tc>
          <w:tcPr>
            <w:tcW w:w="4536" w:type="dxa"/>
            <w:vMerge w:val="restart"/>
          </w:tcPr>
          <w:p w14:paraId="07EDBA85" w14:textId="64CDE803" w:rsidR="00805BB5" w:rsidRPr="00094C3E" w:rsidRDefault="00805BB5" w:rsidP="009F56FA">
            <w:pPr>
              <w:autoSpaceDE w:val="0"/>
              <w:autoSpaceDN w:val="0"/>
              <w:adjustRightInd w:val="0"/>
              <w:rPr>
                <w:rFonts w:ascii="Times New Roman" w:eastAsia="Times New Roman" w:hAnsi="Times New Roman" w:cs="Times New Roman"/>
                <w:sz w:val="20"/>
                <w:szCs w:val="20"/>
              </w:rPr>
            </w:pPr>
            <w:r w:rsidRPr="00094C3E">
              <w:rPr>
                <w:rFonts w:ascii="Times New Roman" w:eastAsia="Times New Roman" w:hAnsi="Times New Roman" w:cs="Times New Roman"/>
                <w:sz w:val="20"/>
                <w:szCs w:val="20"/>
              </w:rPr>
              <w:t>6.3 By 2030, improve water quality by reducing</w:t>
            </w:r>
            <w:r w:rsidR="009F56FA">
              <w:rPr>
                <w:rFonts w:ascii="Times New Roman" w:eastAsia="Times New Roman" w:hAnsi="Times New Roman" w:cs="Times New Roman"/>
                <w:sz w:val="20"/>
                <w:szCs w:val="20"/>
              </w:rPr>
              <w:t xml:space="preserve"> </w:t>
            </w:r>
            <w:r w:rsidRPr="00094C3E">
              <w:rPr>
                <w:rFonts w:ascii="Times New Roman" w:eastAsia="Times New Roman" w:hAnsi="Times New Roman" w:cs="Times New Roman"/>
                <w:sz w:val="20"/>
                <w:szCs w:val="20"/>
              </w:rPr>
              <w:t>pollution, eliminating dumping and minimizing release</w:t>
            </w:r>
            <w:r>
              <w:rPr>
                <w:rFonts w:ascii="Times New Roman" w:eastAsia="Times New Roman" w:hAnsi="Times New Roman" w:cs="Times New Roman"/>
                <w:sz w:val="20"/>
                <w:szCs w:val="20"/>
              </w:rPr>
              <w:t xml:space="preserve"> </w:t>
            </w:r>
            <w:r w:rsidRPr="00094C3E">
              <w:rPr>
                <w:rFonts w:ascii="Times New Roman" w:eastAsia="Times New Roman" w:hAnsi="Times New Roman" w:cs="Times New Roman"/>
                <w:sz w:val="20"/>
                <w:szCs w:val="20"/>
              </w:rPr>
              <w:t>of hazardous chemicals and materials, halving the</w:t>
            </w:r>
            <w:r>
              <w:rPr>
                <w:rFonts w:ascii="Times New Roman" w:eastAsia="Times New Roman" w:hAnsi="Times New Roman" w:cs="Times New Roman"/>
                <w:sz w:val="20"/>
                <w:szCs w:val="20"/>
              </w:rPr>
              <w:t xml:space="preserve"> </w:t>
            </w:r>
            <w:r w:rsidRPr="00094C3E">
              <w:rPr>
                <w:rFonts w:ascii="Times New Roman" w:eastAsia="Times New Roman" w:hAnsi="Times New Roman" w:cs="Times New Roman"/>
                <w:sz w:val="20"/>
                <w:szCs w:val="20"/>
              </w:rPr>
              <w:t>proportion of untreated wastewater and substantially</w:t>
            </w:r>
            <w:r>
              <w:rPr>
                <w:rFonts w:ascii="Times New Roman" w:eastAsia="Times New Roman" w:hAnsi="Times New Roman" w:cs="Times New Roman"/>
                <w:sz w:val="20"/>
                <w:szCs w:val="20"/>
              </w:rPr>
              <w:t xml:space="preserve"> </w:t>
            </w:r>
            <w:r w:rsidRPr="00094C3E">
              <w:rPr>
                <w:rFonts w:ascii="Times New Roman" w:eastAsia="Times New Roman" w:hAnsi="Times New Roman" w:cs="Times New Roman"/>
                <w:sz w:val="20"/>
                <w:szCs w:val="20"/>
              </w:rPr>
              <w:t>increasing recycling and safe reuse globally</w:t>
            </w:r>
          </w:p>
        </w:tc>
        <w:tc>
          <w:tcPr>
            <w:tcW w:w="3543" w:type="dxa"/>
          </w:tcPr>
          <w:p w14:paraId="4E88F411" w14:textId="06A7BD51" w:rsidR="00805BB5" w:rsidRPr="00094C3E" w:rsidRDefault="00805BB5" w:rsidP="009F56FA">
            <w:pPr>
              <w:autoSpaceDE w:val="0"/>
              <w:autoSpaceDN w:val="0"/>
              <w:adjustRightInd w:val="0"/>
              <w:rPr>
                <w:rFonts w:ascii="Times New Roman" w:eastAsia="Times New Roman" w:hAnsi="Times New Roman" w:cs="Times New Roman"/>
                <w:sz w:val="20"/>
                <w:szCs w:val="20"/>
              </w:rPr>
            </w:pPr>
            <w:r w:rsidRPr="00094C3E">
              <w:rPr>
                <w:rFonts w:ascii="Times New Roman" w:eastAsia="Times New Roman" w:hAnsi="Times New Roman" w:cs="Times New Roman"/>
                <w:sz w:val="20"/>
                <w:szCs w:val="20"/>
              </w:rPr>
              <w:t>6.3.1 Proportion of wastewater safely treated</w:t>
            </w:r>
          </w:p>
        </w:tc>
      </w:tr>
      <w:tr w:rsidR="00805BB5" w:rsidRPr="00094C3E" w14:paraId="6C4C9E45" w14:textId="77777777" w:rsidTr="00E4551C">
        <w:tc>
          <w:tcPr>
            <w:tcW w:w="4536" w:type="dxa"/>
            <w:vMerge/>
          </w:tcPr>
          <w:p w14:paraId="0A60EE09" w14:textId="77777777" w:rsidR="00805BB5" w:rsidRPr="00094C3E" w:rsidRDefault="00805BB5" w:rsidP="00E4551C">
            <w:pPr>
              <w:autoSpaceDE w:val="0"/>
              <w:autoSpaceDN w:val="0"/>
              <w:adjustRightInd w:val="0"/>
              <w:rPr>
                <w:rFonts w:ascii="Times New Roman" w:eastAsia="Times New Roman" w:hAnsi="Times New Roman" w:cs="Times New Roman"/>
                <w:sz w:val="20"/>
                <w:szCs w:val="20"/>
              </w:rPr>
            </w:pPr>
          </w:p>
        </w:tc>
        <w:tc>
          <w:tcPr>
            <w:tcW w:w="3543" w:type="dxa"/>
          </w:tcPr>
          <w:p w14:paraId="4B613C21" w14:textId="400E68C2" w:rsidR="00805BB5" w:rsidRPr="00094C3E" w:rsidRDefault="00805BB5" w:rsidP="009F56FA">
            <w:pPr>
              <w:autoSpaceDE w:val="0"/>
              <w:autoSpaceDN w:val="0"/>
              <w:adjustRightInd w:val="0"/>
              <w:rPr>
                <w:rFonts w:ascii="Times New Roman" w:eastAsia="Times New Roman" w:hAnsi="Times New Roman" w:cs="Times New Roman"/>
                <w:sz w:val="20"/>
                <w:szCs w:val="20"/>
              </w:rPr>
            </w:pPr>
            <w:r w:rsidRPr="00094C3E">
              <w:rPr>
                <w:rFonts w:ascii="Times New Roman" w:eastAsia="Times New Roman" w:hAnsi="Times New Roman" w:cs="Times New Roman"/>
                <w:sz w:val="20"/>
                <w:szCs w:val="20"/>
              </w:rPr>
              <w:t>6.3.2 Proportion of bodies of water with good</w:t>
            </w:r>
            <w:r w:rsidR="009F56FA">
              <w:rPr>
                <w:rFonts w:ascii="Times New Roman" w:eastAsia="Times New Roman" w:hAnsi="Times New Roman" w:cs="Times New Roman"/>
                <w:sz w:val="20"/>
                <w:szCs w:val="20"/>
              </w:rPr>
              <w:t xml:space="preserve"> </w:t>
            </w:r>
            <w:r w:rsidRPr="00094C3E">
              <w:rPr>
                <w:rFonts w:ascii="Times New Roman" w:eastAsia="Times New Roman" w:hAnsi="Times New Roman" w:cs="Times New Roman"/>
                <w:sz w:val="20"/>
                <w:szCs w:val="20"/>
              </w:rPr>
              <w:t>ambient water quality</w:t>
            </w:r>
          </w:p>
        </w:tc>
      </w:tr>
      <w:tr w:rsidR="00805BB5" w:rsidRPr="00094C3E" w14:paraId="79A8C42D" w14:textId="77777777" w:rsidTr="00E4551C">
        <w:tc>
          <w:tcPr>
            <w:tcW w:w="8079" w:type="dxa"/>
            <w:gridSpan w:val="2"/>
          </w:tcPr>
          <w:p w14:paraId="60E2D8EC" w14:textId="55C9F971" w:rsidR="00805BB5" w:rsidRPr="00FF735C" w:rsidRDefault="00805BB5" w:rsidP="00805BB5">
            <w:pPr>
              <w:autoSpaceDE w:val="0"/>
              <w:autoSpaceDN w:val="0"/>
              <w:adjustRightInd w:val="0"/>
              <w:rPr>
                <w:rFonts w:ascii="Times New Roman" w:eastAsia="Times New Roman" w:hAnsi="Times New Roman" w:cs="Times New Roman"/>
                <w:b/>
                <w:sz w:val="20"/>
                <w:szCs w:val="20"/>
              </w:rPr>
            </w:pPr>
            <w:r w:rsidRPr="00FF735C">
              <w:rPr>
                <w:rFonts w:ascii="Times New Roman" w:eastAsia="Times New Roman" w:hAnsi="Times New Roman" w:cs="Times New Roman"/>
                <w:b/>
                <w:sz w:val="20"/>
                <w:szCs w:val="20"/>
              </w:rPr>
              <w:t>Goal 11. Make cities and human settlements inclusive, safe, resilient and sustainable</w:t>
            </w:r>
          </w:p>
        </w:tc>
      </w:tr>
      <w:tr w:rsidR="00805BB5" w:rsidRPr="00094C3E" w14:paraId="21B1F63A" w14:textId="77777777" w:rsidTr="00E4551C">
        <w:tc>
          <w:tcPr>
            <w:tcW w:w="4536" w:type="dxa"/>
            <w:vMerge w:val="restart"/>
          </w:tcPr>
          <w:p w14:paraId="24C9891B" w14:textId="582D28FB" w:rsidR="00805BB5" w:rsidRPr="00094C3E" w:rsidRDefault="00805BB5" w:rsidP="009F56FA">
            <w:pPr>
              <w:autoSpaceDE w:val="0"/>
              <w:autoSpaceDN w:val="0"/>
              <w:adjustRightInd w:val="0"/>
              <w:rPr>
                <w:rFonts w:ascii="Times New Roman" w:eastAsia="Times New Roman" w:hAnsi="Times New Roman" w:cs="Times New Roman"/>
                <w:sz w:val="20"/>
                <w:szCs w:val="20"/>
              </w:rPr>
            </w:pPr>
            <w:r w:rsidRPr="00094C3E">
              <w:rPr>
                <w:rFonts w:ascii="Times New Roman" w:eastAsia="Times New Roman" w:hAnsi="Times New Roman" w:cs="Times New Roman"/>
                <w:sz w:val="20"/>
                <w:szCs w:val="20"/>
              </w:rPr>
              <w:t>11.6 By 2030, reduce the adverse per capita</w:t>
            </w:r>
            <w:r w:rsidR="009F56FA">
              <w:rPr>
                <w:rFonts w:ascii="Times New Roman" w:eastAsia="Times New Roman" w:hAnsi="Times New Roman" w:cs="Times New Roman"/>
                <w:sz w:val="20"/>
                <w:szCs w:val="20"/>
              </w:rPr>
              <w:t xml:space="preserve"> </w:t>
            </w:r>
            <w:r w:rsidRPr="00094C3E">
              <w:rPr>
                <w:rFonts w:ascii="Times New Roman" w:eastAsia="Times New Roman" w:hAnsi="Times New Roman" w:cs="Times New Roman"/>
                <w:sz w:val="20"/>
                <w:szCs w:val="20"/>
              </w:rPr>
              <w:t>environmental impact of cities, including by paying</w:t>
            </w:r>
            <w:r w:rsidR="009F56FA">
              <w:rPr>
                <w:rFonts w:ascii="Times New Roman" w:eastAsia="Times New Roman" w:hAnsi="Times New Roman" w:cs="Times New Roman"/>
                <w:sz w:val="20"/>
                <w:szCs w:val="20"/>
              </w:rPr>
              <w:t xml:space="preserve"> </w:t>
            </w:r>
            <w:r w:rsidRPr="00094C3E">
              <w:rPr>
                <w:rFonts w:ascii="Times New Roman" w:eastAsia="Times New Roman" w:hAnsi="Times New Roman" w:cs="Times New Roman"/>
                <w:sz w:val="20"/>
                <w:szCs w:val="20"/>
              </w:rPr>
              <w:t>special attention to air quality and municipal and other</w:t>
            </w:r>
            <w:r>
              <w:rPr>
                <w:rFonts w:ascii="Times New Roman" w:eastAsia="Times New Roman" w:hAnsi="Times New Roman" w:cs="Times New Roman"/>
                <w:sz w:val="20"/>
                <w:szCs w:val="20"/>
              </w:rPr>
              <w:t xml:space="preserve"> </w:t>
            </w:r>
            <w:r w:rsidRPr="00094C3E">
              <w:rPr>
                <w:rFonts w:ascii="Times New Roman" w:eastAsia="Times New Roman" w:hAnsi="Times New Roman" w:cs="Times New Roman"/>
                <w:sz w:val="20"/>
                <w:szCs w:val="20"/>
              </w:rPr>
              <w:t>waste management</w:t>
            </w:r>
          </w:p>
        </w:tc>
        <w:tc>
          <w:tcPr>
            <w:tcW w:w="3543" w:type="dxa"/>
          </w:tcPr>
          <w:p w14:paraId="353DDF72" w14:textId="75BAE48E" w:rsidR="00805BB5" w:rsidRPr="00094C3E" w:rsidRDefault="00805BB5" w:rsidP="009F56FA">
            <w:pPr>
              <w:autoSpaceDE w:val="0"/>
              <w:autoSpaceDN w:val="0"/>
              <w:adjustRightInd w:val="0"/>
              <w:rPr>
                <w:rFonts w:ascii="Times New Roman" w:eastAsia="Times New Roman" w:hAnsi="Times New Roman" w:cs="Times New Roman"/>
                <w:sz w:val="20"/>
                <w:szCs w:val="20"/>
              </w:rPr>
            </w:pPr>
            <w:r w:rsidRPr="00094C3E">
              <w:rPr>
                <w:rFonts w:ascii="Times New Roman" w:eastAsia="Times New Roman" w:hAnsi="Times New Roman" w:cs="Times New Roman"/>
                <w:sz w:val="20"/>
                <w:szCs w:val="20"/>
              </w:rPr>
              <w:t>11.6.1 Percentage of urban solid waste regularly</w:t>
            </w:r>
            <w:r w:rsidR="009F56FA">
              <w:rPr>
                <w:rFonts w:ascii="Times New Roman" w:eastAsia="Times New Roman" w:hAnsi="Times New Roman" w:cs="Times New Roman"/>
                <w:sz w:val="20"/>
                <w:szCs w:val="20"/>
              </w:rPr>
              <w:t xml:space="preserve"> </w:t>
            </w:r>
            <w:r w:rsidRPr="00094C3E">
              <w:rPr>
                <w:rFonts w:ascii="Times New Roman" w:eastAsia="Times New Roman" w:hAnsi="Times New Roman" w:cs="Times New Roman"/>
                <w:sz w:val="20"/>
                <w:szCs w:val="20"/>
              </w:rPr>
              <w:t>collected and with adequate final discharge with</w:t>
            </w:r>
            <w:r w:rsidR="009F56FA">
              <w:rPr>
                <w:rFonts w:ascii="Times New Roman" w:eastAsia="Times New Roman" w:hAnsi="Times New Roman" w:cs="Times New Roman"/>
                <w:sz w:val="20"/>
                <w:szCs w:val="20"/>
              </w:rPr>
              <w:t xml:space="preserve"> </w:t>
            </w:r>
            <w:r w:rsidRPr="00094C3E">
              <w:rPr>
                <w:rFonts w:ascii="Times New Roman" w:eastAsia="Times New Roman" w:hAnsi="Times New Roman" w:cs="Times New Roman"/>
                <w:sz w:val="20"/>
                <w:szCs w:val="20"/>
              </w:rPr>
              <w:t>regard to the total waste generated by the city</w:t>
            </w:r>
          </w:p>
        </w:tc>
      </w:tr>
      <w:tr w:rsidR="00805BB5" w:rsidRPr="00094C3E" w14:paraId="1AFFD353" w14:textId="77777777" w:rsidTr="00E4551C">
        <w:tc>
          <w:tcPr>
            <w:tcW w:w="4536" w:type="dxa"/>
            <w:vMerge/>
          </w:tcPr>
          <w:p w14:paraId="433FD26E" w14:textId="77777777" w:rsidR="00805BB5" w:rsidRPr="00094C3E" w:rsidRDefault="00805BB5" w:rsidP="009F56FA">
            <w:pPr>
              <w:autoSpaceDE w:val="0"/>
              <w:autoSpaceDN w:val="0"/>
              <w:adjustRightInd w:val="0"/>
              <w:spacing w:after="0"/>
              <w:rPr>
                <w:rFonts w:ascii="Times New Roman" w:eastAsia="Times New Roman" w:hAnsi="Times New Roman" w:cs="Times New Roman"/>
                <w:sz w:val="20"/>
                <w:szCs w:val="20"/>
              </w:rPr>
            </w:pPr>
          </w:p>
        </w:tc>
        <w:tc>
          <w:tcPr>
            <w:tcW w:w="3543" w:type="dxa"/>
          </w:tcPr>
          <w:p w14:paraId="0278AB1E" w14:textId="77777777" w:rsidR="00805BB5" w:rsidRPr="00094C3E" w:rsidRDefault="00805BB5" w:rsidP="009F56FA">
            <w:pPr>
              <w:autoSpaceDE w:val="0"/>
              <w:autoSpaceDN w:val="0"/>
              <w:adjustRightInd w:val="0"/>
              <w:spacing w:after="0"/>
              <w:rPr>
                <w:rFonts w:ascii="Times New Roman" w:eastAsia="Times New Roman" w:hAnsi="Times New Roman" w:cs="Times New Roman"/>
                <w:sz w:val="20"/>
                <w:szCs w:val="20"/>
              </w:rPr>
            </w:pPr>
            <w:r w:rsidRPr="00094C3E">
              <w:rPr>
                <w:rFonts w:ascii="Times New Roman" w:eastAsia="Times New Roman" w:hAnsi="Times New Roman" w:cs="Times New Roman"/>
                <w:sz w:val="20"/>
                <w:szCs w:val="20"/>
              </w:rPr>
              <w:t>11.6.2 Annual mean levels of fine particulate matter</w:t>
            </w:r>
          </w:p>
          <w:p w14:paraId="6A49599D" w14:textId="77777777" w:rsidR="00805BB5" w:rsidRPr="00094C3E" w:rsidRDefault="00805BB5" w:rsidP="009F56FA">
            <w:pPr>
              <w:autoSpaceDE w:val="0"/>
              <w:autoSpaceDN w:val="0"/>
              <w:adjustRightInd w:val="0"/>
              <w:spacing w:after="0"/>
              <w:rPr>
                <w:rFonts w:ascii="Times New Roman" w:eastAsia="Times New Roman" w:hAnsi="Times New Roman" w:cs="Times New Roman"/>
                <w:sz w:val="20"/>
                <w:szCs w:val="20"/>
              </w:rPr>
            </w:pPr>
            <w:r w:rsidRPr="00094C3E">
              <w:rPr>
                <w:rFonts w:ascii="Times New Roman" w:eastAsia="Times New Roman" w:hAnsi="Times New Roman" w:cs="Times New Roman"/>
                <w:sz w:val="20"/>
                <w:szCs w:val="20"/>
              </w:rPr>
              <w:t>(e.g. PM2.5 and PM10) in cities (population weighted)</w:t>
            </w:r>
          </w:p>
        </w:tc>
      </w:tr>
    </w:tbl>
    <w:p w14:paraId="635AE839" w14:textId="77777777" w:rsidR="00805BB5" w:rsidRPr="006E3360" w:rsidRDefault="00805BB5" w:rsidP="00805BB5">
      <w:pPr>
        <w:tabs>
          <w:tab w:val="left" w:pos="8135"/>
        </w:tabs>
        <w:spacing w:after="0" w:line="240" w:lineRule="auto"/>
        <w:rPr>
          <w:rFonts w:ascii="Times New Roman" w:hAnsi="Times New Roman" w:cs="Times New Roman"/>
          <w:b/>
          <w:sz w:val="20"/>
          <w:szCs w:val="20"/>
        </w:rPr>
      </w:pPr>
    </w:p>
    <w:p w14:paraId="318BC114" w14:textId="77777777" w:rsidR="00805BB5" w:rsidRPr="002279DB" w:rsidRDefault="00805BB5" w:rsidP="002C0CB2">
      <w:pPr>
        <w:pStyle w:val="NormalNonumber"/>
        <w:numPr>
          <w:ilvl w:val="0"/>
          <w:numId w:val="7"/>
        </w:numPr>
        <w:ind w:left="1247" w:firstLine="0"/>
        <w:rPr>
          <w:lang w:val="en-US"/>
        </w:rPr>
      </w:pPr>
      <w:r w:rsidRPr="002279DB">
        <w:rPr>
          <w:lang w:val="en-US"/>
        </w:rPr>
        <w:t>In line with its relevant mandates,</w:t>
      </w:r>
      <w:r w:rsidRPr="006E3360">
        <w:rPr>
          <w:rStyle w:val="FootnoteReference"/>
        </w:rPr>
        <w:footnoteReference w:id="5"/>
      </w:r>
      <w:r w:rsidRPr="002279DB">
        <w:rPr>
          <w:lang w:val="en-US"/>
        </w:rPr>
        <w:t xml:space="preserve"> the Secretariat collects data submitted by Parties relevant to the S</w:t>
      </w:r>
      <w:r>
        <w:rPr>
          <w:lang w:val="en-US"/>
        </w:rPr>
        <w:t>DG</w:t>
      </w:r>
      <w:r w:rsidRPr="002279DB">
        <w:rPr>
          <w:lang w:val="en-US"/>
        </w:rPr>
        <w:t xml:space="preserve">s indicators and makes it available to the United Nations Environment </w:t>
      </w:r>
      <w:proofErr w:type="spellStart"/>
      <w:r w:rsidRPr="002279DB">
        <w:rPr>
          <w:lang w:val="en-US"/>
        </w:rPr>
        <w:t>Programme</w:t>
      </w:r>
      <w:proofErr w:type="spellEnd"/>
      <w:r w:rsidRPr="002279DB">
        <w:rPr>
          <w:lang w:val="en-US"/>
        </w:rPr>
        <w:t xml:space="preserve">, as a contribution to the overall follow-up and review </w:t>
      </w:r>
      <w:r w:rsidRPr="00DE27D2">
        <w:rPr>
          <w:lang w:val="en-US"/>
        </w:rPr>
        <w:t>by</w:t>
      </w:r>
      <w:r w:rsidRPr="002279DB">
        <w:rPr>
          <w:lang w:val="en-US"/>
        </w:rPr>
        <w:t xml:space="preserve"> the High-level Political Forum on Sustainable Development.</w:t>
      </w:r>
    </w:p>
    <w:p w14:paraId="597AE518" w14:textId="77777777" w:rsidR="00805BB5" w:rsidRPr="00DE27D2" w:rsidRDefault="00805BB5" w:rsidP="00805BB5">
      <w:pPr>
        <w:spacing w:after="120" w:line="240" w:lineRule="auto"/>
        <w:ind w:left="1276" w:hanging="850"/>
        <w:rPr>
          <w:rFonts w:ascii="Times New Roman" w:hAnsi="Times New Roman" w:cs="Times New Roman"/>
          <w:b/>
          <w:sz w:val="24"/>
          <w:szCs w:val="24"/>
        </w:rPr>
      </w:pPr>
      <w:r w:rsidRPr="00DE27D2">
        <w:rPr>
          <w:rFonts w:ascii="Times New Roman" w:hAnsi="Times New Roman" w:cs="Times New Roman"/>
          <w:b/>
          <w:sz w:val="24"/>
          <w:szCs w:val="24"/>
        </w:rPr>
        <w:t xml:space="preserve">III. </w:t>
      </w:r>
      <w:r w:rsidRPr="00DE27D2">
        <w:rPr>
          <w:rFonts w:ascii="Times New Roman" w:hAnsi="Times New Roman" w:cs="Times New Roman"/>
          <w:b/>
          <w:sz w:val="24"/>
          <w:szCs w:val="24"/>
        </w:rPr>
        <w:tab/>
        <w:t>The implementation, effectiveness and evolution of the B</w:t>
      </w:r>
      <w:r>
        <w:rPr>
          <w:rFonts w:ascii="Times New Roman" w:hAnsi="Times New Roman" w:cs="Times New Roman"/>
          <w:b/>
          <w:sz w:val="24"/>
          <w:szCs w:val="24"/>
        </w:rPr>
        <w:t xml:space="preserve">asel, Rotterdam and Stockholm </w:t>
      </w:r>
      <w:r w:rsidRPr="00DE27D2">
        <w:rPr>
          <w:rFonts w:ascii="Times New Roman" w:hAnsi="Times New Roman" w:cs="Times New Roman"/>
          <w:b/>
          <w:sz w:val="24"/>
          <w:szCs w:val="24"/>
        </w:rPr>
        <w:t xml:space="preserve">conventions </w:t>
      </w:r>
    </w:p>
    <w:p w14:paraId="5AB3B8D6" w14:textId="77777777" w:rsidR="00805BB5" w:rsidRPr="002279DB" w:rsidRDefault="00805BB5" w:rsidP="002C0CB2">
      <w:pPr>
        <w:pStyle w:val="NormalNonumber"/>
        <w:numPr>
          <w:ilvl w:val="0"/>
          <w:numId w:val="7"/>
        </w:numPr>
        <w:ind w:left="1247" w:firstLine="0"/>
        <w:rPr>
          <w:lang w:val="en-US"/>
        </w:rPr>
      </w:pPr>
      <w:r w:rsidRPr="002279DB">
        <w:rPr>
          <w:lang w:val="en-US"/>
        </w:rPr>
        <w:t xml:space="preserve">The three conventions are dynamic legal instruments: their implementation is kept under continuous review by the conferences of the Parties, the lists of chemicals and wastes falling within their scope can be adjusted, and the rights and obligations of Parties to achieve their objectives can </w:t>
      </w:r>
      <w:r w:rsidRPr="002279DB">
        <w:rPr>
          <w:lang w:val="en-US"/>
        </w:rPr>
        <w:lastRenderedPageBreak/>
        <w:t xml:space="preserve">be amended. Furthermore, the conventions’ provisions may be supplemented by decisions of the Conference of the Parties. Examples of recent developments under the conventions are as follows: </w:t>
      </w:r>
    </w:p>
    <w:p w14:paraId="3BC6D1E5" w14:textId="77777777" w:rsidR="00805BB5" w:rsidRPr="006E3360" w:rsidRDefault="00805BB5" w:rsidP="002C0CB2">
      <w:pPr>
        <w:pStyle w:val="ListParagraph"/>
        <w:numPr>
          <w:ilvl w:val="0"/>
          <w:numId w:val="14"/>
        </w:numPr>
        <w:tabs>
          <w:tab w:val="left" w:pos="1843"/>
        </w:tabs>
        <w:spacing w:after="120" w:line="240" w:lineRule="auto"/>
        <w:ind w:left="1276" w:firstLine="0"/>
        <w:contextualSpacing w:val="0"/>
        <w:rPr>
          <w:rFonts w:ascii="Times New Roman" w:hAnsi="Times New Roman" w:cs="Times New Roman"/>
          <w:sz w:val="20"/>
          <w:szCs w:val="20"/>
        </w:rPr>
      </w:pPr>
      <w:r w:rsidRPr="006E3360">
        <w:rPr>
          <w:rFonts w:ascii="Times New Roman" w:hAnsi="Times New Roman" w:cs="Times New Roman"/>
          <w:sz w:val="20"/>
          <w:szCs w:val="20"/>
        </w:rPr>
        <w:t>Under the Basel Convention, the Conference of the Parties, at its 2017 meeting, among other things: (</w:t>
      </w:r>
      <w:proofErr w:type="spellStart"/>
      <w:r w:rsidRPr="006E3360">
        <w:rPr>
          <w:rFonts w:ascii="Times New Roman" w:hAnsi="Times New Roman" w:cs="Times New Roman"/>
          <w:sz w:val="20"/>
          <w:szCs w:val="20"/>
        </w:rPr>
        <w:t>i</w:t>
      </w:r>
      <w:proofErr w:type="spellEnd"/>
      <w:r w:rsidRPr="006E3360">
        <w:rPr>
          <w:rFonts w:ascii="Times New Roman" w:hAnsi="Times New Roman" w:cs="Times New Roman"/>
          <w:sz w:val="20"/>
          <w:szCs w:val="20"/>
        </w:rPr>
        <w:t>) established a new partnership on household wastes;</w:t>
      </w:r>
      <w:r w:rsidRPr="006E3360">
        <w:rPr>
          <w:rStyle w:val="FootnoteReference"/>
          <w:rFonts w:cs="Times New Roman"/>
          <w:szCs w:val="20"/>
        </w:rPr>
        <w:footnoteReference w:id="6"/>
      </w:r>
      <w:r w:rsidRPr="006E3360">
        <w:rPr>
          <w:rFonts w:ascii="Times New Roman" w:hAnsi="Times New Roman" w:cs="Times New Roman"/>
          <w:sz w:val="20"/>
          <w:szCs w:val="20"/>
        </w:rPr>
        <w:t xml:space="preserve"> mandated the Open-ended Working Group to consider relevant options available under the Convention to further address marine plastic litter and </w:t>
      </w:r>
      <w:proofErr w:type="spellStart"/>
      <w:r w:rsidRPr="006E3360">
        <w:rPr>
          <w:rFonts w:ascii="Times New Roman" w:hAnsi="Times New Roman" w:cs="Times New Roman"/>
          <w:sz w:val="20"/>
          <w:szCs w:val="20"/>
        </w:rPr>
        <w:t>microplastics</w:t>
      </w:r>
      <w:proofErr w:type="spellEnd"/>
      <w:r w:rsidRPr="006E3360">
        <w:rPr>
          <w:rFonts w:ascii="Times New Roman" w:hAnsi="Times New Roman" w:cs="Times New Roman"/>
          <w:sz w:val="20"/>
          <w:szCs w:val="20"/>
        </w:rPr>
        <w:t xml:space="preserve"> as well as waste containing nanomaterials;</w:t>
      </w:r>
      <w:r w:rsidRPr="006E3360">
        <w:rPr>
          <w:rStyle w:val="FootnoteReference"/>
          <w:rFonts w:cs="Times New Roman"/>
          <w:szCs w:val="20"/>
        </w:rPr>
        <w:footnoteReference w:id="7"/>
      </w:r>
      <w:r w:rsidRPr="006E3360">
        <w:rPr>
          <w:rFonts w:ascii="Times New Roman" w:hAnsi="Times New Roman" w:cs="Times New Roman"/>
          <w:sz w:val="20"/>
          <w:szCs w:val="20"/>
        </w:rPr>
        <w:t xml:space="preserve"> established a process on the Review of Annexes I, II, IV and related aspects of Annex IX;</w:t>
      </w:r>
      <w:r w:rsidRPr="006E3360">
        <w:rPr>
          <w:rStyle w:val="FootnoteReference"/>
          <w:rFonts w:cs="Times New Roman"/>
          <w:szCs w:val="20"/>
        </w:rPr>
        <w:footnoteReference w:id="8"/>
      </w:r>
    </w:p>
    <w:p w14:paraId="556F0419" w14:textId="77777777" w:rsidR="00805BB5" w:rsidRPr="006E3360" w:rsidRDefault="00805BB5" w:rsidP="002C0CB2">
      <w:pPr>
        <w:pStyle w:val="ListParagraph"/>
        <w:numPr>
          <w:ilvl w:val="0"/>
          <w:numId w:val="14"/>
        </w:numPr>
        <w:tabs>
          <w:tab w:val="left" w:pos="1843"/>
        </w:tabs>
        <w:spacing w:after="120" w:line="240" w:lineRule="auto"/>
        <w:ind w:left="1276" w:firstLine="0"/>
        <w:contextualSpacing w:val="0"/>
        <w:rPr>
          <w:rFonts w:ascii="Times New Roman" w:hAnsi="Times New Roman" w:cs="Times New Roman"/>
          <w:sz w:val="20"/>
          <w:szCs w:val="20"/>
        </w:rPr>
      </w:pPr>
      <w:r w:rsidRPr="006E3360">
        <w:rPr>
          <w:rFonts w:ascii="Times New Roman" w:hAnsi="Times New Roman" w:cs="Times New Roman"/>
          <w:sz w:val="20"/>
          <w:szCs w:val="20"/>
        </w:rPr>
        <w:t xml:space="preserve">Under the Rotterdam Convention, the Conference of the Parties, at its 2017 meeting, among other things, listed four new chemicals in Annex III to the Convention, namely </w:t>
      </w:r>
      <w:proofErr w:type="spellStart"/>
      <w:r w:rsidRPr="006E3360">
        <w:rPr>
          <w:rFonts w:ascii="Times New Roman" w:hAnsi="Times New Roman" w:cs="Times New Roman"/>
          <w:sz w:val="20"/>
          <w:szCs w:val="20"/>
        </w:rPr>
        <w:t>carbofuran</w:t>
      </w:r>
      <w:proofErr w:type="spellEnd"/>
      <w:r w:rsidRPr="006E3360">
        <w:rPr>
          <w:rFonts w:ascii="Times New Roman" w:hAnsi="Times New Roman" w:cs="Times New Roman"/>
          <w:sz w:val="20"/>
          <w:szCs w:val="20"/>
        </w:rPr>
        <w:t xml:space="preserve">, </w:t>
      </w:r>
      <w:proofErr w:type="spellStart"/>
      <w:r w:rsidRPr="006E3360">
        <w:rPr>
          <w:rFonts w:ascii="Times New Roman" w:hAnsi="Times New Roman" w:cs="Times New Roman"/>
          <w:sz w:val="20"/>
          <w:szCs w:val="20"/>
        </w:rPr>
        <w:t>trichlorfon</w:t>
      </w:r>
      <w:proofErr w:type="spellEnd"/>
      <w:r w:rsidRPr="006E3360">
        <w:rPr>
          <w:rFonts w:ascii="Times New Roman" w:hAnsi="Times New Roman" w:cs="Times New Roman"/>
          <w:sz w:val="20"/>
          <w:szCs w:val="20"/>
        </w:rPr>
        <w:t xml:space="preserve">, short-chain chlorinated </w:t>
      </w:r>
      <w:proofErr w:type="spellStart"/>
      <w:r w:rsidRPr="006E3360">
        <w:rPr>
          <w:rFonts w:ascii="Times New Roman" w:hAnsi="Times New Roman" w:cs="Times New Roman"/>
          <w:sz w:val="20"/>
          <w:szCs w:val="20"/>
        </w:rPr>
        <w:t>paraffins</w:t>
      </w:r>
      <w:proofErr w:type="spellEnd"/>
      <w:r w:rsidRPr="006E3360">
        <w:rPr>
          <w:rFonts w:ascii="Times New Roman" w:hAnsi="Times New Roman" w:cs="Times New Roman"/>
          <w:sz w:val="20"/>
          <w:szCs w:val="20"/>
        </w:rPr>
        <w:t xml:space="preserve"> and tributyltin compounds;</w:t>
      </w:r>
      <w:r w:rsidRPr="006E3360">
        <w:rPr>
          <w:rStyle w:val="FootnoteReference"/>
          <w:rFonts w:cs="Times New Roman"/>
          <w:szCs w:val="20"/>
        </w:rPr>
        <w:footnoteReference w:id="9"/>
      </w:r>
      <w:r w:rsidRPr="006E3360">
        <w:rPr>
          <w:rFonts w:ascii="Times New Roman" w:hAnsi="Times New Roman" w:cs="Times New Roman"/>
          <w:sz w:val="20"/>
          <w:szCs w:val="20"/>
        </w:rPr>
        <w:t xml:space="preserve"> </w:t>
      </w:r>
    </w:p>
    <w:p w14:paraId="1EFD1EFB" w14:textId="77777777" w:rsidR="00805BB5" w:rsidRPr="006E3360" w:rsidRDefault="00805BB5" w:rsidP="002C0CB2">
      <w:pPr>
        <w:pStyle w:val="ListParagraph"/>
        <w:numPr>
          <w:ilvl w:val="0"/>
          <w:numId w:val="14"/>
        </w:numPr>
        <w:tabs>
          <w:tab w:val="left" w:pos="1843"/>
        </w:tabs>
        <w:spacing w:after="120" w:line="240" w:lineRule="auto"/>
        <w:ind w:left="1276" w:firstLine="0"/>
        <w:contextualSpacing w:val="0"/>
        <w:rPr>
          <w:rFonts w:ascii="Times New Roman" w:hAnsi="Times New Roman" w:cs="Times New Roman"/>
          <w:sz w:val="20"/>
          <w:szCs w:val="20"/>
        </w:rPr>
      </w:pPr>
      <w:r w:rsidRPr="006E3360">
        <w:rPr>
          <w:rFonts w:ascii="Times New Roman" w:hAnsi="Times New Roman" w:cs="Times New Roman"/>
          <w:sz w:val="20"/>
          <w:szCs w:val="20"/>
        </w:rPr>
        <w:t>Under the Stockholm Convention, the Conference of the Parties, at its 2017 meeting, among other things: (</w:t>
      </w:r>
      <w:proofErr w:type="spellStart"/>
      <w:r w:rsidRPr="006E3360">
        <w:rPr>
          <w:rFonts w:ascii="Times New Roman" w:hAnsi="Times New Roman" w:cs="Times New Roman"/>
          <w:sz w:val="20"/>
          <w:szCs w:val="20"/>
        </w:rPr>
        <w:t>i</w:t>
      </w:r>
      <w:proofErr w:type="spellEnd"/>
      <w:r w:rsidRPr="006E3360">
        <w:rPr>
          <w:rFonts w:ascii="Times New Roman" w:hAnsi="Times New Roman" w:cs="Times New Roman"/>
          <w:sz w:val="20"/>
          <w:szCs w:val="20"/>
        </w:rPr>
        <w:t xml:space="preserve">) listed two new chemicals in Annex A for elimination: </w:t>
      </w:r>
      <w:proofErr w:type="spellStart"/>
      <w:r w:rsidRPr="006E3360">
        <w:rPr>
          <w:rFonts w:ascii="Times New Roman" w:hAnsi="Times New Roman" w:cs="Times New Roman"/>
          <w:sz w:val="20"/>
          <w:szCs w:val="20"/>
        </w:rPr>
        <w:t>decabromodiphenyl</w:t>
      </w:r>
      <w:proofErr w:type="spellEnd"/>
      <w:r w:rsidRPr="006E3360">
        <w:rPr>
          <w:rFonts w:ascii="Times New Roman" w:hAnsi="Times New Roman" w:cs="Times New Roman"/>
          <w:sz w:val="20"/>
          <w:szCs w:val="20"/>
        </w:rPr>
        <w:t xml:space="preserve"> ether (</w:t>
      </w:r>
      <w:proofErr w:type="spellStart"/>
      <w:r w:rsidRPr="006E3360">
        <w:rPr>
          <w:rFonts w:ascii="Times New Roman" w:hAnsi="Times New Roman" w:cs="Times New Roman"/>
          <w:sz w:val="20"/>
          <w:szCs w:val="20"/>
        </w:rPr>
        <w:t>decaBDE</w:t>
      </w:r>
      <w:proofErr w:type="spellEnd"/>
      <w:r w:rsidRPr="006E3360">
        <w:rPr>
          <w:rFonts w:ascii="Times New Roman" w:hAnsi="Times New Roman" w:cs="Times New Roman"/>
          <w:sz w:val="20"/>
          <w:szCs w:val="20"/>
        </w:rPr>
        <w:t xml:space="preserve">) and short-chain chlorinated </w:t>
      </w:r>
      <w:proofErr w:type="spellStart"/>
      <w:r w:rsidRPr="006E3360">
        <w:rPr>
          <w:rFonts w:ascii="Times New Roman" w:hAnsi="Times New Roman" w:cs="Times New Roman"/>
          <w:sz w:val="20"/>
          <w:szCs w:val="20"/>
        </w:rPr>
        <w:t>paraffins</w:t>
      </w:r>
      <w:proofErr w:type="spellEnd"/>
      <w:r w:rsidRPr="006E3360">
        <w:rPr>
          <w:rFonts w:ascii="Times New Roman" w:hAnsi="Times New Roman" w:cs="Times New Roman"/>
          <w:sz w:val="20"/>
          <w:szCs w:val="20"/>
        </w:rPr>
        <w:t xml:space="preserve"> (SCCPs) and (ii) listed one more chemical in Annex C for reduction/ elimination of unintentional production: </w:t>
      </w:r>
      <w:proofErr w:type="spellStart"/>
      <w:r w:rsidRPr="006E3360">
        <w:rPr>
          <w:rFonts w:ascii="Times New Roman" w:hAnsi="Times New Roman" w:cs="Times New Roman"/>
          <w:sz w:val="20"/>
          <w:szCs w:val="20"/>
        </w:rPr>
        <w:t>hexachlorobutadiene</w:t>
      </w:r>
      <w:proofErr w:type="spellEnd"/>
      <w:r w:rsidRPr="006E3360">
        <w:rPr>
          <w:rFonts w:ascii="Times New Roman" w:hAnsi="Times New Roman" w:cs="Times New Roman"/>
          <w:sz w:val="20"/>
          <w:szCs w:val="20"/>
        </w:rPr>
        <w:t>.</w:t>
      </w:r>
      <w:r w:rsidRPr="006E3360">
        <w:rPr>
          <w:rStyle w:val="FootnoteReference"/>
          <w:rFonts w:cs="Times New Roman"/>
          <w:szCs w:val="20"/>
        </w:rPr>
        <w:footnoteReference w:id="10"/>
      </w:r>
    </w:p>
    <w:p w14:paraId="6F9A4C3C" w14:textId="77777777" w:rsidR="00805BB5" w:rsidRPr="002279DB" w:rsidRDefault="00805BB5" w:rsidP="002C0CB2">
      <w:pPr>
        <w:pStyle w:val="NormalNonumber"/>
        <w:numPr>
          <w:ilvl w:val="0"/>
          <w:numId w:val="7"/>
        </w:numPr>
        <w:ind w:left="1247" w:firstLine="0"/>
        <w:rPr>
          <w:lang w:val="en-US"/>
        </w:rPr>
      </w:pPr>
      <w:r w:rsidRPr="006E3360">
        <w:rPr>
          <w:lang w:val="en-ZA"/>
        </w:rPr>
        <w:t>The information made available by Parties under the conventions, for instance from reporting</w:t>
      </w:r>
      <w:r w:rsidRPr="006E3360">
        <w:rPr>
          <w:rStyle w:val="FootnoteReference"/>
          <w:lang w:val="en-ZA"/>
        </w:rPr>
        <w:footnoteReference w:id="11"/>
      </w:r>
      <w:r w:rsidRPr="006E3360">
        <w:rPr>
          <w:lang w:val="en-ZA"/>
        </w:rPr>
        <w:t xml:space="preserve">, </w:t>
      </w:r>
      <w:r>
        <w:rPr>
          <w:lang w:val="en-ZA"/>
        </w:rPr>
        <w:t xml:space="preserve">is a </w:t>
      </w:r>
      <w:r w:rsidRPr="006E3360">
        <w:rPr>
          <w:lang w:val="en-ZA"/>
        </w:rPr>
        <w:t>key element</w:t>
      </w:r>
      <w:r>
        <w:rPr>
          <w:lang w:val="en-ZA"/>
        </w:rPr>
        <w:t xml:space="preserve"> </w:t>
      </w:r>
      <w:r w:rsidRPr="006E3360">
        <w:rPr>
          <w:lang w:val="en-ZA"/>
        </w:rPr>
        <w:t xml:space="preserve">of the framework to monitor the implementation of the conventions, </w:t>
      </w:r>
      <w:r>
        <w:rPr>
          <w:lang w:val="en-ZA"/>
        </w:rPr>
        <w:t xml:space="preserve">to </w:t>
      </w:r>
      <w:r w:rsidRPr="006E3360">
        <w:rPr>
          <w:lang w:val="en-ZA"/>
        </w:rPr>
        <w:t>evaluate their effectiveness and provide</w:t>
      </w:r>
      <w:r>
        <w:rPr>
          <w:lang w:val="en-ZA"/>
        </w:rPr>
        <w:t>s</w:t>
      </w:r>
      <w:r w:rsidRPr="006E3360">
        <w:rPr>
          <w:lang w:val="en-ZA"/>
        </w:rPr>
        <w:t xml:space="preserve"> a basis for their </w:t>
      </w:r>
      <w:r w:rsidRPr="00DE27D2">
        <w:rPr>
          <w:lang w:val="en-US"/>
        </w:rPr>
        <w:t>further</w:t>
      </w:r>
      <w:r w:rsidRPr="006E3360">
        <w:rPr>
          <w:lang w:val="en-ZA"/>
        </w:rPr>
        <w:t xml:space="preserve"> development. For instance, the evaluation of the Stockholm Convention’s effectiveness was conducted by the Conference of the Parties at its 2017 meeting, based on a report prepared by the </w:t>
      </w:r>
      <w:r w:rsidRPr="002279DB">
        <w:rPr>
          <w:lang w:val="en-US"/>
        </w:rPr>
        <w:t>effectiveness evaluation committee,</w:t>
      </w:r>
      <w:r w:rsidRPr="006E3360">
        <w:rPr>
          <w:lang w:val="en-ZA"/>
        </w:rPr>
        <w:t xml:space="preserve"> and led to the identification of </w:t>
      </w:r>
      <w:r w:rsidRPr="002279DB">
        <w:rPr>
          <w:lang w:val="en-US"/>
        </w:rPr>
        <w:t xml:space="preserve">12 priority areas for action to address implementation challenges. Under the Basel Convention, the final evaluation of the strategic framework for the implementation of the Basel Convention for 2012-2021 is scheduled to take place in 2021. Under the Rotterdam Convention, </w:t>
      </w:r>
      <w:r w:rsidRPr="006E3360">
        <w:rPr>
          <w:lang w:val="en-ZA"/>
        </w:rPr>
        <w:t>the Conference of the Parties at its 2017 meeting</w:t>
      </w:r>
      <w:r w:rsidRPr="002279DB">
        <w:rPr>
          <w:lang w:val="en-US"/>
        </w:rPr>
        <w:t xml:space="preserve"> established a working group mandated to prepare a set of prioritized recommendations to enhance the effectiveness of the Convention.</w:t>
      </w:r>
      <w:r w:rsidRPr="006E3360">
        <w:rPr>
          <w:rStyle w:val="FootnoteReference"/>
        </w:rPr>
        <w:footnoteReference w:id="12"/>
      </w:r>
      <w:r w:rsidRPr="002279DB">
        <w:rPr>
          <w:lang w:val="en-US"/>
        </w:rPr>
        <w:t xml:space="preserve"> Also of relevance is the establishment of the Implementation and Compliance Committee of the Basel Convention which is to assist Parties to comply with their obligations under the Convention and to facilitate, promote, monitor and aim to secure the implementation of and compliance with the obligations under the Convention. Under the Rotterdam and the Stockholm conventions, compliance procedures and mechanisms are to be approved as soon as practicable.</w:t>
      </w:r>
    </w:p>
    <w:p w14:paraId="0D6B9DD3" w14:textId="77777777" w:rsidR="00805BB5" w:rsidRPr="002279DB" w:rsidRDefault="00805BB5" w:rsidP="002C0CB2">
      <w:pPr>
        <w:pStyle w:val="NormalNonumber"/>
        <w:numPr>
          <w:ilvl w:val="0"/>
          <w:numId w:val="7"/>
        </w:numPr>
        <w:ind w:left="1247" w:firstLine="0"/>
        <w:rPr>
          <w:lang w:val="en-US"/>
        </w:rPr>
      </w:pPr>
      <w:r w:rsidRPr="002279DB">
        <w:rPr>
          <w:lang w:val="en-US"/>
        </w:rPr>
        <w:t xml:space="preserve">The conventions’ science-policy interface is also at the core of well-informed decision-making for the effective implementation and further development of the conventions and provide an avenue to addressing emerging challenges within the scope of the </w:t>
      </w:r>
      <w:r>
        <w:rPr>
          <w:lang w:val="en-US"/>
        </w:rPr>
        <w:t>c</w:t>
      </w:r>
      <w:r w:rsidRPr="002279DB">
        <w:rPr>
          <w:lang w:val="en-US"/>
        </w:rPr>
        <w:t xml:space="preserve">onventions. The main scientific bodies supporting the </w:t>
      </w:r>
      <w:r>
        <w:rPr>
          <w:lang w:val="en-US"/>
        </w:rPr>
        <w:t>c</w:t>
      </w:r>
      <w:r w:rsidRPr="002279DB">
        <w:rPr>
          <w:lang w:val="en-US"/>
        </w:rPr>
        <w:t xml:space="preserve">onventions are: </w:t>
      </w:r>
      <w:proofErr w:type="gramStart"/>
      <w:r w:rsidRPr="002279DB">
        <w:rPr>
          <w:lang w:val="en-US"/>
        </w:rPr>
        <w:t>the</w:t>
      </w:r>
      <w:proofErr w:type="gramEnd"/>
      <w:r w:rsidRPr="002279DB">
        <w:rPr>
          <w:lang w:val="en-US"/>
        </w:rPr>
        <w:t xml:space="preserve"> Open-ended Working Group of the Basel Convention, the Chemical Review Committee of the Rotterdam Convention and the Persistent Organic Pollutants Review Committee of the Stockholm Convention. Numerous expert and technical groups are also established by the conventions’ conferences of the Parties to provide support on specific areas of work, as required. </w:t>
      </w:r>
    </w:p>
    <w:p w14:paraId="74925D39" w14:textId="77777777" w:rsidR="00805BB5" w:rsidRPr="00E25DCE" w:rsidRDefault="00805BB5" w:rsidP="00805BB5">
      <w:pPr>
        <w:spacing w:after="120" w:line="240" w:lineRule="auto"/>
        <w:ind w:left="1276" w:hanging="850"/>
        <w:rPr>
          <w:rFonts w:ascii="Times New Roman" w:hAnsi="Times New Roman" w:cs="Times New Roman"/>
          <w:b/>
        </w:rPr>
      </w:pPr>
      <w:r>
        <w:rPr>
          <w:rFonts w:ascii="Times New Roman" w:hAnsi="Times New Roman" w:cs="Times New Roman"/>
          <w:b/>
        </w:rPr>
        <w:t xml:space="preserve">IV. </w:t>
      </w:r>
      <w:r>
        <w:rPr>
          <w:rFonts w:ascii="Times New Roman" w:hAnsi="Times New Roman" w:cs="Times New Roman"/>
          <w:b/>
        </w:rPr>
        <w:tab/>
      </w:r>
      <w:r w:rsidRPr="00E25DCE">
        <w:rPr>
          <w:rFonts w:ascii="Times New Roman" w:hAnsi="Times New Roman" w:cs="Times New Roman"/>
          <w:b/>
        </w:rPr>
        <w:t xml:space="preserve">Overall mandates for cooperation between SAICM and </w:t>
      </w:r>
      <w:r>
        <w:rPr>
          <w:rFonts w:ascii="Times New Roman" w:hAnsi="Times New Roman" w:cs="Times New Roman"/>
          <w:b/>
        </w:rPr>
        <w:t xml:space="preserve">the </w:t>
      </w:r>
      <w:r w:rsidRPr="00E25DCE">
        <w:rPr>
          <w:rFonts w:ascii="Times New Roman" w:hAnsi="Times New Roman" w:cs="Times New Roman"/>
          <w:b/>
        </w:rPr>
        <w:t>B</w:t>
      </w:r>
      <w:r>
        <w:rPr>
          <w:rFonts w:ascii="Times New Roman" w:hAnsi="Times New Roman" w:cs="Times New Roman"/>
          <w:b/>
        </w:rPr>
        <w:t xml:space="preserve">asel, Rotterdam and Stockholm </w:t>
      </w:r>
      <w:r w:rsidRPr="00E25DCE">
        <w:rPr>
          <w:rFonts w:ascii="Times New Roman" w:hAnsi="Times New Roman" w:cs="Times New Roman"/>
          <w:b/>
        </w:rPr>
        <w:t>conventions</w:t>
      </w:r>
    </w:p>
    <w:p w14:paraId="2E0F4F0A" w14:textId="77777777" w:rsidR="00805BB5" w:rsidRPr="002279DB" w:rsidRDefault="00805BB5" w:rsidP="002C0CB2">
      <w:pPr>
        <w:pStyle w:val="NormalNonumber"/>
        <w:numPr>
          <w:ilvl w:val="0"/>
          <w:numId w:val="7"/>
        </w:numPr>
        <w:ind w:left="1247" w:firstLine="0"/>
        <w:rPr>
          <w:rFonts w:eastAsia="Calibri"/>
          <w:lang w:val="en-US"/>
        </w:rPr>
      </w:pPr>
      <w:r w:rsidRPr="006C7911">
        <w:rPr>
          <w:rFonts w:eastAsia="Calibri"/>
          <w:lang w:val="en-US"/>
        </w:rPr>
        <w:t xml:space="preserve">SAICM has clear and </w:t>
      </w:r>
      <w:r w:rsidRPr="0007419A">
        <w:rPr>
          <w:lang w:val="en-US"/>
        </w:rPr>
        <w:t>direct</w:t>
      </w:r>
      <w:r w:rsidRPr="006C7911">
        <w:rPr>
          <w:rFonts w:eastAsia="Calibri"/>
          <w:lang w:val="en-US"/>
        </w:rPr>
        <w:t xml:space="preserve"> links to existing international chemicals and waste management instruments (such as the Basel, Rotterdam, and Stockholm </w:t>
      </w:r>
      <w:r>
        <w:rPr>
          <w:lang w:val="en-US"/>
        </w:rPr>
        <w:t>c</w:t>
      </w:r>
      <w:r w:rsidRPr="00DE27D2">
        <w:rPr>
          <w:lang w:val="en-US"/>
        </w:rPr>
        <w:t>onventions</w:t>
      </w:r>
      <w:r w:rsidRPr="006C7911">
        <w:rPr>
          <w:rFonts w:eastAsia="Calibri"/>
          <w:lang w:val="en-US"/>
        </w:rPr>
        <w:t xml:space="preserve">). International agreements are </w:t>
      </w:r>
      <w:r w:rsidRPr="006C7911">
        <w:rPr>
          <w:rFonts w:eastAsia="Calibri"/>
          <w:lang w:val="en-US"/>
        </w:rPr>
        <w:lastRenderedPageBreak/>
        <w:t>referenced in several different areas of the SAICM texts, including the Dubai declaration,</w:t>
      </w:r>
      <w:r w:rsidRPr="00095633">
        <w:rPr>
          <w:rStyle w:val="FootnoteReference"/>
          <w:rFonts w:eastAsia="Calibri"/>
        </w:rPr>
        <w:footnoteReference w:id="13"/>
      </w:r>
      <w:r w:rsidRPr="006C7911">
        <w:rPr>
          <w:rFonts w:eastAsia="Calibri"/>
          <w:lang w:val="en-US"/>
        </w:rPr>
        <w:t xml:space="preserve"> the Overall Policy Strategy</w:t>
      </w:r>
      <w:r w:rsidRPr="00095633">
        <w:rPr>
          <w:rStyle w:val="FootnoteReference"/>
          <w:rFonts w:eastAsia="Calibri"/>
        </w:rPr>
        <w:footnoteReference w:id="14"/>
      </w:r>
      <w:r w:rsidRPr="006C7911">
        <w:rPr>
          <w:rFonts w:eastAsia="Calibri"/>
          <w:lang w:val="en-US"/>
        </w:rPr>
        <w:t xml:space="preserve"> and the Overall Orientation and Guidance.</w:t>
      </w:r>
      <w:r w:rsidRPr="00095633">
        <w:rPr>
          <w:rStyle w:val="FootnoteReference"/>
          <w:rFonts w:eastAsia="Calibri"/>
        </w:rPr>
        <w:footnoteReference w:id="15"/>
      </w:r>
      <w:r w:rsidRPr="006C7911">
        <w:rPr>
          <w:rFonts w:eastAsia="Calibri"/>
          <w:lang w:val="en-US"/>
        </w:rPr>
        <w:t xml:space="preserve"> </w:t>
      </w:r>
    </w:p>
    <w:p w14:paraId="1C580BE0" w14:textId="77777777" w:rsidR="00805BB5" w:rsidRPr="002279DB" w:rsidRDefault="00805BB5" w:rsidP="002C0CB2">
      <w:pPr>
        <w:pStyle w:val="NormalNonumber"/>
        <w:numPr>
          <w:ilvl w:val="0"/>
          <w:numId w:val="7"/>
        </w:numPr>
        <w:ind w:left="1247" w:firstLine="0"/>
        <w:rPr>
          <w:lang w:val="en-US"/>
        </w:rPr>
      </w:pPr>
      <w:r w:rsidRPr="00DE27D2">
        <w:rPr>
          <w:lang w:val="en-US"/>
        </w:rPr>
        <w:t>Through various decisions</w:t>
      </w:r>
      <w:r w:rsidRPr="00095633">
        <w:rPr>
          <w:rStyle w:val="FootnoteReference"/>
        </w:rPr>
        <w:footnoteReference w:id="16"/>
      </w:r>
      <w:r w:rsidRPr="00DE27D2">
        <w:rPr>
          <w:lang w:val="en-US"/>
        </w:rPr>
        <w:t xml:space="preserve">, the conferences of the Parties to the three conventions requested the Secretariat to enhance cooperation </w:t>
      </w:r>
      <w:r w:rsidRPr="0007419A">
        <w:rPr>
          <w:rFonts w:eastAsia="Calibri"/>
          <w:lang w:val="en-US"/>
        </w:rPr>
        <w:t>and</w:t>
      </w:r>
      <w:r w:rsidRPr="00DE27D2">
        <w:rPr>
          <w:lang w:val="en-US"/>
        </w:rPr>
        <w:t xml:space="preserve"> coordination with SAICM. </w:t>
      </w:r>
      <w:r w:rsidRPr="002279DB">
        <w:rPr>
          <w:lang w:val="en-US"/>
        </w:rPr>
        <w:t xml:space="preserve">At their meetings in May 2017, the conferences of the Parties, among other things: </w:t>
      </w:r>
    </w:p>
    <w:p w14:paraId="78CC50A9" w14:textId="77777777" w:rsidR="00805BB5" w:rsidRPr="00095633" w:rsidRDefault="00805BB5" w:rsidP="002C0CB2">
      <w:pPr>
        <w:pStyle w:val="Normalnumber"/>
        <w:numPr>
          <w:ilvl w:val="1"/>
          <w:numId w:val="6"/>
        </w:numPr>
        <w:tabs>
          <w:tab w:val="clear" w:pos="1247"/>
          <w:tab w:val="clear" w:pos="1814"/>
          <w:tab w:val="clear" w:pos="2381"/>
          <w:tab w:val="clear" w:pos="2948"/>
          <w:tab w:val="clear" w:pos="3515"/>
          <w:tab w:val="clear" w:pos="4082"/>
          <w:tab w:val="left" w:pos="624"/>
        </w:tabs>
        <w:ind w:left="1276" w:firstLine="567"/>
      </w:pPr>
      <w:r w:rsidRPr="00095633">
        <w:t>Welcomed the resolutions adopted at the fourth session of the International Conference on Chemicals Management, including in particular the endorsement of the overall orientation and guidance for achieving the 2020 goal, and the resolution to launch an intersessional process on the sound management of chemicals and waste beyond 2020;</w:t>
      </w:r>
    </w:p>
    <w:p w14:paraId="513F5DC0" w14:textId="77777777" w:rsidR="00805BB5" w:rsidRPr="00095633" w:rsidRDefault="00805BB5" w:rsidP="002C0CB2">
      <w:pPr>
        <w:pStyle w:val="Normalnumber"/>
        <w:numPr>
          <w:ilvl w:val="1"/>
          <w:numId w:val="6"/>
        </w:numPr>
        <w:tabs>
          <w:tab w:val="clear" w:pos="1247"/>
          <w:tab w:val="clear" w:pos="1814"/>
          <w:tab w:val="clear" w:pos="2381"/>
          <w:tab w:val="clear" w:pos="2948"/>
          <w:tab w:val="clear" w:pos="3515"/>
          <w:tab w:val="clear" w:pos="4082"/>
          <w:tab w:val="left" w:pos="624"/>
        </w:tabs>
        <w:ind w:left="1276" w:firstLine="567"/>
      </w:pPr>
      <w:r w:rsidRPr="00095633">
        <w:t xml:space="preserve">Requested the Secretariat to continue to cooperate with the secretariat of the Strategic Approach in this respect and to participate in and provide relevant input to the Strategic Approach intersessional process on the sound management of chemicals and waste beyond 2020; </w:t>
      </w:r>
    </w:p>
    <w:p w14:paraId="06FC806C" w14:textId="77777777" w:rsidR="00805BB5" w:rsidRPr="00852CA4" w:rsidRDefault="00805BB5" w:rsidP="002C0CB2">
      <w:pPr>
        <w:pStyle w:val="Normalnumber"/>
        <w:numPr>
          <w:ilvl w:val="1"/>
          <w:numId w:val="6"/>
        </w:numPr>
        <w:tabs>
          <w:tab w:val="clear" w:pos="1247"/>
          <w:tab w:val="clear" w:pos="1814"/>
          <w:tab w:val="clear" w:pos="2381"/>
          <w:tab w:val="clear" w:pos="2948"/>
          <w:tab w:val="clear" w:pos="3515"/>
          <w:tab w:val="clear" w:pos="4082"/>
          <w:tab w:val="left" w:pos="624"/>
        </w:tabs>
        <w:ind w:left="1276" w:firstLine="567"/>
        <w:rPr>
          <w:rFonts w:eastAsia="Calibri"/>
          <w:lang w:val="en-US"/>
        </w:rPr>
      </w:pPr>
      <w:r w:rsidRPr="00095633">
        <w:t xml:space="preserve">Requested the Secretariat to continue to enhance cooperation and coordination </w:t>
      </w:r>
      <w:r>
        <w:t xml:space="preserve">with </w:t>
      </w:r>
      <w:r w:rsidRPr="00095633">
        <w:t xml:space="preserve">the secretariat of the Strategic Approach in areas of relevance to the Basel, Rotterdam and Stockholm conventions. </w:t>
      </w:r>
    </w:p>
    <w:p w14:paraId="0C11DF08" w14:textId="77777777" w:rsidR="00805BB5" w:rsidRPr="0007419A" w:rsidRDefault="00805BB5" w:rsidP="00805BB5">
      <w:pPr>
        <w:pStyle w:val="Normalnumber"/>
        <w:numPr>
          <w:ilvl w:val="0"/>
          <w:numId w:val="0"/>
        </w:numPr>
        <w:tabs>
          <w:tab w:val="clear" w:pos="1247"/>
          <w:tab w:val="clear" w:pos="1814"/>
          <w:tab w:val="clear" w:pos="2381"/>
          <w:tab w:val="clear" w:pos="2948"/>
          <w:tab w:val="clear" w:pos="3515"/>
          <w:tab w:val="left" w:pos="624"/>
        </w:tabs>
        <w:ind w:left="1247"/>
        <w:rPr>
          <w:rFonts w:eastAsia="Calibri"/>
          <w:lang w:val="en-US"/>
        </w:rPr>
      </w:pPr>
    </w:p>
    <w:p w14:paraId="7CEB1FA8" w14:textId="0386E448" w:rsidR="00BF6A71" w:rsidRDefault="00BF6A71" w:rsidP="00BF6A71">
      <w:pPr>
        <w:pStyle w:val="Normal-pool"/>
      </w:pPr>
    </w:p>
    <w:p w14:paraId="68F054ED" w14:textId="2AD782FB" w:rsidR="00BF6A71" w:rsidRDefault="00BF6A71" w:rsidP="00BF6A71">
      <w:pPr>
        <w:pStyle w:val="Normal-pool"/>
        <w:jc w:val="center"/>
      </w:pPr>
      <w:r>
        <w:t>_________________________</w:t>
      </w:r>
    </w:p>
    <w:sectPr w:rsidR="00BF6A71" w:rsidSect="00805BB5">
      <w:headerReference w:type="even" r:id="rId10"/>
      <w:headerReference w:type="default" r:id="rId11"/>
      <w:footerReference w:type="even" r:id="rId12"/>
      <w:footerReference w:type="default" r:id="rId13"/>
      <w:type w:val="continuous"/>
      <w:pgSz w:w="11906" w:h="16838" w:code="9"/>
      <w:pgMar w:top="993" w:right="1106" w:bottom="993"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3FAB0" w14:textId="77777777" w:rsidR="00FD15E5" w:rsidRDefault="00FD15E5">
      <w:r>
        <w:separator/>
      </w:r>
    </w:p>
  </w:endnote>
  <w:endnote w:type="continuationSeparator" w:id="0">
    <w:p w14:paraId="61E223AB" w14:textId="77777777" w:rsidR="00FD15E5" w:rsidRDefault="00FD15E5">
      <w:r>
        <w:continuationSeparator/>
      </w:r>
    </w:p>
  </w:endnote>
  <w:endnote w:type="continuationNotice" w:id="1">
    <w:p w14:paraId="1C96F2BD" w14:textId="77777777" w:rsidR="00FD15E5" w:rsidRDefault="00FD15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 45">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F0DDB" w14:textId="05D03E07" w:rsidR="00E468D6" w:rsidRDefault="00E468D6">
    <w:pPr>
      <w:pStyle w:val="Footer"/>
    </w:pPr>
    <w:r>
      <w:rPr>
        <w:rStyle w:val="PageNumber"/>
      </w:rPr>
      <w:fldChar w:fldCharType="begin"/>
    </w:r>
    <w:r>
      <w:rPr>
        <w:rStyle w:val="PageNumber"/>
      </w:rPr>
      <w:instrText xml:space="preserve"> PAGE </w:instrText>
    </w:r>
    <w:r>
      <w:rPr>
        <w:rStyle w:val="PageNumber"/>
      </w:rPr>
      <w:fldChar w:fldCharType="separate"/>
    </w:r>
    <w:r w:rsidR="004E2396">
      <w:rPr>
        <w:rStyle w:val="PageNumber"/>
        <w:noProof/>
      </w:rPr>
      <w:t>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29B37" w14:textId="7168CEE1" w:rsidR="00E468D6" w:rsidRDefault="00E468D6" w:rsidP="00035EDE">
    <w:pPr>
      <w:pStyle w:val="Footer"/>
      <w:jc w:val="right"/>
    </w:pPr>
    <w:r>
      <w:rPr>
        <w:rStyle w:val="PageNumber"/>
      </w:rPr>
      <w:fldChar w:fldCharType="begin"/>
    </w:r>
    <w:r>
      <w:rPr>
        <w:rStyle w:val="PageNumber"/>
      </w:rPr>
      <w:instrText xml:space="preserve"> PAGE </w:instrText>
    </w:r>
    <w:r>
      <w:rPr>
        <w:rStyle w:val="PageNumber"/>
      </w:rPr>
      <w:fldChar w:fldCharType="separate"/>
    </w:r>
    <w:r w:rsidR="004E2396">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7A921" w14:textId="77777777" w:rsidR="00FD15E5" w:rsidRDefault="00FD15E5" w:rsidP="006E4608">
      <w:pPr>
        <w:tabs>
          <w:tab w:val="left" w:pos="624"/>
        </w:tabs>
        <w:spacing w:before="60" w:after="0" w:line="240" w:lineRule="auto"/>
        <w:ind w:left="624"/>
      </w:pPr>
      <w:r>
        <w:separator/>
      </w:r>
    </w:p>
  </w:footnote>
  <w:footnote w:type="continuationSeparator" w:id="0">
    <w:p w14:paraId="7B9A5991" w14:textId="77777777" w:rsidR="00FD15E5" w:rsidRDefault="00FD15E5">
      <w:r>
        <w:continuationSeparator/>
      </w:r>
    </w:p>
  </w:footnote>
  <w:footnote w:type="continuationNotice" w:id="1">
    <w:p w14:paraId="036A1237" w14:textId="77777777" w:rsidR="00FD15E5" w:rsidRDefault="00FD15E5">
      <w:pPr>
        <w:spacing w:after="0" w:line="240" w:lineRule="auto"/>
      </w:pPr>
    </w:p>
  </w:footnote>
  <w:footnote w:id="2">
    <w:p w14:paraId="77F7341D" w14:textId="77777777" w:rsidR="00805BB5" w:rsidRDefault="00805BB5" w:rsidP="00805BB5">
      <w:pPr>
        <w:pStyle w:val="FootnoteText"/>
      </w:pPr>
      <w:r w:rsidRPr="004326BB">
        <w:rPr>
          <w:szCs w:val="18"/>
        </w:rPr>
        <w:t>*SAICM/I</w:t>
      </w:r>
      <w:r>
        <w:rPr>
          <w:szCs w:val="18"/>
        </w:rPr>
        <w:t>P.2/1</w:t>
      </w:r>
    </w:p>
  </w:footnote>
  <w:footnote w:id="3">
    <w:p w14:paraId="24A5FA51" w14:textId="77777777" w:rsidR="00805BB5" w:rsidRPr="003A1F07" w:rsidRDefault="00805BB5" w:rsidP="00805BB5">
      <w:pPr>
        <w:pStyle w:val="FootnoteText"/>
        <w:ind w:left="1276"/>
        <w:rPr>
          <w:szCs w:val="18"/>
          <w:lang w:val="en-US"/>
        </w:rPr>
      </w:pPr>
      <w:r w:rsidRPr="003A1F07">
        <w:rPr>
          <w:rStyle w:val="FootnoteReference"/>
        </w:rPr>
        <w:footnoteRef/>
      </w:r>
      <w:r w:rsidRPr="00805BB5">
        <w:rPr>
          <w:szCs w:val="18"/>
          <w:lang w:val="en-US"/>
        </w:rPr>
        <w:t xml:space="preserve"> Persistent organic pollutants (POPs) are chemicals that </w:t>
      </w:r>
      <w:r w:rsidRPr="003A1F07">
        <w:rPr>
          <w:szCs w:val="18"/>
          <w:lang w:val="en-GB"/>
        </w:rPr>
        <w:t>remain intact in the environment for long periods, become widely distributed geographically, accumulate in the fatty tissue of humans and wildlife, and have harmful impacts on human health or on the environment.</w:t>
      </w:r>
    </w:p>
  </w:footnote>
  <w:footnote w:id="4">
    <w:p w14:paraId="0E80C90D" w14:textId="77777777" w:rsidR="00805BB5" w:rsidRPr="00B14A2E" w:rsidRDefault="00805BB5" w:rsidP="00805BB5">
      <w:pPr>
        <w:pStyle w:val="FootnoteText"/>
        <w:ind w:left="1276"/>
        <w:rPr>
          <w:szCs w:val="18"/>
          <w:lang w:val="en-US"/>
        </w:rPr>
      </w:pPr>
      <w:r w:rsidRPr="00B14A2E">
        <w:rPr>
          <w:rStyle w:val="FootnoteReference"/>
        </w:rPr>
        <w:footnoteRef/>
      </w:r>
      <w:r w:rsidRPr="00805BB5">
        <w:rPr>
          <w:szCs w:val="18"/>
          <w:lang w:val="en-US"/>
        </w:rPr>
        <w:t xml:space="preserve"> </w:t>
      </w:r>
      <w:r w:rsidRPr="00B14A2E">
        <w:rPr>
          <w:szCs w:val="18"/>
          <w:lang w:val="en-US"/>
        </w:rPr>
        <w:t xml:space="preserve">As emphasized by the conferences of the Parties to the </w:t>
      </w:r>
      <w:r>
        <w:rPr>
          <w:szCs w:val="18"/>
          <w:lang w:val="en-US"/>
        </w:rPr>
        <w:t>Basel, Rotterdam and Stockholm c</w:t>
      </w:r>
      <w:r w:rsidRPr="00B14A2E">
        <w:rPr>
          <w:szCs w:val="18"/>
          <w:lang w:val="en-US"/>
        </w:rPr>
        <w:t>onventions in their 2017 decisions on international cooperation and coordination (BC-13/16, RC</w:t>
      </w:r>
      <w:r>
        <w:rPr>
          <w:szCs w:val="18"/>
          <w:lang w:val="en-US"/>
        </w:rPr>
        <w:t>-8/10, SC-8/20).</w:t>
      </w:r>
    </w:p>
  </w:footnote>
  <w:footnote w:id="5">
    <w:p w14:paraId="7DADA01B" w14:textId="77777777" w:rsidR="00805BB5" w:rsidRPr="00B86AF3" w:rsidRDefault="00805BB5" w:rsidP="00805BB5">
      <w:pPr>
        <w:pStyle w:val="FootnoteText"/>
        <w:ind w:left="1276"/>
        <w:rPr>
          <w:lang w:val="en-US"/>
        </w:rPr>
      </w:pPr>
      <w:r w:rsidRPr="00B86AF3">
        <w:rPr>
          <w:szCs w:val="18"/>
          <w:vertAlign w:val="superscript"/>
        </w:rPr>
        <w:footnoteRef/>
      </w:r>
      <w:r w:rsidRPr="00805BB5">
        <w:rPr>
          <w:szCs w:val="18"/>
          <w:lang w:val="en-US"/>
        </w:rPr>
        <w:t xml:space="preserve"> Decisions BC-13/16, RC-8/10, SC-8/20.</w:t>
      </w:r>
    </w:p>
  </w:footnote>
  <w:footnote w:id="6">
    <w:p w14:paraId="08E42858" w14:textId="77777777" w:rsidR="00805BB5" w:rsidRPr="006C7911" w:rsidRDefault="00805BB5" w:rsidP="00805BB5">
      <w:pPr>
        <w:pStyle w:val="FootnoteText"/>
        <w:spacing w:after="20"/>
        <w:ind w:left="1276"/>
        <w:rPr>
          <w:szCs w:val="18"/>
          <w:lang w:val="en-US"/>
        </w:rPr>
      </w:pPr>
      <w:r w:rsidRPr="006C7911">
        <w:rPr>
          <w:rStyle w:val="FootnoteReference"/>
        </w:rPr>
        <w:footnoteRef/>
      </w:r>
      <w:r w:rsidRPr="00805BB5">
        <w:rPr>
          <w:szCs w:val="18"/>
          <w:lang w:val="en-US"/>
        </w:rPr>
        <w:t xml:space="preserve"> Decision BC-13/14.</w:t>
      </w:r>
    </w:p>
  </w:footnote>
  <w:footnote w:id="7">
    <w:p w14:paraId="33EC6740" w14:textId="77777777" w:rsidR="00805BB5" w:rsidRPr="006C7911" w:rsidRDefault="00805BB5" w:rsidP="00805BB5">
      <w:pPr>
        <w:pStyle w:val="FootnoteText"/>
        <w:spacing w:after="20"/>
        <w:ind w:left="1276"/>
        <w:rPr>
          <w:szCs w:val="18"/>
          <w:lang w:val="en-US"/>
        </w:rPr>
      </w:pPr>
      <w:r w:rsidRPr="006C7911">
        <w:rPr>
          <w:rStyle w:val="FootnoteReference"/>
        </w:rPr>
        <w:footnoteRef/>
      </w:r>
      <w:r w:rsidRPr="00805BB5">
        <w:rPr>
          <w:szCs w:val="18"/>
          <w:lang w:val="en-US"/>
        </w:rPr>
        <w:t xml:space="preserve"> Decision BC-13/17.</w:t>
      </w:r>
    </w:p>
  </w:footnote>
  <w:footnote w:id="8">
    <w:p w14:paraId="0F41CD55" w14:textId="77777777" w:rsidR="00805BB5" w:rsidRPr="006C7911" w:rsidRDefault="00805BB5" w:rsidP="00805BB5">
      <w:pPr>
        <w:pStyle w:val="FootnoteText"/>
        <w:spacing w:after="20"/>
        <w:ind w:left="1276"/>
        <w:rPr>
          <w:szCs w:val="18"/>
          <w:lang w:val="en-US"/>
        </w:rPr>
      </w:pPr>
      <w:r w:rsidRPr="006C7911">
        <w:rPr>
          <w:rStyle w:val="FootnoteReference"/>
        </w:rPr>
        <w:footnoteRef/>
      </w:r>
      <w:r w:rsidRPr="00805BB5">
        <w:rPr>
          <w:szCs w:val="18"/>
          <w:lang w:val="en-US"/>
        </w:rPr>
        <w:t xml:space="preserve"> </w:t>
      </w:r>
      <w:r w:rsidRPr="006C7911">
        <w:rPr>
          <w:szCs w:val="18"/>
          <w:lang w:val="en-US"/>
        </w:rPr>
        <w:t xml:space="preserve">Decision BC-13/2. </w:t>
      </w:r>
    </w:p>
  </w:footnote>
  <w:footnote w:id="9">
    <w:p w14:paraId="6A6EE981" w14:textId="77777777" w:rsidR="00805BB5" w:rsidRPr="006C7911" w:rsidRDefault="00805BB5" w:rsidP="00805BB5">
      <w:pPr>
        <w:pStyle w:val="FootnoteText"/>
        <w:spacing w:after="20"/>
        <w:ind w:left="1276"/>
        <w:rPr>
          <w:szCs w:val="18"/>
          <w:lang w:val="en-US"/>
        </w:rPr>
      </w:pPr>
      <w:r w:rsidRPr="006C7911">
        <w:rPr>
          <w:rStyle w:val="FootnoteReference"/>
        </w:rPr>
        <w:footnoteRef/>
      </w:r>
      <w:r w:rsidRPr="00805BB5">
        <w:rPr>
          <w:szCs w:val="18"/>
          <w:lang w:val="en-US"/>
        </w:rPr>
        <w:t xml:space="preserve"> Decisions RC-8/2 to RC-8/5. </w:t>
      </w:r>
    </w:p>
  </w:footnote>
  <w:footnote w:id="10">
    <w:p w14:paraId="3C00D979" w14:textId="77777777" w:rsidR="00805BB5" w:rsidRPr="006C7911" w:rsidRDefault="00805BB5" w:rsidP="00805BB5">
      <w:pPr>
        <w:pStyle w:val="FootnoteText"/>
        <w:spacing w:after="20"/>
        <w:ind w:left="1276"/>
        <w:rPr>
          <w:szCs w:val="18"/>
          <w:lang w:val="en-US"/>
        </w:rPr>
      </w:pPr>
      <w:r w:rsidRPr="006C7911">
        <w:rPr>
          <w:rStyle w:val="FootnoteReference"/>
        </w:rPr>
        <w:footnoteRef/>
      </w:r>
      <w:r w:rsidRPr="00805BB5">
        <w:rPr>
          <w:szCs w:val="18"/>
          <w:lang w:val="en-US"/>
        </w:rPr>
        <w:t xml:space="preserve"> Decisions SC-8/10-12</w:t>
      </w:r>
    </w:p>
  </w:footnote>
  <w:footnote w:id="11">
    <w:p w14:paraId="07A3C81C" w14:textId="77777777" w:rsidR="00805BB5" w:rsidRPr="006C7911" w:rsidRDefault="00805BB5" w:rsidP="00805BB5">
      <w:pPr>
        <w:pStyle w:val="FootnoteText"/>
        <w:spacing w:after="20"/>
        <w:ind w:left="1276"/>
        <w:rPr>
          <w:szCs w:val="18"/>
          <w:lang w:val="en-US"/>
        </w:rPr>
      </w:pPr>
      <w:r w:rsidRPr="006C7911">
        <w:rPr>
          <w:rStyle w:val="FootnoteReference"/>
        </w:rPr>
        <w:footnoteRef/>
      </w:r>
      <w:r w:rsidRPr="00805BB5">
        <w:rPr>
          <w:szCs w:val="18"/>
          <w:lang w:val="en-US"/>
        </w:rPr>
        <w:t xml:space="preserve"> </w:t>
      </w:r>
      <w:r w:rsidRPr="006C7911">
        <w:rPr>
          <w:szCs w:val="18"/>
          <w:lang w:val="en-US"/>
        </w:rPr>
        <w:t xml:space="preserve">The Basel and Stockholm </w:t>
      </w:r>
      <w:r>
        <w:rPr>
          <w:szCs w:val="18"/>
          <w:lang w:val="en-US"/>
        </w:rPr>
        <w:t>c</w:t>
      </w:r>
      <w:r w:rsidRPr="006C7911">
        <w:rPr>
          <w:szCs w:val="18"/>
          <w:lang w:val="en-US"/>
        </w:rPr>
        <w:t xml:space="preserve">onventions set forth reporting provisions requiring Parties to submit information, as set out respectively in Article 13 and 15, in particular on the measures taken to implement the conventions, to the Secretariat at regular intervals. </w:t>
      </w:r>
    </w:p>
  </w:footnote>
  <w:footnote w:id="12">
    <w:p w14:paraId="314082C9" w14:textId="77777777" w:rsidR="00805BB5" w:rsidRPr="000D7788" w:rsidRDefault="00805BB5" w:rsidP="00805BB5">
      <w:pPr>
        <w:pStyle w:val="FootnoteText"/>
        <w:spacing w:after="20"/>
        <w:ind w:left="1276"/>
        <w:rPr>
          <w:lang w:val="en-US"/>
        </w:rPr>
      </w:pPr>
      <w:r w:rsidRPr="006C7911">
        <w:rPr>
          <w:rStyle w:val="FootnoteReference"/>
        </w:rPr>
        <w:footnoteRef/>
      </w:r>
      <w:r w:rsidRPr="00805BB5">
        <w:rPr>
          <w:szCs w:val="18"/>
          <w:lang w:val="en-US"/>
        </w:rPr>
        <w:t xml:space="preserve"> Decision RC-8/8.</w:t>
      </w:r>
      <w:r w:rsidRPr="00805BB5">
        <w:rPr>
          <w:lang w:val="en-US"/>
        </w:rPr>
        <w:t xml:space="preserve"> </w:t>
      </w:r>
    </w:p>
  </w:footnote>
  <w:footnote w:id="13">
    <w:p w14:paraId="12E61DBB" w14:textId="77777777" w:rsidR="00805BB5" w:rsidRPr="00805BB5" w:rsidRDefault="00805BB5" w:rsidP="00805BB5">
      <w:pPr>
        <w:pStyle w:val="FootnoteText"/>
        <w:spacing w:after="20"/>
        <w:ind w:left="1276"/>
        <w:rPr>
          <w:szCs w:val="18"/>
          <w:lang w:val="en-US"/>
        </w:rPr>
      </w:pPr>
      <w:r w:rsidRPr="006E3360">
        <w:rPr>
          <w:rStyle w:val="FootnoteReference"/>
        </w:rPr>
        <w:footnoteRef/>
      </w:r>
      <w:r w:rsidRPr="00805BB5">
        <w:rPr>
          <w:szCs w:val="18"/>
          <w:lang w:val="en-US"/>
        </w:rPr>
        <w:t xml:space="preserve"> In the Declaration, ICCM expressed its determination “to implement the applicable chemicals management agreements to which we are Party, strengthen the </w:t>
      </w:r>
      <w:r w:rsidRPr="0007419A">
        <w:rPr>
          <w:szCs w:val="18"/>
          <w:lang w:val="en-US"/>
        </w:rPr>
        <w:t>coherence</w:t>
      </w:r>
      <w:r w:rsidRPr="00805BB5">
        <w:rPr>
          <w:szCs w:val="18"/>
          <w:lang w:val="en-US"/>
        </w:rPr>
        <w:t xml:space="preserve"> and synergies that exist between them and work to address, as appropriate, existing gaps in the framework of international chemicals policy” (Dubai Declaration, para. 8). </w:t>
      </w:r>
    </w:p>
  </w:footnote>
  <w:footnote w:id="14">
    <w:p w14:paraId="210F5811" w14:textId="77777777" w:rsidR="00805BB5" w:rsidRPr="00805BB5" w:rsidRDefault="00805BB5" w:rsidP="00805BB5">
      <w:pPr>
        <w:pStyle w:val="FootnoteText"/>
        <w:spacing w:after="20"/>
        <w:ind w:left="1276"/>
        <w:rPr>
          <w:szCs w:val="18"/>
          <w:lang w:val="en-US"/>
        </w:rPr>
      </w:pPr>
      <w:r w:rsidRPr="006E3360">
        <w:rPr>
          <w:rStyle w:val="FootnoteReference"/>
        </w:rPr>
        <w:footnoteRef/>
      </w:r>
      <w:r w:rsidRPr="00805BB5">
        <w:rPr>
          <w:szCs w:val="18"/>
          <w:lang w:val="en-US"/>
        </w:rPr>
        <w:t xml:space="preserve"> One of the objectives of the OPS is “to strengthen enforcement and encourage the implementation of national laws and regulations regarding chemicals management, including those that serve to implement international agreements” (OPS, para. 16d). The OPS also provides that “in developing and implementing the Strategic Approach and the Global Plan of Action, Governments and other stakeholders should be guided by</w:t>
      </w:r>
      <w:proofErr w:type="gramStart"/>
      <w:r w:rsidRPr="00805BB5">
        <w:rPr>
          <w:szCs w:val="18"/>
          <w:lang w:val="en-US"/>
        </w:rPr>
        <w:t>…..</w:t>
      </w:r>
      <w:proofErr w:type="gramEnd"/>
      <w:r w:rsidRPr="00805BB5">
        <w:rPr>
          <w:szCs w:val="18"/>
          <w:lang w:val="en-US"/>
        </w:rPr>
        <w:t xml:space="preserve">the following agreements, where applicable to them: </w:t>
      </w:r>
      <w:proofErr w:type="spellStart"/>
      <w:r w:rsidRPr="00805BB5">
        <w:rPr>
          <w:szCs w:val="18"/>
          <w:lang w:val="en-US"/>
        </w:rPr>
        <w:t>i</w:t>
      </w:r>
      <w:proofErr w:type="spellEnd"/>
      <w:r w:rsidRPr="00805BB5">
        <w:rPr>
          <w:szCs w:val="18"/>
          <w:lang w:val="en-US"/>
        </w:rPr>
        <w:t xml:space="preserve">. Montreal Protocol; ii. Basel Convention; iii. </w:t>
      </w:r>
      <w:r w:rsidRPr="0007419A">
        <w:rPr>
          <w:szCs w:val="18"/>
          <w:lang w:val="en-US"/>
        </w:rPr>
        <w:t>Rotterdam</w:t>
      </w:r>
      <w:r w:rsidRPr="00805BB5">
        <w:rPr>
          <w:szCs w:val="18"/>
          <w:lang w:val="en-US"/>
        </w:rPr>
        <w:t xml:space="preserve"> Convention; iv. Stockholm Convention; v. ILO Convention No. 170 concerning safety in the use of chemicals at work.” (OPS, para. 20).</w:t>
      </w:r>
    </w:p>
  </w:footnote>
  <w:footnote w:id="15">
    <w:p w14:paraId="64B24270" w14:textId="77777777" w:rsidR="00805BB5" w:rsidRPr="00805BB5" w:rsidRDefault="00805BB5" w:rsidP="00805BB5">
      <w:pPr>
        <w:pStyle w:val="FootnoteText"/>
        <w:spacing w:after="20"/>
        <w:ind w:left="1276"/>
        <w:rPr>
          <w:lang w:val="en-US"/>
        </w:rPr>
      </w:pPr>
      <w:r w:rsidRPr="006E3360">
        <w:rPr>
          <w:rStyle w:val="FootnoteReference"/>
        </w:rPr>
        <w:footnoteRef/>
      </w:r>
      <w:r w:rsidRPr="00805BB5">
        <w:rPr>
          <w:szCs w:val="18"/>
          <w:lang w:val="en-US"/>
        </w:rPr>
        <w:t xml:space="preserve"> </w:t>
      </w:r>
      <w:r w:rsidRPr="006E3360">
        <w:rPr>
          <w:szCs w:val="18"/>
          <w:lang w:val="en-US"/>
        </w:rPr>
        <w:t xml:space="preserve">One of the 11 basic elements of the OOG is to implement chemicals and wastes-related multilateral environmental agreements, as well as health, </w:t>
      </w:r>
      <w:proofErr w:type="spellStart"/>
      <w:r w:rsidRPr="006E3360">
        <w:rPr>
          <w:szCs w:val="18"/>
          <w:lang w:val="en-US"/>
        </w:rPr>
        <w:t>labour</w:t>
      </w:r>
      <w:proofErr w:type="spellEnd"/>
      <w:r w:rsidRPr="006E3360">
        <w:rPr>
          <w:szCs w:val="18"/>
          <w:lang w:val="en-US"/>
        </w:rPr>
        <w:t xml:space="preserve"> and other relevant conventions and </w:t>
      </w:r>
      <w:r w:rsidRPr="00805BB5">
        <w:rPr>
          <w:szCs w:val="18"/>
          <w:lang w:val="en-US"/>
        </w:rPr>
        <w:t>voluntary</w:t>
      </w:r>
      <w:r w:rsidRPr="006E3360">
        <w:rPr>
          <w:szCs w:val="18"/>
          <w:lang w:val="en-US"/>
        </w:rPr>
        <w:t xml:space="preserve"> mechanisms (OOG, para. 19).</w:t>
      </w:r>
    </w:p>
  </w:footnote>
  <w:footnote w:id="16">
    <w:p w14:paraId="25ABC0B8" w14:textId="77777777" w:rsidR="00805BB5" w:rsidRPr="00805BB5" w:rsidRDefault="00805BB5" w:rsidP="00805BB5">
      <w:pPr>
        <w:pStyle w:val="FootnoteText"/>
        <w:spacing w:after="20"/>
        <w:ind w:left="1276"/>
        <w:rPr>
          <w:szCs w:val="18"/>
          <w:lang w:val="en-US"/>
        </w:rPr>
      </w:pPr>
      <w:r w:rsidRPr="006E3360">
        <w:rPr>
          <w:rStyle w:val="FootnoteReference"/>
        </w:rPr>
        <w:footnoteRef/>
      </w:r>
      <w:r w:rsidRPr="00805BB5">
        <w:rPr>
          <w:szCs w:val="18"/>
          <w:lang w:val="en-US"/>
        </w:rPr>
        <w:t xml:space="preserve"> See the 2013 synergies omnibus decisions (</w:t>
      </w:r>
      <w:proofErr w:type="gramStart"/>
      <w:r w:rsidRPr="0007419A">
        <w:rPr>
          <w:szCs w:val="18"/>
          <w:lang w:val="en-US"/>
        </w:rPr>
        <w:t>BC</w:t>
      </w:r>
      <w:r w:rsidRPr="00805BB5">
        <w:rPr>
          <w:szCs w:val="18"/>
          <w:lang w:val="en-US"/>
        </w:rPr>
        <w:t>.Ex</w:t>
      </w:r>
      <w:proofErr w:type="gramEnd"/>
      <w:r w:rsidRPr="00805BB5">
        <w:rPr>
          <w:szCs w:val="18"/>
          <w:lang w:val="en-US"/>
        </w:rPr>
        <w:t xml:space="preserve">-2/1, RC.Ex-2/1 and SC.Ex-2/1); the 2015 COPs decisions on international cooperation and coordination (BC-12/17, RC-7/9 and SC-7/27).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3A8F4" w14:textId="06E5609B" w:rsidR="00D55018" w:rsidRDefault="00805BB5" w:rsidP="00D55018">
    <w:pPr>
      <w:pStyle w:val="Header"/>
      <w:jc w:val="right"/>
    </w:pPr>
    <w:r>
      <w:rPr>
        <w:rFonts w:ascii="Times New Roman" w:eastAsia="Times New Roman" w:hAnsi="Times New Roman" w:cs="Times New Roman"/>
        <w:sz w:val="20"/>
        <w:szCs w:val="20"/>
        <w:lang w:val="en-GB" w:eastAsia="en-US"/>
      </w:rPr>
      <w:t>SAICM/IP.2/INF.4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82285" w14:textId="5BF64AEE" w:rsidR="00E468D6" w:rsidRDefault="00805BB5" w:rsidP="00D55018">
    <w:pPr>
      <w:pStyle w:val="Header"/>
    </w:pPr>
    <w:r>
      <w:rPr>
        <w:rFonts w:ascii="Times New Roman" w:eastAsia="Times New Roman" w:hAnsi="Times New Roman" w:cs="Times New Roman"/>
        <w:sz w:val="20"/>
        <w:szCs w:val="20"/>
        <w:lang w:val="en-GB" w:eastAsia="en-US"/>
      </w:rPr>
      <w:t>SAICM/IP.2/INF.4</w:t>
    </w:r>
  </w:p>
  <w:p w14:paraId="666BB1DC" w14:textId="2E0415DD" w:rsidR="00E468D6" w:rsidRPr="00826FE5" w:rsidRDefault="00E468D6" w:rsidP="00862E77">
    <w:pPr>
      <w:pStyle w:val="Normal-pool"/>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D5D55"/>
    <w:multiLevelType w:val="hybridMultilevel"/>
    <w:tmpl w:val="B6182C24"/>
    <w:lvl w:ilvl="0" w:tplc="04090015">
      <w:start w:val="1"/>
      <w:numFmt w:val="upperLetter"/>
      <w:lvlText w:val="%1."/>
      <w:lvlJc w:val="left"/>
      <w:pPr>
        <w:ind w:left="1287" w:hanging="360"/>
      </w:pPr>
    </w:lvl>
    <w:lvl w:ilvl="1" w:tplc="100C0019" w:tentative="1">
      <w:start w:val="1"/>
      <w:numFmt w:val="lowerLetter"/>
      <w:lvlText w:val="%2."/>
      <w:lvlJc w:val="left"/>
      <w:pPr>
        <w:ind w:left="2007" w:hanging="360"/>
      </w:pPr>
    </w:lvl>
    <w:lvl w:ilvl="2" w:tplc="100C001B" w:tentative="1">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abstractNum w:abstractNumId="1" w15:restartNumberingAfterBreak="0">
    <w:nsid w:val="07015CD9"/>
    <w:multiLevelType w:val="hybridMultilevel"/>
    <w:tmpl w:val="6C321DA2"/>
    <w:lvl w:ilvl="0" w:tplc="2E06F112">
      <w:start w:val="1"/>
      <w:numFmt w:val="upperRoman"/>
      <w:lvlText w:val="%1."/>
      <w:lvlJc w:val="right"/>
      <w:pPr>
        <w:ind w:left="1647" w:hanging="360"/>
      </w:pPr>
    </w:lvl>
    <w:lvl w:ilvl="1" w:tplc="100C0019" w:tentative="1">
      <w:start w:val="1"/>
      <w:numFmt w:val="lowerLetter"/>
      <w:lvlText w:val="%2."/>
      <w:lvlJc w:val="left"/>
      <w:pPr>
        <w:ind w:left="2367" w:hanging="360"/>
      </w:pPr>
    </w:lvl>
    <w:lvl w:ilvl="2" w:tplc="100C001B" w:tentative="1">
      <w:start w:val="1"/>
      <w:numFmt w:val="lowerRoman"/>
      <w:lvlText w:val="%3."/>
      <w:lvlJc w:val="right"/>
      <w:pPr>
        <w:ind w:left="3087" w:hanging="180"/>
      </w:pPr>
    </w:lvl>
    <w:lvl w:ilvl="3" w:tplc="100C000F" w:tentative="1">
      <w:start w:val="1"/>
      <w:numFmt w:val="decimal"/>
      <w:lvlText w:val="%4."/>
      <w:lvlJc w:val="left"/>
      <w:pPr>
        <w:ind w:left="3807" w:hanging="360"/>
      </w:pPr>
    </w:lvl>
    <w:lvl w:ilvl="4" w:tplc="100C0019" w:tentative="1">
      <w:start w:val="1"/>
      <w:numFmt w:val="lowerLetter"/>
      <w:lvlText w:val="%5."/>
      <w:lvlJc w:val="left"/>
      <w:pPr>
        <w:ind w:left="4527" w:hanging="360"/>
      </w:pPr>
    </w:lvl>
    <w:lvl w:ilvl="5" w:tplc="100C001B" w:tentative="1">
      <w:start w:val="1"/>
      <w:numFmt w:val="lowerRoman"/>
      <w:lvlText w:val="%6."/>
      <w:lvlJc w:val="right"/>
      <w:pPr>
        <w:ind w:left="5247" w:hanging="180"/>
      </w:pPr>
    </w:lvl>
    <w:lvl w:ilvl="6" w:tplc="100C000F" w:tentative="1">
      <w:start w:val="1"/>
      <w:numFmt w:val="decimal"/>
      <w:lvlText w:val="%7."/>
      <w:lvlJc w:val="left"/>
      <w:pPr>
        <w:ind w:left="5967" w:hanging="360"/>
      </w:pPr>
    </w:lvl>
    <w:lvl w:ilvl="7" w:tplc="100C0019" w:tentative="1">
      <w:start w:val="1"/>
      <w:numFmt w:val="lowerLetter"/>
      <w:lvlText w:val="%8."/>
      <w:lvlJc w:val="left"/>
      <w:pPr>
        <w:ind w:left="6687" w:hanging="360"/>
      </w:pPr>
    </w:lvl>
    <w:lvl w:ilvl="8" w:tplc="100C001B" w:tentative="1">
      <w:start w:val="1"/>
      <w:numFmt w:val="lowerRoman"/>
      <w:lvlText w:val="%9."/>
      <w:lvlJc w:val="right"/>
      <w:pPr>
        <w:ind w:left="7407" w:hanging="180"/>
      </w:pPr>
    </w:lvl>
  </w:abstractNum>
  <w:abstractNum w:abstractNumId="2" w15:restartNumberingAfterBreak="0">
    <w:nsid w:val="10E67925"/>
    <w:multiLevelType w:val="hybridMultilevel"/>
    <w:tmpl w:val="F0601EBC"/>
    <w:lvl w:ilvl="0" w:tplc="0C542FE2">
      <w:start w:val="1"/>
      <w:numFmt w:val="lowerLetter"/>
      <w:lvlText w:val="(%1)"/>
      <w:lvlJc w:val="left"/>
      <w:pPr>
        <w:ind w:left="2160" w:hanging="360"/>
      </w:pPr>
      <w:rPr>
        <w:rFonts w:hint="default"/>
      </w:rPr>
    </w:lvl>
    <w:lvl w:ilvl="1" w:tplc="100C0003" w:tentative="1">
      <w:start w:val="1"/>
      <w:numFmt w:val="bullet"/>
      <w:lvlText w:val="o"/>
      <w:lvlJc w:val="left"/>
      <w:pPr>
        <w:ind w:left="2880" w:hanging="360"/>
      </w:pPr>
      <w:rPr>
        <w:rFonts w:ascii="Courier New" w:hAnsi="Courier New" w:cs="Courier New" w:hint="default"/>
      </w:rPr>
    </w:lvl>
    <w:lvl w:ilvl="2" w:tplc="100C0005" w:tentative="1">
      <w:start w:val="1"/>
      <w:numFmt w:val="bullet"/>
      <w:lvlText w:val=""/>
      <w:lvlJc w:val="left"/>
      <w:pPr>
        <w:ind w:left="3600" w:hanging="360"/>
      </w:pPr>
      <w:rPr>
        <w:rFonts w:ascii="Wingdings" w:hAnsi="Wingdings" w:hint="default"/>
      </w:rPr>
    </w:lvl>
    <w:lvl w:ilvl="3" w:tplc="100C0001" w:tentative="1">
      <w:start w:val="1"/>
      <w:numFmt w:val="bullet"/>
      <w:lvlText w:val=""/>
      <w:lvlJc w:val="left"/>
      <w:pPr>
        <w:ind w:left="4320" w:hanging="360"/>
      </w:pPr>
      <w:rPr>
        <w:rFonts w:ascii="Symbol" w:hAnsi="Symbol" w:hint="default"/>
      </w:rPr>
    </w:lvl>
    <w:lvl w:ilvl="4" w:tplc="100C0003" w:tentative="1">
      <w:start w:val="1"/>
      <w:numFmt w:val="bullet"/>
      <w:lvlText w:val="o"/>
      <w:lvlJc w:val="left"/>
      <w:pPr>
        <w:ind w:left="5040" w:hanging="360"/>
      </w:pPr>
      <w:rPr>
        <w:rFonts w:ascii="Courier New" w:hAnsi="Courier New" w:cs="Courier New" w:hint="default"/>
      </w:rPr>
    </w:lvl>
    <w:lvl w:ilvl="5" w:tplc="100C0005" w:tentative="1">
      <w:start w:val="1"/>
      <w:numFmt w:val="bullet"/>
      <w:lvlText w:val=""/>
      <w:lvlJc w:val="left"/>
      <w:pPr>
        <w:ind w:left="5760" w:hanging="360"/>
      </w:pPr>
      <w:rPr>
        <w:rFonts w:ascii="Wingdings" w:hAnsi="Wingdings" w:hint="default"/>
      </w:rPr>
    </w:lvl>
    <w:lvl w:ilvl="6" w:tplc="100C0001" w:tentative="1">
      <w:start w:val="1"/>
      <w:numFmt w:val="bullet"/>
      <w:lvlText w:val=""/>
      <w:lvlJc w:val="left"/>
      <w:pPr>
        <w:ind w:left="6480" w:hanging="360"/>
      </w:pPr>
      <w:rPr>
        <w:rFonts w:ascii="Symbol" w:hAnsi="Symbol" w:hint="default"/>
      </w:rPr>
    </w:lvl>
    <w:lvl w:ilvl="7" w:tplc="100C0003" w:tentative="1">
      <w:start w:val="1"/>
      <w:numFmt w:val="bullet"/>
      <w:lvlText w:val="o"/>
      <w:lvlJc w:val="left"/>
      <w:pPr>
        <w:ind w:left="7200" w:hanging="360"/>
      </w:pPr>
      <w:rPr>
        <w:rFonts w:ascii="Courier New" w:hAnsi="Courier New" w:cs="Courier New" w:hint="default"/>
      </w:rPr>
    </w:lvl>
    <w:lvl w:ilvl="8" w:tplc="100C0005" w:tentative="1">
      <w:start w:val="1"/>
      <w:numFmt w:val="bullet"/>
      <w:lvlText w:val=""/>
      <w:lvlJc w:val="left"/>
      <w:pPr>
        <w:ind w:left="7920" w:hanging="360"/>
      </w:pPr>
      <w:rPr>
        <w:rFonts w:ascii="Wingdings" w:hAnsi="Wingdings" w:hint="default"/>
      </w:rPr>
    </w:lvl>
  </w:abstractNum>
  <w:abstractNum w:abstractNumId="3" w15:restartNumberingAfterBreak="0">
    <w:nsid w:val="196C7009"/>
    <w:multiLevelType w:val="hybridMultilevel"/>
    <w:tmpl w:val="D2080F64"/>
    <w:lvl w:ilvl="0" w:tplc="0409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B571867"/>
    <w:multiLevelType w:val="singleLevel"/>
    <w:tmpl w:val="A2E252AA"/>
    <w:lvl w:ilvl="0">
      <w:start w:val="1"/>
      <w:numFmt w:val="upperRoman"/>
      <w:pStyle w:val="Heading8"/>
      <w:lvlText w:val="%1."/>
      <w:lvlJc w:val="left"/>
      <w:pPr>
        <w:tabs>
          <w:tab w:val="num" w:pos="720"/>
        </w:tabs>
        <w:ind w:left="720" w:hanging="720"/>
      </w:pPr>
      <w:rPr>
        <w:rFonts w:hint="default"/>
      </w:rPr>
    </w:lvl>
  </w:abstractNum>
  <w:abstractNum w:abstractNumId="5" w15:restartNumberingAfterBreak="0">
    <w:nsid w:val="35571603"/>
    <w:multiLevelType w:val="singleLevel"/>
    <w:tmpl w:val="2868AC2A"/>
    <w:lvl w:ilvl="0">
      <w:start w:val="6"/>
      <w:numFmt w:val="upperLetter"/>
      <w:pStyle w:val="Heading9"/>
      <w:lvlText w:val="%1."/>
      <w:lvlJc w:val="left"/>
      <w:pPr>
        <w:tabs>
          <w:tab w:val="num" w:pos="360"/>
        </w:tabs>
        <w:ind w:left="360" w:hanging="360"/>
      </w:pPr>
      <w:rPr>
        <w:rFonts w:hint="default"/>
      </w:rPr>
    </w:lvl>
  </w:abstractNum>
  <w:abstractNum w:abstractNumId="6" w15:restartNumberingAfterBreak="0">
    <w:nsid w:val="40826C92"/>
    <w:multiLevelType w:val="hybridMultilevel"/>
    <w:tmpl w:val="CA907550"/>
    <w:lvl w:ilvl="0" w:tplc="09A8D79C">
      <w:start w:val="1"/>
      <w:numFmt w:val="decimal"/>
      <w:lvlText w:val="%1."/>
      <w:lvlJc w:val="left"/>
      <w:pPr>
        <w:ind w:left="7014" w:hanging="360"/>
      </w:pPr>
      <w:rPr>
        <w:rFonts w:hint="default"/>
      </w:rPr>
    </w:lvl>
    <w:lvl w:ilvl="1" w:tplc="04090019" w:tentative="1">
      <w:start w:val="1"/>
      <w:numFmt w:val="lowerLetter"/>
      <w:lvlText w:val="%2."/>
      <w:lvlJc w:val="left"/>
      <w:pPr>
        <w:ind w:left="7734" w:hanging="360"/>
      </w:pPr>
    </w:lvl>
    <w:lvl w:ilvl="2" w:tplc="0409001B" w:tentative="1">
      <w:start w:val="1"/>
      <w:numFmt w:val="lowerRoman"/>
      <w:lvlText w:val="%3."/>
      <w:lvlJc w:val="right"/>
      <w:pPr>
        <w:ind w:left="8454" w:hanging="180"/>
      </w:pPr>
    </w:lvl>
    <w:lvl w:ilvl="3" w:tplc="0409000F" w:tentative="1">
      <w:start w:val="1"/>
      <w:numFmt w:val="decimal"/>
      <w:lvlText w:val="%4."/>
      <w:lvlJc w:val="left"/>
      <w:pPr>
        <w:ind w:left="9174" w:hanging="360"/>
      </w:pPr>
    </w:lvl>
    <w:lvl w:ilvl="4" w:tplc="04090019" w:tentative="1">
      <w:start w:val="1"/>
      <w:numFmt w:val="lowerLetter"/>
      <w:lvlText w:val="%5."/>
      <w:lvlJc w:val="left"/>
      <w:pPr>
        <w:ind w:left="9894" w:hanging="360"/>
      </w:pPr>
    </w:lvl>
    <w:lvl w:ilvl="5" w:tplc="0409001B" w:tentative="1">
      <w:start w:val="1"/>
      <w:numFmt w:val="lowerRoman"/>
      <w:lvlText w:val="%6."/>
      <w:lvlJc w:val="right"/>
      <w:pPr>
        <w:ind w:left="10614" w:hanging="180"/>
      </w:pPr>
    </w:lvl>
    <w:lvl w:ilvl="6" w:tplc="0409000F" w:tentative="1">
      <w:start w:val="1"/>
      <w:numFmt w:val="decimal"/>
      <w:lvlText w:val="%7."/>
      <w:lvlJc w:val="left"/>
      <w:pPr>
        <w:ind w:left="11334" w:hanging="360"/>
      </w:pPr>
    </w:lvl>
    <w:lvl w:ilvl="7" w:tplc="04090019" w:tentative="1">
      <w:start w:val="1"/>
      <w:numFmt w:val="lowerLetter"/>
      <w:lvlText w:val="%8."/>
      <w:lvlJc w:val="left"/>
      <w:pPr>
        <w:ind w:left="12054" w:hanging="360"/>
      </w:pPr>
    </w:lvl>
    <w:lvl w:ilvl="8" w:tplc="0409001B" w:tentative="1">
      <w:start w:val="1"/>
      <w:numFmt w:val="lowerRoman"/>
      <w:lvlText w:val="%9."/>
      <w:lvlJc w:val="right"/>
      <w:pPr>
        <w:ind w:left="12774" w:hanging="180"/>
      </w:pPr>
    </w:lvl>
  </w:abstractNum>
  <w:abstractNum w:abstractNumId="7" w15:restartNumberingAfterBreak="0">
    <w:nsid w:val="52A66A9D"/>
    <w:multiLevelType w:val="multilevel"/>
    <w:tmpl w:val="D07A6E4C"/>
    <w:styleLink w:val="Normallist"/>
    <w:lvl w:ilvl="0">
      <w:start w:val="1"/>
      <w:numFmt w:val="decimal"/>
      <w:pStyle w:val="Normalnumber"/>
      <w:lvlText w:val="%1."/>
      <w:lvlJc w:val="left"/>
      <w:pPr>
        <w:tabs>
          <w:tab w:val="num" w:pos="1134"/>
        </w:tabs>
        <w:ind w:left="1247" w:firstLine="0"/>
      </w:pPr>
      <w:rPr>
        <w:rFonts w:hint="default"/>
      </w:rPr>
    </w:lvl>
    <w:lvl w:ilvl="1">
      <w:start w:val="1"/>
      <w:numFmt w:val="lowerLetter"/>
      <w:lvlText w:val="(%2)"/>
      <w:lvlJc w:val="left"/>
      <w:pPr>
        <w:tabs>
          <w:tab w:val="num" w:pos="1134"/>
        </w:tabs>
        <w:ind w:left="1247" w:firstLine="567"/>
      </w:pPr>
      <w:rPr>
        <w:rFonts w:hint="default"/>
      </w:rPr>
    </w:lvl>
    <w:lvl w:ilvl="2">
      <w:start w:val="1"/>
      <w:numFmt w:val="lowerRoman"/>
      <w:lvlText w:val="(%3)"/>
      <w:lvlJc w:val="left"/>
      <w:pPr>
        <w:tabs>
          <w:tab w:val="num" w:pos="1134"/>
        </w:tabs>
        <w:ind w:left="2948" w:hanging="567"/>
      </w:pPr>
      <w:rPr>
        <w:rFonts w:hint="default"/>
      </w:rPr>
    </w:lvl>
    <w:lvl w:ilvl="3">
      <w:start w:val="1"/>
      <w:numFmt w:val="lowerLetter"/>
      <w:lvlText w:val="%4."/>
      <w:lvlJc w:val="left"/>
      <w:pPr>
        <w:tabs>
          <w:tab w:val="num" w:pos="1134"/>
        </w:tabs>
        <w:ind w:left="3515" w:hanging="567"/>
      </w:pPr>
      <w:rPr>
        <w:rFonts w:hint="default"/>
      </w:rPr>
    </w:lvl>
    <w:lvl w:ilvl="4">
      <w:start w:val="1"/>
      <w:numFmt w:val="lowerRoman"/>
      <w:lvlText w:val="%5."/>
      <w:lvlJc w:val="left"/>
      <w:pPr>
        <w:tabs>
          <w:tab w:val="num" w:pos="1134"/>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8" w15:restartNumberingAfterBreak="0">
    <w:nsid w:val="5529437D"/>
    <w:multiLevelType w:val="hybridMultilevel"/>
    <w:tmpl w:val="F0601EBC"/>
    <w:lvl w:ilvl="0" w:tplc="0C542FE2">
      <w:start w:val="1"/>
      <w:numFmt w:val="lowerLetter"/>
      <w:lvlText w:val="(%1)"/>
      <w:lvlJc w:val="left"/>
      <w:pPr>
        <w:ind w:left="2160" w:hanging="360"/>
      </w:pPr>
      <w:rPr>
        <w:rFonts w:hint="default"/>
      </w:rPr>
    </w:lvl>
    <w:lvl w:ilvl="1" w:tplc="100C0003" w:tentative="1">
      <w:start w:val="1"/>
      <w:numFmt w:val="bullet"/>
      <w:lvlText w:val="o"/>
      <w:lvlJc w:val="left"/>
      <w:pPr>
        <w:ind w:left="2880" w:hanging="360"/>
      </w:pPr>
      <w:rPr>
        <w:rFonts w:ascii="Courier New" w:hAnsi="Courier New" w:cs="Courier New" w:hint="default"/>
      </w:rPr>
    </w:lvl>
    <w:lvl w:ilvl="2" w:tplc="100C0005" w:tentative="1">
      <w:start w:val="1"/>
      <w:numFmt w:val="bullet"/>
      <w:lvlText w:val=""/>
      <w:lvlJc w:val="left"/>
      <w:pPr>
        <w:ind w:left="3600" w:hanging="360"/>
      </w:pPr>
      <w:rPr>
        <w:rFonts w:ascii="Wingdings" w:hAnsi="Wingdings" w:hint="default"/>
      </w:rPr>
    </w:lvl>
    <w:lvl w:ilvl="3" w:tplc="100C0001" w:tentative="1">
      <w:start w:val="1"/>
      <w:numFmt w:val="bullet"/>
      <w:lvlText w:val=""/>
      <w:lvlJc w:val="left"/>
      <w:pPr>
        <w:ind w:left="4320" w:hanging="360"/>
      </w:pPr>
      <w:rPr>
        <w:rFonts w:ascii="Symbol" w:hAnsi="Symbol" w:hint="default"/>
      </w:rPr>
    </w:lvl>
    <w:lvl w:ilvl="4" w:tplc="100C0003" w:tentative="1">
      <w:start w:val="1"/>
      <w:numFmt w:val="bullet"/>
      <w:lvlText w:val="o"/>
      <w:lvlJc w:val="left"/>
      <w:pPr>
        <w:ind w:left="5040" w:hanging="360"/>
      </w:pPr>
      <w:rPr>
        <w:rFonts w:ascii="Courier New" w:hAnsi="Courier New" w:cs="Courier New" w:hint="default"/>
      </w:rPr>
    </w:lvl>
    <w:lvl w:ilvl="5" w:tplc="100C0005" w:tentative="1">
      <w:start w:val="1"/>
      <w:numFmt w:val="bullet"/>
      <w:lvlText w:val=""/>
      <w:lvlJc w:val="left"/>
      <w:pPr>
        <w:ind w:left="5760" w:hanging="360"/>
      </w:pPr>
      <w:rPr>
        <w:rFonts w:ascii="Wingdings" w:hAnsi="Wingdings" w:hint="default"/>
      </w:rPr>
    </w:lvl>
    <w:lvl w:ilvl="6" w:tplc="100C0001" w:tentative="1">
      <w:start w:val="1"/>
      <w:numFmt w:val="bullet"/>
      <w:lvlText w:val=""/>
      <w:lvlJc w:val="left"/>
      <w:pPr>
        <w:ind w:left="6480" w:hanging="360"/>
      </w:pPr>
      <w:rPr>
        <w:rFonts w:ascii="Symbol" w:hAnsi="Symbol" w:hint="default"/>
      </w:rPr>
    </w:lvl>
    <w:lvl w:ilvl="7" w:tplc="100C0003" w:tentative="1">
      <w:start w:val="1"/>
      <w:numFmt w:val="bullet"/>
      <w:lvlText w:val="o"/>
      <w:lvlJc w:val="left"/>
      <w:pPr>
        <w:ind w:left="7200" w:hanging="360"/>
      </w:pPr>
      <w:rPr>
        <w:rFonts w:ascii="Courier New" w:hAnsi="Courier New" w:cs="Courier New" w:hint="default"/>
      </w:rPr>
    </w:lvl>
    <w:lvl w:ilvl="8" w:tplc="100C0005" w:tentative="1">
      <w:start w:val="1"/>
      <w:numFmt w:val="bullet"/>
      <w:lvlText w:val=""/>
      <w:lvlJc w:val="left"/>
      <w:pPr>
        <w:ind w:left="7920" w:hanging="360"/>
      </w:pPr>
      <w:rPr>
        <w:rFonts w:ascii="Wingdings" w:hAnsi="Wingdings" w:hint="default"/>
      </w:rPr>
    </w:lvl>
  </w:abstractNum>
  <w:abstractNum w:abstractNumId="9" w15:restartNumberingAfterBreak="0">
    <w:nsid w:val="597A7407"/>
    <w:multiLevelType w:val="hybridMultilevel"/>
    <w:tmpl w:val="F6105634"/>
    <w:lvl w:ilvl="0" w:tplc="0C542FE2">
      <w:start w:val="1"/>
      <w:numFmt w:val="lowerLetter"/>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695F31FA"/>
    <w:multiLevelType w:val="hybridMultilevel"/>
    <w:tmpl w:val="F0601EBC"/>
    <w:lvl w:ilvl="0" w:tplc="0C542FE2">
      <w:start w:val="1"/>
      <w:numFmt w:val="lowerLetter"/>
      <w:lvlText w:val="(%1)"/>
      <w:lvlJc w:val="left"/>
      <w:pPr>
        <w:ind w:left="2160" w:hanging="360"/>
      </w:pPr>
      <w:rPr>
        <w:rFonts w:hint="default"/>
      </w:rPr>
    </w:lvl>
    <w:lvl w:ilvl="1" w:tplc="100C0003" w:tentative="1">
      <w:start w:val="1"/>
      <w:numFmt w:val="bullet"/>
      <w:lvlText w:val="o"/>
      <w:lvlJc w:val="left"/>
      <w:pPr>
        <w:ind w:left="2880" w:hanging="360"/>
      </w:pPr>
      <w:rPr>
        <w:rFonts w:ascii="Courier New" w:hAnsi="Courier New" w:cs="Courier New" w:hint="default"/>
      </w:rPr>
    </w:lvl>
    <w:lvl w:ilvl="2" w:tplc="100C0005" w:tentative="1">
      <w:start w:val="1"/>
      <w:numFmt w:val="bullet"/>
      <w:lvlText w:val=""/>
      <w:lvlJc w:val="left"/>
      <w:pPr>
        <w:ind w:left="3600" w:hanging="360"/>
      </w:pPr>
      <w:rPr>
        <w:rFonts w:ascii="Wingdings" w:hAnsi="Wingdings" w:hint="default"/>
      </w:rPr>
    </w:lvl>
    <w:lvl w:ilvl="3" w:tplc="100C0001" w:tentative="1">
      <w:start w:val="1"/>
      <w:numFmt w:val="bullet"/>
      <w:lvlText w:val=""/>
      <w:lvlJc w:val="left"/>
      <w:pPr>
        <w:ind w:left="4320" w:hanging="360"/>
      </w:pPr>
      <w:rPr>
        <w:rFonts w:ascii="Symbol" w:hAnsi="Symbol" w:hint="default"/>
      </w:rPr>
    </w:lvl>
    <w:lvl w:ilvl="4" w:tplc="100C0003" w:tentative="1">
      <w:start w:val="1"/>
      <w:numFmt w:val="bullet"/>
      <w:lvlText w:val="o"/>
      <w:lvlJc w:val="left"/>
      <w:pPr>
        <w:ind w:left="5040" w:hanging="360"/>
      </w:pPr>
      <w:rPr>
        <w:rFonts w:ascii="Courier New" w:hAnsi="Courier New" w:cs="Courier New" w:hint="default"/>
      </w:rPr>
    </w:lvl>
    <w:lvl w:ilvl="5" w:tplc="100C0005" w:tentative="1">
      <w:start w:val="1"/>
      <w:numFmt w:val="bullet"/>
      <w:lvlText w:val=""/>
      <w:lvlJc w:val="left"/>
      <w:pPr>
        <w:ind w:left="5760" w:hanging="360"/>
      </w:pPr>
      <w:rPr>
        <w:rFonts w:ascii="Wingdings" w:hAnsi="Wingdings" w:hint="default"/>
      </w:rPr>
    </w:lvl>
    <w:lvl w:ilvl="6" w:tplc="100C0001" w:tentative="1">
      <w:start w:val="1"/>
      <w:numFmt w:val="bullet"/>
      <w:lvlText w:val=""/>
      <w:lvlJc w:val="left"/>
      <w:pPr>
        <w:ind w:left="6480" w:hanging="360"/>
      </w:pPr>
      <w:rPr>
        <w:rFonts w:ascii="Symbol" w:hAnsi="Symbol" w:hint="default"/>
      </w:rPr>
    </w:lvl>
    <w:lvl w:ilvl="7" w:tplc="100C0003" w:tentative="1">
      <w:start w:val="1"/>
      <w:numFmt w:val="bullet"/>
      <w:lvlText w:val="o"/>
      <w:lvlJc w:val="left"/>
      <w:pPr>
        <w:ind w:left="7200" w:hanging="360"/>
      </w:pPr>
      <w:rPr>
        <w:rFonts w:ascii="Courier New" w:hAnsi="Courier New" w:cs="Courier New" w:hint="default"/>
      </w:rPr>
    </w:lvl>
    <w:lvl w:ilvl="8" w:tplc="100C0005" w:tentative="1">
      <w:start w:val="1"/>
      <w:numFmt w:val="bullet"/>
      <w:lvlText w:val=""/>
      <w:lvlJc w:val="left"/>
      <w:pPr>
        <w:ind w:left="7920" w:hanging="360"/>
      </w:pPr>
      <w:rPr>
        <w:rFonts w:ascii="Wingdings" w:hAnsi="Wingdings" w:hint="default"/>
      </w:rPr>
    </w:lvl>
  </w:abstractNum>
  <w:abstractNum w:abstractNumId="11" w15:restartNumberingAfterBreak="0">
    <w:nsid w:val="6F427E8C"/>
    <w:multiLevelType w:val="hybridMultilevel"/>
    <w:tmpl w:val="1180A8C0"/>
    <w:lvl w:ilvl="0" w:tplc="C7A0BDB0">
      <w:start w:val="1"/>
      <w:numFmt w:val="decimal"/>
      <w:lvlText w:val="%1."/>
      <w:lvlJc w:val="left"/>
      <w:pPr>
        <w:ind w:left="720" w:hanging="360"/>
      </w:pPr>
      <w:rPr>
        <w:b w:val="0"/>
      </w:rPr>
    </w:lvl>
    <w:lvl w:ilvl="1" w:tplc="388A549A">
      <w:start w:val="1"/>
      <w:numFmt w:val="lowerLetter"/>
      <w:lvlText w:val="(%2)"/>
      <w:lvlJc w:val="left"/>
      <w:pPr>
        <w:ind w:left="1440" w:hanging="360"/>
      </w:pPr>
      <w:rPr>
        <w:rFonts w:hint="default"/>
      </w:r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12" w15:restartNumberingAfterBreak="0">
    <w:nsid w:val="6FFE3CE6"/>
    <w:multiLevelType w:val="hybridMultilevel"/>
    <w:tmpl w:val="F0601EBC"/>
    <w:lvl w:ilvl="0" w:tplc="0C542FE2">
      <w:start w:val="1"/>
      <w:numFmt w:val="lowerLetter"/>
      <w:lvlText w:val="(%1)"/>
      <w:lvlJc w:val="left"/>
      <w:pPr>
        <w:ind w:left="2160" w:hanging="360"/>
      </w:pPr>
      <w:rPr>
        <w:rFonts w:hint="default"/>
      </w:rPr>
    </w:lvl>
    <w:lvl w:ilvl="1" w:tplc="100C0003" w:tentative="1">
      <w:start w:val="1"/>
      <w:numFmt w:val="bullet"/>
      <w:lvlText w:val="o"/>
      <w:lvlJc w:val="left"/>
      <w:pPr>
        <w:ind w:left="2880" w:hanging="360"/>
      </w:pPr>
      <w:rPr>
        <w:rFonts w:ascii="Courier New" w:hAnsi="Courier New" w:cs="Courier New" w:hint="default"/>
      </w:rPr>
    </w:lvl>
    <w:lvl w:ilvl="2" w:tplc="100C0005" w:tentative="1">
      <w:start w:val="1"/>
      <w:numFmt w:val="bullet"/>
      <w:lvlText w:val=""/>
      <w:lvlJc w:val="left"/>
      <w:pPr>
        <w:ind w:left="3600" w:hanging="360"/>
      </w:pPr>
      <w:rPr>
        <w:rFonts w:ascii="Wingdings" w:hAnsi="Wingdings" w:hint="default"/>
      </w:rPr>
    </w:lvl>
    <w:lvl w:ilvl="3" w:tplc="100C0001" w:tentative="1">
      <w:start w:val="1"/>
      <w:numFmt w:val="bullet"/>
      <w:lvlText w:val=""/>
      <w:lvlJc w:val="left"/>
      <w:pPr>
        <w:ind w:left="4320" w:hanging="360"/>
      </w:pPr>
      <w:rPr>
        <w:rFonts w:ascii="Symbol" w:hAnsi="Symbol" w:hint="default"/>
      </w:rPr>
    </w:lvl>
    <w:lvl w:ilvl="4" w:tplc="100C0003" w:tentative="1">
      <w:start w:val="1"/>
      <w:numFmt w:val="bullet"/>
      <w:lvlText w:val="o"/>
      <w:lvlJc w:val="left"/>
      <w:pPr>
        <w:ind w:left="5040" w:hanging="360"/>
      </w:pPr>
      <w:rPr>
        <w:rFonts w:ascii="Courier New" w:hAnsi="Courier New" w:cs="Courier New" w:hint="default"/>
      </w:rPr>
    </w:lvl>
    <w:lvl w:ilvl="5" w:tplc="100C0005" w:tentative="1">
      <w:start w:val="1"/>
      <w:numFmt w:val="bullet"/>
      <w:lvlText w:val=""/>
      <w:lvlJc w:val="left"/>
      <w:pPr>
        <w:ind w:left="5760" w:hanging="360"/>
      </w:pPr>
      <w:rPr>
        <w:rFonts w:ascii="Wingdings" w:hAnsi="Wingdings" w:hint="default"/>
      </w:rPr>
    </w:lvl>
    <w:lvl w:ilvl="6" w:tplc="100C0001" w:tentative="1">
      <w:start w:val="1"/>
      <w:numFmt w:val="bullet"/>
      <w:lvlText w:val=""/>
      <w:lvlJc w:val="left"/>
      <w:pPr>
        <w:ind w:left="6480" w:hanging="360"/>
      </w:pPr>
      <w:rPr>
        <w:rFonts w:ascii="Symbol" w:hAnsi="Symbol" w:hint="default"/>
      </w:rPr>
    </w:lvl>
    <w:lvl w:ilvl="7" w:tplc="100C0003" w:tentative="1">
      <w:start w:val="1"/>
      <w:numFmt w:val="bullet"/>
      <w:lvlText w:val="o"/>
      <w:lvlJc w:val="left"/>
      <w:pPr>
        <w:ind w:left="7200" w:hanging="360"/>
      </w:pPr>
      <w:rPr>
        <w:rFonts w:ascii="Courier New" w:hAnsi="Courier New" w:cs="Courier New" w:hint="default"/>
      </w:rPr>
    </w:lvl>
    <w:lvl w:ilvl="8" w:tplc="100C0005" w:tentative="1">
      <w:start w:val="1"/>
      <w:numFmt w:val="bullet"/>
      <w:lvlText w:val=""/>
      <w:lvlJc w:val="left"/>
      <w:pPr>
        <w:ind w:left="7920" w:hanging="360"/>
      </w:pPr>
      <w:rPr>
        <w:rFonts w:ascii="Wingdings" w:hAnsi="Wingdings" w:hint="default"/>
      </w:rPr>
    </w:lvl>
  </w:abstractNum>
  <w:abstractNum w:abstractNumId="13" w15:restartNumberingAfterBreak="0">
    <w:nsid w:val="79417262"/>
    <w:multiLevelType w:val="hybridMultilevel"/>
    <w:tmpl w:val="F0601EBC"/>
    <w:lvl w:ilvl="0" w:tplc="0C542FE2">
      <w:start w:val="1"/>
      <w:numFmt w:val="lowerLetter"/>
      <w:lvlText w:val="(%1)"/>
      <w:lvlJc w:val="left"/>
      <w:pPr>
        <w:ind w:left="2160" w:hanging="360"/>
      </w:pPr>
      <w:rPr>
        <w:rFonts w:hint="default"/>
      </w:rPr>
    </w:lvl>
    <w:lvl w:ilvl="1" w:tplc="100C0003" w:tentative="1">
      <w:start w:val="1"/>
      <w:numFmt w:val="bullet"/>
      <w:lvlText w:val="o"/>
      <w:lvlJc w:val="left"/>
      <w:pPr>
        <w:ind w:left="2880" w:hanging="360"/>
      </w:pPr>
      <w:rPr>
        <w:rFonts w:ascii="Courier New" w:hAnsi="Courier New" w:cs="Courier New" w:hint="default"/>
      </w:rPr>
    </w:lvl>
    <w:lvl w:ilvl="2" w:tplc="100C0005" w:tentative="1">
      <w:start w:val="1"/>
      <w:numFmt w:val="bullet"/>
      <w:lvlText w:val=""/>
      <w:lvlJc w:val="left"/>
      <w:pPr>
        <w:ind w:left="3600" w:hanging="360"/>
      </w:pPr>
      <w:rPr>
        <w:rFonts w:ascii="Wingdings" w:hAnsi="Wingdings" w:hint="default"/>
      </w:rPr>
    </w:lvl>
    <w:lvl w:ilvl="3" w:tplc="100C0001" w:tentative="1">
      <w:start w:val="1"/>
      <w:numFmt w:val="bullet"/>
      <w:lvlText w:val=""/>
      <w:lvlJc w:val="left"/>
      <w:pPr>
        <w:ind w:left="4320" w:hanging="360"/>
      </w:pPr>
      <w:rPr>
        <w:rFonts w:ascii="Symbol" w:hAnsi="Symbol" w:hint="default"/>
      </w:rPr>
    </w:lvl>
    <w:lvl w:ilvl="4" w:tplc="100C0003" w:tentative="1">
      <w:start w:val="1"/>
      <w:numFmt w:val="bullet"/>
      <w:lvlText w:val="o"/>
      <w:lvlJc w:val="left"/>
      <w:pPr>
        <w:ind w:left="5040" w:hanging="360"/>
      </w:pPr>
      <w:rPr>
        <w:rFonts w:ascii="Courier New" w:hAnsi="Courier New" w:cs="Courier New" w:hint="default"/>
      </w:rPr>
    </w:lvl>
    <w:lvl w:ilvl="5" w:tplc="100C0005" w:tentative="1">
      <w:start w:val="1"/>
      <w:numFmt w:val="bullet"/>
      <w:lvlText w:val=""/>
      <w:lvlJc w:val="left"/>
      <w:pPr>
        <w:ind w:left="5760" w:hanging="360"/>
      </w:pPr>
      <w:rPr>
        <w:rFonts w:ascii="Wingdings" w:hAnsi="Wingdings" w:hint="default"/>
      </w:rPr>
    </w:lvl>
    <w:lvl w:ilvl="6" w:tplc="100C0001" w:tentative="1">
      <w:start w:val="1"/>
      <w:numFmt w:val="bullet"/>
      <w:lvlText w:val=""/>
      <w:lvlJc w:val="left"/>
      <w:pPr>
        <w:ind w:left="6480" w:hanging="360"/>
      </w:pPr>
      <w:rPr>
        <w:rFonts w:ascii="Symbol" w:hAnsi="Symbol" w:hint="default"/>
      </w:rPr>
    </w:lvl>
    <w:lvl w:ilvl="7" w:tplc="100C0003" w:tentative="1">
      <w:start w:val="1"/>
      <w:numFmt w:val="bullet"/>
      <w:lvlText w:val="o"/>
      <w:lvlJc w:val="left"/>
      <w:pPr>
        <w:ind w:left="7200" w:hanging="360"/>
      </w:pPr>
      <w:rPr>
        <w:rFonts w:ascii="Courier New" w:hAnsi="Courier New" w:cs="Courier New" w:hint="default"/>
      </w:rPr>
    </w:lvl>
    <w:lvl w:ilvl="8" w:tplc="100C0005" w:tentative="1">
      <w:start w:val="1"/>
      <w:numFmt w:val="bullet"/>
      <w:lvlText w:val=""/>
      <w:lvlJc w:val="left"/>
      <w:pPr>
        <w:ind w:left="7920" w:hanging="360"/>
      </w:pPr>
      <w:rPr>
        <w:rFonts w:ascii="Wingdings" w:hAnsi="Wingdings" w:hint="default"/>
      </w:rPr>
    </w:lvl>
  </w:abstractNum>
  <w:num w:numId="1">
    <w:abstractNumId w:val="4"/>
  </w:num>
  <w:num w:numId="2">
    <w:abstractNumId w:val="5"/>
  </w:num>
  <w:num w:numId="3">
    <w:abstractNumId w:val="7"/>
  </w:num>
  <w:num w:numId="4">
    <w:abstractNumId w:val="7"/>
  </w:num>
  <w:num w:numId="5">
    <w:abstractNumId w:val="6"/>
  </w:num>
  <w:num w:numId="6">
    <w:abstractNumId w:val="11"/>
  </w:num>
  <w:num w:numId="7">
    <w:abstractNumId w:val="3"/>
  </w:num>
  <w:num w:numId="8">
    <w:abstractNumId w:val="12"/>
  </w:num>
  <w:num w:numId="9">
    <w:abstractNumId w:val="13"/>
  </w:num>
  <w:num w:numId="10">
    <w:abstractNumId w:val="2"/>
  </w:num>
  <w:num w:numId="11">
    <w:abstractNumId w:val="8"/>
  </w:num>
  <w:num w:numId="12">
    <w:abstractNumId w:val="10"/>
  </w:num>
  <w:num w:numId="13">
    <w:abstractNumId w:val="0"/>
  </w:num>
  <w:num w:numId="14">
    <w:abstractNumId w:val="9"/>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6" w:nlCheck="1" w:checkStyle="1"/>
  <w:activeWritingStyle w:appName="MSWord" w:lang="en-US" w:vendorID="64" w:dllVersion="6" w:nlCheck="1" w:checkStyle="0"/>
  <w:activeWritingStyle w:appName="MSWord" w:lang="en-GB" w:vendorID="64" w:dllVersion="6" w:nlCheck="1" w:checkStyle="0"/>
  <w:activeWritingStyle w:appName="MSWord" w:lang="es-E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CH" w:vendorID="64" w:dllVersion="6" w:nlCheck="1" w:checkStyle="0"/>
  <w:activeWritingStyle w:appName="MSWord" w:lang="en-CA" w:vendorID="64" w:dllVersion="6" w:nlCheck="1" w:checkStyle="0"/>
  <w:activeWritingStyle w:appName="MSWord" w:lang="en-GB" w:vendorID="64" w:dllVersion="131078" w:nlCheck="1" w:checkStyle="0"/>
  <w:activeWritingStyle w:appName="MSWord" w:lang="en-US" w:vendorID="64" w:dllVersion="131078" w:nlCheck="1" w:checkStyle="0"/>
  <w:activeWritingStyle w:appName="MSWord" w:lang="en-CA" w:vendorID="64" w:dllVersion="131078" w:nlCheck="1" w:checkStyle="0"/>
  <w:activeWritingStyle w:appName="MSWord" w:lang="fr-FR" w:vendorID="64" w:dllVersion="131078" w:nlCheck="1" w:checkStyle="0"/>
  <w:activeWritingStyle w:appName="MSWord" w:lang="en-ZA" w:vendorID="64" w:dllVersion="131078" w:nlCheck="1" w:checkStyle="0"/>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F7503"/>
    <w:rsid w:val="00000858"/>
    <w:rsid w:val="00006118"/>
    <w:rsid w:val="00010792"/>
    <w:rsid w:val="000108DD"/>
    <w:rsid w:val="000149E6"/>
    <w:rsid w:val="000150A0"/>
    <w:rsid w:val="0001755A"/>
    <w:rsid w:val="0002358B"/>
    <w:rsid w:val="00023A6B"/>
    <w:rsid w:val="000247B0"/>
    <w:rsid w:val="00026997"/>
    <w:rsid w:val="00033E0B"/>
    <w:rsid w:val="00034138"/>
    <w:rsid w:val="00035EDE"/>
    <w:rsid w:val="0003610D"/>
    <w:rsid w:val="000509B4"/>
    <w:rsid w:val="00056093"/>
    <w:rsid w:val="0006035B"/>
    <w:rsid w:val="00060D14"/>
    <w:rsid w:val="00065E48"/>
    <w:rsid w:val="00066A2E"/>
    <w:rsid w:val="00071886"/>
    <w:rsid w:val="00073211"/>
    <w:rsid w:val="000742BC"/>
    <w:rsid w:val="00080C27"/>
    <w:rsid w:val="00081B8C"/>
    <w:rsid w:val="00082A0C"/>
    <w:rsid w:val="00083504"/>
    <w:rsid w:val="00083D80"/>
    <w:rsid w:val="00085A61"/>
    <w:rsid w:val="00090613"/>
    <w:rsid w:val="00090B47"/>
    <w:rsid w:val="00093199"/>
    <w:rsid w:val="0009640C"/>
    <w:rsid w:val="000A1731"/>
    <w:rsid w:val="000A314B"/>
    <w:rsid w:val="000A5938"/>
    <w:rsid w:val="000A6D59"/>
    <w:rsid w:val="000A70A2"/>
    <w:rsid w:val="000B22A2"/>
    <w:rsid w:val="000B27FA"/>
    <w:rsid w:val="000B384D"/>
    <w:rsid w:val="000B47AF"/>
    <w:rsid w:val="000C2A52"/>
    <w:rsid w:val="000D0EFE"/>
    <w:rsid w:val="000D23E0"/>
    <w:rsid w:val="000D33C0"/>
    <w:rsid w:val="000D6941"/>
    <w:rsid w:val="000D72F4"/>
    <w:rsid w:val="000F25B3"/>
    <w:rsid w:val="000F66FC"/>
    <w:rsid w:val="000F69EB"/>
    <w:rsid w:val="00110472"/>
    <w:rsid w:val="00112D3F"/>
    <w:rsid w:val="00113650"/>
    <w:rsid w:val="001202E3"/>
    <w:rsid w:val="00123699"/>
    <w:rsid w:val="00123803"/>
    <w:rsid w:val="001252F9"/>
    <w:rsid w:val="0013059D"/>
    <w:rsid w:val="00141A55"/>
    <w:rsid w:val="001446A3"/>
    <w:rsid w:val="00147973"/>
    <w:rsid w:val="00150239"/>
    <w:rsid w:val="00155395"/>
    <w:rsid w:val="00157E77"/>
    <w:rsid w:val="00157EA8"/>
    <w:rsid w:val="001604D8"/>
    <w:rsid w:val="00160D74"/>
    <w:rsid w:val="00165929"/>
    <w:rsid w:val="00167D02"/>
    <w:rsid w:val="001733EA"/>
    <w:rsid w:val="00181EC8"/>
    <w:rsid w:val="00184349"/>
    <w:rsid w:val="0018709C"/>
    <w:rsid w:val="001872C1"/>
    <w:rsid w:val="0019393C"/>
    <w:rsid w:val="0019515D"/>
    <w:rsid w:val="00195F33"/>
    <w:rsid w:val="00196051"/>
    <w:rsid w:val="001B1617"/>
    <w:rsid w:val="001B1F8D"/>
    <w:rsid w:val="001B45F8"/>
    <w:rsid w:val="001B504B"/>
    <w:rsid w:val="001B5253"/>
    <w:rsid w:val="001B5F45"/>
    <w:rsid w:val="001B64B2"/>
    <w:rsid w:val="001D355B"/>
    <w:rsid w:val="001D3874"/>
    <w:rsid w:val="001D7E75"/>
    <w:rsid w:val="001E4C25"/>
    <w:rsid w:val="001E56D2"/>
    <w:rsid w:val="001E7D56"/>
    <w:rsid w:val="001F32E4"/>
    <w:rsid w:val="001F5F40"/>
    <w:rsid w:val="001F6143"/>
    <w:rsid w:val="001F75DE"/>
    <w:rsid w:val="002001C7"/>
    <w:rsid w:val="00200D58"/>
    <w:rsid w:val="002013BE"/>
    <w:rsid w:val="002063A4"/>
    <w:rsid w:val="00207DD4"/>
    <w:rsid w:val="00210DB3"/>
    <w:rsid w:val="0021145B"/>
    <w:rsid w:val="00211737"/>
    <w:rsid w:val="0021287E"/>
    <w:rsid w:val="00212AB3"/>
    <w:rsid w:val="00212F23"/>
    <w:rsid w:val="00217C34"/>
    <w:rsid w:val="00221E5F"/>
    <w:rsid w:val="00223C18"/>
    <w:rsid w:val="00223FC9"/>
    <w:rsid w:val="002365C0"/>
    <w:rsid w:val="00243D36"/>
    <w:rsid w:val="002440A1"/>
    <w:rsid w:val="00245EEE"/>
    <w:rsid w:val="0024760C"/>
    <w:rsid w:val="00247707"/>
    <w:rsid w:val="00254B79"/>
    <w:rsid w:val="00260078"/>
    <w:rsid w:val="0026018E"/>
    <w:rsid w:val="00261691"/>
    <w:rsid w:val="00262436"/>
    <w:rsid w:val="00273CBA"/>
    <w:rsid w:val="00274586"/>
    <w:rsid w:val="00274BB6"/>
    <w:rsid w:val="00280A83"/>
    <w:rsid w:val="00286740"/>
    <w:rsid w:val="002929D8"/>
    <w:rsid w:val="0029784F"/>
    <w:rsid w:val="002A02EB"/>
    <w:rsid w:val="002A237D"/>
    <w:rsid w:val="002A494E"/>
    <w:rsid w:val="002A4C53"/>
    <w:rsid w:val="002A69CE"/>
    <w:rsid w:val="002A7E18"/>
    <w:rsid w:val="002B0672"/>
    <w:rsid w:val="002B247F"/>
    <w:rsid w:val="002B7733"/>
    <w:rsid w:val="002B7929"/>
    <w:rsid w:val="002C0546"/>
    <w:rsid w:val="002C0CB2"/>
    <w:rsid w:val="002C145D"/>
    <w:rsid w:val="002C1C29"/>
    <w:rsid w:val="002C2C3E"/>
    <w:rsid w:val="002C533E"/>
    <w:rsid w:val="002D027F"/>
    <w:rsid w:val="002D0D9F"/>
    <w:rsid w:val="002D1319"/>
    <w:rsid w:val="002D4DBC"/>
    <w:rsid w:val="002D703C"/>
    <w:rsid w:val="002D7A85"/>
    <w:rsid w:val="002D7B60"/>
    <w:rsid w:val="002E03D8"/>
    <w:rsid w:val="002E16CD"/>
    <w:rsid w:val="002E217A"/>
    <w:rsid w:val="002E7FEE"/>
    <w:rsid w:val="002F1BF0"/>
    <w:rsid w:val="002F36C3"/>
    <w:rsid w:val="002F3FF5"/>
    <w:rsid w:val="002F4761"/>
    <w:rsid w:val="002F5C79"/>
    <w:rsid w:val="002F7839"/>
    <w:rsid w:val="00300A99"/>
    <w:rsid w:val="003019E2"/>
    <w:rsid w:val="00304F87"/>
    <w:rsid w:val="00306948"/>
    <w:rsid w:val="00312931"/>
    <w:rsid w:val="0031413F"/>
    <w:rsid w:val="003148BB"/>
    <w:rsid w:val="00317976"/>
    <w:rsid w:val="00321A89"/>
    <w:rsid w:val="00324520"/>
    <w:rsid w:val="00325D8A"/>
    <w:rsid w:val="003334EC"/>
    <w:rsid w:val="00335342"/>
    <w:rsid w:val="003358B6"/>
    <w:rsid w:val="0034575F"/>
    <w:rsid w:val="003544FB"/>
    <w:rsid w:val="00354BF7"/>
    <w:rsid w:val="00355EA9"/>
    <w:rsid w:val="0035769D"/>
    <w:rsid w:val="003578DE"/>
    <w:rsid w:val="0036046B"/>
    <w:rsid w:val="003728D9"/>
    <w:rsid w:val="00376D3F"/>
    <w:rsid w:val="0038063E"/>
    <w:rsid w:val="00387BB8"/>
    <w:rsid w:val="0039045C"/>
    <w:rsid w:val="00393050"/>
    <w:rsid w:val="00393327"/>
    <w:rsid w:val="00394841"/>
    <w:rsid w:val="00396257"/>
    <w:rsid w:val="00397EB8"/>
    <w:rsid w:val="003A18FD"/>
    <w:rsid w:val="003A3270"/>
    <w:rsid w:val="003A4FD0"/>
    <w:rsid w:val="003A53BF"/>
    <w:rsid w:val="003A54D5"/>
    <w:rsid w:val="003A69D1"/>
    <w:rsid w:val="003A7705"/>
    <w:rsid w:val="003A77F1"/>
    <w:rsid w:val="003B1545"/>
    <w:rsid w:val="003B4A35"/>
    <w:rsid w:val="003B604F"/>
    <w:rsid w:val="003C02E5"/>
    <w:rsid w:val="003C0A8A"/>
    <w:rsid w:val="003C409D"/>
    <w:rsid w:val="003C5BA6"/>
    <w:rsid w:val="003D09B4"/>
    <w:rsid w:val="003D5BC7"/>
    <w:rsid w:val="003D5CD8"/>
    <w:rsid w:val="003D6CB6"/>
    <w:rsid w:val="003E313D"/>
    <w:rsid w:val="003E7624"/>
    <w:rsid w:val="003F0E85"/>
    <w:rsid w:val="003F14EF"/>
    <w:rsid w:val="003F2380"/>
    <w:rsid w:val="00410C55"/>
    <w:rsid w:val="00411D27"/>
    <w:rsid w:val="004142C2"/>
    <w:rsid w:val="00414D81"/>
    <w:rsid w:val="00416854"/>
    <w:rsid w:val="00417725"/>
    <w:rsid w:val="0042013A"/>
    <w:rsid w:val="00420AB3"/>
    <w:rsid w:val="00423FEE"/>
    <w:rsid w:val="00424A23"/>
    <w:rsid w:val="004254D3"/>
    <w:rsid w:val="004266FC"/>
    <w:rsid w:val="00433A08"/>
    <w:rsid w:val="00437F26"/>
    <w:rsid w:val="00444097"/>
    <w:rsid w:val="00444EDD"/>
    <w:rsid w:val="00445487"/>
    <w:rsid w:val="00445967"/>
    <w:rsid w:val="004471BD"/>
    <w:rsid w:val="004528BA"/>
    <w:rsid w:val="00452A02"/>
    <w:rsid w:val="00454769"/>
    <w:rsid w:val="004549F3"/>
    <w:rsid w:val="00454A23"/>
    <w:rsid w:val="00462FDD"/>
    <w:rsid w:val="00465924"/>
    <w:rsid w:val="00466991"/>
    <w:rsid w:val="0047064C"/>
    <w:rsid w:val="00473EA9"/>
    <w:rsid w:val="00490115"/>
    <w:rsid w:val="00491579"/>
    <w:rsid w:val="004958AA"/>
    <w:rsid w:val="00496588"/>
    <w:rsid w:val="004A3926"/>
    <w:rsid w:val="004A42E1"/>
    <w:rsid w:val="004A5C16"/>
    <w:rsid w:val="004B162C"/>
    <w:rsid w:val="004B1FCE"/>
    <w:rsid w:val="004B2B86"/>
    <w:rsid w:val="004B2CBA"/>
    <w:rsid w:val="004B5021"/>
    <w:rsid w:val="004C15DE"/>
    <w:rsid w:val="004C2CCC"/>
    <w:rsid w:val="004C3DBE"/>
    <w:rsid w:val="004C5C96"/>
    <w:rsid w:val="004D06A4"/>
    <w:rsid w:val="004E2396"/>
    <w:rsid w:val="004E4B83"/>
    <w:rsid w:val="004E5852"/>
    <w:rsid w:val="004F07DC"/>
    <w:rsid w:val="004F1A81"/>
    <w:rsid w:val="004F4B9A"/>
    <w:rsid w:val="0050434B"/>
    <w:rsid w:val="0051759F"/>
    <w:rsid w:val="00517FD3"/>
    <w:rsid w:val="005218D9"/>
    <w:rsid w:val="00522A1F"/>
    <w:rsid w:val="00524FDC"/>
    <w:rsid w:val="00525AE5"/>
    <w:rsid w:val="005300E6"/>
    <w:rsid w:val="00531BFF"/>
    <w:rsid w:val="00533631"/>
    <w:rsid w:val="00534553"/>
    <w:rsid w:val="0053603E"/>
    <w:rsid w:val="00536186"/>
    <w:rsid w:val="00537C16"/>
    <w:rsid w:val="00543F86"/>
    <w:rsid w:val="00544CBB"/>
    <w:rsid w:val="00544F3C"/>
    <w:rsid w:val="00545619"/>
    <w:rsid w:val="005473E0"/>
    <w:rsid w:val="0055183D"/>
    <w:rsid w:val="00551932"/>
    <w:rsid w:val="00557E31"/>
    <w:rsid w:val="0056200D"/>
    <w:rsid w:val="00562025"/>
    <w:rsid w:val="00562771"/>
    <w:rsid w:val="005639B4"/>
    <w:rsid w:val="00572E61"/>
    <w:rsid w:val="0057315F"/>
    <w:rsid w:val="00576104"/>
    <w:rsid w:val="00581E10"/>
    <w:rsid w:val="00581EA0"/>
    <w:rsid w:val="005826B9"/>
    <w:rsid w:val="00592607"/>
    <w:rsid w:val="005A1223"/>
    <w:rsid w:val="005A5CB6"/>
    <w:rsid w:val="005A78A7"/>
    <w:rsid w:val="005A79FE"/>
    <w:rsid w:val="005B08CE"/>
    <w:rsid w:val="005B0C65"/>
    <w:rsid w:val="005B4DB2"/>
    <w:rsid w:val="005C32E1"/>
    <w:rsid w:val="005C45B3"/>
    <w:rsid w:val="005C67C8"/>
    <w:rsid w:val="005C7E12"/>
    <w:rsid w:val="005D0249"/>
    <w:rsid w:val="005D6E8C"/>
    <w:rsid w:val="005D7684"/>
    <w:rsid w:val="005E037F"/>
    <w:rsid w:val="005E5A50"/>
    <w:rsid w:val="005E6ADE"/>
    <w:rsid w:val="005F100C"/>
    <w:rsid w:val="005F5B6F"/>
    <w:rsid w:val="005F68DA"/>
    <w:rsid w:val="006003C6"/>
    <w:rsid w:val="00600D9D"/>
    <w:rsid w:val="006015E9"/>
    <w:rsid w:val="00606414"/>
    <w:rsid w:val="0060773B"/>
    <w:rsid w:val="00611134"/>
    <w:rsid w:val="00613020"/>
    <w:rsid w:val="0061573E"/>
    <w:rsid w:val="006157B5"/>
    <w:rsid w:val="006246AF"/>
    <w:rsid w:val="00625DD8"/>
    <w:rsid w:val="0062648A"/>
    <w:rsid w:val="00626FC6"/>
    <w:rsid w:val="00627EB0"/>
    <w:rsid w:val="006303B4"/>
    <w:rsid w:val="00633D3D"/>
    <w:rsid w:val="00635A51"/>
    <w:rsid w:val="00637694"/>
    <w:rsid w:val="00641703"/>
    <w:rsid w:val="006431A6"/>
    <w:rsid w:val="006459F6"/>
    <w:rsid w:val="00646B04"/>
    <w:rsid w:val="006501AD"/>
    <w:rsid w:val="00650839"/>
    <w:rsid w:val="00651BFA"/>
    <w:rsid w:val="00654475"/>
    <w:rsid w:val="006549C3"/>
    <w:rsid w:val="006634B6"/>
    <w:rsid w:val="00665A4B"/>
    <w:rsid w:val="00666353"/>
    <w:rsid w:val="00667E03"/>
    <w:rsid w:val="00672D17"/>
    <w:rsid w:val="0067667F"/>
    <w:rsid w:val="006838AE"/>
    <w:rsid w:val="00687F10"/>
    <w:rsid w:val="0069029B"/>
    <w:rsid w:val="00691343"/>
    <w:rsid w:val="00692E2A"/>
    <w:rsid w:val="0069409B"/>
    <w:rsid w:val="006A5F2F"/>
    <w:rsid w:val="006A76F2"/>
    <w:rsid w:val="006B487B"/>
    <w:rsid w:val="006B4BF7"/>
    <w:rsid w:val="006B6484"/>
    <w:rsid w:val="006C0813"/>
    <w:rsid w:val="006C101D"/>
    <w:rsid w:val="006C1782"/>
    <w:rsid w:val="006C4640"/>
    <w:rsid w:val="006D13B1"/>
    <w:rsid w:val="006D6F7B"/>
    <w:rsid w:val="006D7EFB"/>
    <w:rsid w:val="006E35F4"/>
    <w:rsid w:val="006E4608"/>
    <w:rsid w:val="006E611F"/>
    <w:rsid w:val="006E6672"/>
    <w:rsid w:val="006E6722"/>
    <w:rsid w:val="006F1893"/>
    <w:rsid w:val="006F2AB7"/>
    <w:rsid w:val="006F465E"/>
    <w:rsid w:val="007027B9"/>
    <w:rsid w:val="007028C7"/>
    <w:rsid w:val="00715E88"/>
    <w:rsid w:val="00717B4D"/>
    <w:rsid w:val="00725389"/>
    <w:rsid w:val="00727FA1"/>
    <w:rsid w:val="00730E33"/>
    <w:rsid w:val="00730F40"/>
    <w:rsid w:val="00732239"/>
    <w:rsid w:val="00734CAA"/>
    <w:rsid w:val="00740B24"/>
    <w:rsid w:val="00742611"/>
    <w:rsid w:val="00745D8C"/>
    <w:rsid w:val="007502FD"/>
    <w:rsid w:val="00750473"/>
    <w:rsid w:val="0075353F"/>
    <w:rsid w:val="007538D8"/>
    <w:rsid w:val="0075525D"/>
    <w:rsid w:val="007552FF"/>
    <w:rsid w:val="0075533C"/>
    <w:rsid w:val="00757581"/>
    <w:rsid w:val="007605D9"/>
    <w:rsid w:val="00760D4F"/>
    <w:rsid w:val="007611A0"/>
    <w:rsid w:val="007708A9"/>
    <w:rsid w:val="00771FE3"/>
    <w:rsid w:val="00781BED"/>
    <w:rsid w:val="00793959"/>
    <w:rsid w:val="007960D2"/>
    <w:rsid w:val="007961B3"/>
    <w:rsid w:val="0079698D"/>
    <w:rsid w:val="00796D3F"/>
    <w:rsid w:val="007A1683"/>
    <w:rsid w:val="007A5329"/>
    <w:rsid w:val="007A5C12"/>
    <w:rsid w:val="007A65D9"/>
    <w:rsid w:val="007A7CB0"/>
    <w:rsid w:val="007B68A3"/>
    <w:rsid w:val="007C2541"/>
    <w:rsid w:val="007C3E8C"/>
    <w:rsid w:val="007C535E"/>
    <w:rsid w:val="007D41EB"/>
    <w:rsid w:val="007D66A8"/>
    <w:rsid w:val="007E003F"/>
    <w:rsid w:val="007E4474"/>
    <w:rsid w:val="007E4A3D"/>
    <w:rsid w:val="007F3986"/>
    <w:rsid w:val="007F5151"/>
    <w:rsid w:val="00802185"/>
    <w:rsid w:val="0080332F"/>
    <w:rsid w:val="00803400"/>
    <w:rsid w:val="00805BB5"/>
    <w:rsid w:val="00807D3D"/>
    <w:rsid w:val="00813F2E"/>
    <w:rsid w:val="008164F2"/>
    <w:rsid w:val="00821395"/>
    <w:rsid w:val="008238FD"/>
    <w:rsid w:val="00826FE5"/>
    <w:rsid w:val="00830E26"/>
    <w:rsid w:val="00831BC9"/>
    <w:rsid w:val="00832B9D"/>
    <w:rsid w:val="00834AB0"/>
    <w:rsid w:val="00837FCA"/>
    <w:rsid w:val="00843576"/>
    <w:rsid w:val="0084376C"/>
    <w:rsid w:val="00843B64"/>
    <w:rsid w:val="00843D6B"/>
    <w:rsid w:val="008443FE"/>
    <w:rsid w:val="0084470F"/>
    <w:rsid w:val="00845AF2"/>
    <w:rsid w:val="0084764B"/>
    <w:rsid w:val="008478FC"/>
    <w:rsid w:val="00850CF5"/>
    <w:rsid w:val="00853ECD"/>
    <w:rsid w:val="008554F0"/>
    <w:rsid w:val="0085695D"/>
    <w:rsid w:val="008614C2"/>
    <w:rsid w:val="00861AB8"/>
    <w:rsid w:val="00861F36"/>
    <w:rsid w:val="00862E77"/>
    <w:rsid w:val="008639BD"/>
    <w:rsid w:val="00863A4A"/>
    <w:rsid w:val="008663CD"/>
    <w:rsid w:val="00866EF2"/>
    <w:rsid w:val="00867BFF"/>
    <w:rsid w:val="008741D6"/>
    <w:rsid w:val="00883BA2"/>
    <w:rsid w:val="0088480A"/>
    <w:rsid w:val="0088757A"/>
    <w:rsid w:val="00892C38"/>
    <w:rsid w:val="00894AAC"/>
    <w:rsid w:val="00894D2A"/>
    <w:rsid w:val="008957DD"/>
    <w:rsid w:val="00897D98"/>
    <w:rsid w:val="008A4472"/>
    <w:rsid w:val="008A4A91"/>
    <w:rsid w:val="008A6DF2"/>
    <w:rsid w:val="008A7807"/>
    <w:rsid w:val="008B2B8C"/>
    <w:rsid w:val="008B4466"/>
    <w:rsid w:val="008B4CC9"/>
    <w:rsid w:val="008C350C"/>
    <w:rsid w:val="008C5802"/>
    <w:rsid w:val="008C6233"/>
    <w:rsid w:val="008C6850"/>
    <w:rsid w:val="008C722E"/>
    <w:rsid w:val="008D0370"/>
    <w:rsid w:val="008D4033"/>
    <w:rsid w:val="008D57A2"/>
    <w:rsid w:val="008D7C99"/>
    <w:rsid w:val="008E0FCB"/>
    <w:rsid w:val="008E32B4"/>
    <w:rsid w:val="008E53A8"/>
    <w:rsid w:val="008E5D17"/>
    <w:rsid w:val="008F554F"/>
    <w:rsid w:val="008F5947"/>
    <w:rsid w:val="009017D0"/>
    <w:rsid w:val="00906E9B"/>
    <w:rsid w:val="00911406"/>
    <w:rsid w:val="009117FE"/>
    <w:rsid w:val="00912791"/>
    <w:rsid w:val="009203C9"/>
    <w:rsid w:val="0092178C"/>
    <w:rsid w:val="00923EDA"/>
    <w:rsid w:val="0092750C"/>
    <w:rsid w:val="00930B88"/>
    <w:rsid w:val="00931DFC"/>
    <w:rsid w:val="009332C4"/>
    <w:rsid w:val="009379B9"/>
    <w:rsid w:val="00940DCC"/>
    <w:rsid w:val="0094179A"/>
    <w:rsid w:val="009420E5"/>
    <w:rsid w:val="0094459E"/>
    <w:rsid w:val="00944DBC"/>
    <w:rsid w:val="00945921"/>
    <w:rsid w:val="00945B7D"/>
    <w:rsid w:val="0094628A"/>
    <w:rsid w:val="00946E85"/>
    <w:rsid w:val="00950977"/>
    <w:rsid w:val="00951A7B"/>
    <w:rsid w:val="00953A1F"/>
    <w:rsid w:val="00953F5C"/>
    <w:rsid w:val="0095444E"/>
    <w:rsid w:val="009564A6"/>
    <w:rsid w:val="00957678"/>
    <w:rsid w:val="0095772E"/>
    <w:rsid w:val="009604F8"/>
    <w:rsid w:val="00967621"/>
    <w:rsid w:val="00967867"/>
    <w:rsid w:val="00967E6A"/>
    <w:rsid w:val="009775DC"/>
    <w:rsid w:val="00980228"/>
    <w:rsid w:val="00981D2B"/>
    <w:rsid w:val="00982B86"/>
    <w:rsid w:val="009919D7"/>
    <w:rsid w:val="00996388"/>
    <w:rsid w:val="009973B5"/>
    <w:rsid w:val="009B261E"/>
    <w:rsid w:val="009B4A0F"/>
    <w:rsid w:val="009C11D2"/>
    <w:rsid w:val="009C3A66"/>
    <w:rsid w:val="009C6C70"/>
    <w:rsid w:val="009D0B63"/>
    <w:rsid w:val="009D3021"/>
    <w:rsid w:val="009D6BB2"/>
    <w:rsid w:val="009E307E"/>
    <w:rsid w:val="009E788A"/>
    <w:rsid w:val="009F2CCA"/>
    <w:rsid w:val="009F56FA"/>
    <w:rsid w:val="00A006EE"/>
    <w:rsid w:val="00A03B7F"/>
    <w:rsid w:val="00A03FE0"/>
    <w:rsid w:val="00A042C4"/>
    <w:rsid w:val="00A0454B"/>
    <w:rsid w:val="00A057C8"/>
    <w:rsid w:val="00A07870"/>
    <w:rsid w:val="00A07F19"/>
    <w:rsid w:val="00A1348D"/>
    <w:rsid w:val="00A21B0D"/>
    <w:rsid w:val="00A232EE"/>
    <w:rsid w:val="00A263EF"/>
    <w:rsid w:val="00A31FB2"/>
    <w:rsid w:val="00A35DA0"/>
    <w:rsid w:val="00A4175F"/>
    <w:rsid w:val="00A44411"/>
    <w:rsid w:val="00A462CB"/>
    <w:rsid w:val="00A469FA"/>
    <w:rsid w:val="00A46DFB"/>
    <w:rsid w:val="00A47E6C"/>
    <w:rsid w:val="00A5212F"/>
    <w:rsid w:val="00A52367"/>
    <w:rsid w:val="00A55B01"/>
    <w:rsid w:val="00A56B5B"/>
    <w:rsid w:val="00A603FF"/>
    <w:rsid w:val="00A60D7F"/>
    <w:rsid w:val="00A61E8C"/>
    <w:rsid w:val="00A6297E"/>
    <w:rsid w:val="00A62CE9"/>
    <w:rsid w:val="00A657DD"/>
    <w:rsid w:val="00A665AD"/>
    <w:rsid w:val="00A666A6"/>
    <w:rsid w:val="00A66DA7"/>
    <w:rsid w:val="00A675FD"/>
    <w:rsid w:val="00A72437"/>
    <w:rsid w:val="00A77E7C"/>
    <w:rsid w:val="00A80611"/>
    <w:rsid w:val="00A8404C"/>
    <w:rsid w:val="00A912EA"/>
    <w:rsid w:val="00A91C98"/>
    <w:rsid w:val="00A92411"/>
    <w:rsid w:val="00A9356E"/>
    <w:rsid w:val="00A95AE4"/>
    <w:rsid w:val="00AA18BD"/>
    <w:rsid w:val="00AA2C51"/>
    <w:rsid w:val="00AA568B"/>
    <w:rsid w:val="00AA5809"/>
    <w:rsid w:val="00AB0849"/>
    <w:rsid w:val="00AB41AD"/>
    <w:rsid w:val="00AB5340"/>
    <w:rsid w:val="00AB7DF4"/>
    <w:rsid w:val="00AC0A89"/>
    <w:rsid w:val="00AC1769"/>
    <w:rsid w:val="00AC4DF9"/>
    <w:rsid w:val="00AC573A"/>
    <w:rsid w:val="00AC5888"/>
    <w:rsid w:val="00AC6FA3"/>
    <w:rsid w:val="00AC7B5F"/>
    <w:rsid w:val="00AC7C96"/>
    <w:rsid w:val="00AD175A"/>
    <w:rsid w:val="00AD2E28"/>
    <w:rsid w:val="00AD36BB"/>
    <w:rsid w:val="00AD5252"/>
    <w:rsid w:val="00AD6B0E"/>
    <w:rsid w:val="00AD7363"/>
    <w:rsid w:val="00AD7DC7"/>
    <w:rsid w:val="00AE237D"/>
    <w:rsid w:val="00AE2695"/>
    <w:rsid w:val="00AE4110"/>
    <w:rsid w:val="00AE502A"/>
    <w:rsid w:val="00AF44CB"/>
    <w:rsid w:val="00AF7C07"/>
    <w:rsid w:val="00B00AC2"/>
    <w:rsid w:val="00B00B80"/>
    <w:rsid w:val="00B01B79"/>
    <w:rsid w:val="00B026A4"/>
    <w:rsid w:val="00B04620"/>
    <w:rsid w:val="00B062D4"/>
    <w:rsid w:val="00B17289"/>
    <w:rsid w:val="00B22C93"/>
    <w:rsid w:val="00B27589"/>
    <w:rsid w:val="00B405B7"/>
    <w:rsid w:val="00B41003"/>
    <w:rsid w:val="00B47FED"/>
    <w:rsid w:val="00B52222"/>
    <w:rsid w:val="00B52E0C"/>
    <w:rsid w:val="00B547AC"/>
    <w:rsid w:val="00B54FE7"/>
    <w:rsid w:val="00B56F6F"/>
    <w:rsid w:val="00B610D0"/>
    <w:rsid w:val="00B61BB5"/>
    <w:rsid w:val="00B66901"/>
    <w:rsid w:val="00B71E6D"/>
    <w:rsid w:val="00B72070"/>
    <w:rsid w:val="00B73484"/>
    <w:rsid w:val="00B779E1"/>
    <w:rsid w:val="00B8160B"/>
    <w:rsid w:val="00B81B43"/>
    <w:rsid w:val="00B82583"/>
    <w:rsid w:val="00B82E2A"/>
    <w:rsid w:val="00B85F20"/>
    <w:rsid w:val="00B91EE1"/>
    <w:rsid w:val="00B926AD"/>
    <w:rsid w:val="00B94E22"/>
    <w:rsid w:val="00BA0090"/>
    <w:rsid w:val="00BA1A67"/>
    <w:rsid w:val="00BA255E"/>
    <w:rsid w:val="00BA34BF"/>
    <w:rsid w:val="00BA3E04"/>
    <w:rsid w:val="00BA532B"/>
    <w:rsid w:val="00BA6575"/>
    <w:rsid w:val="00BB2308"/>
    <w:rsid w:val="00BB3056"/>
    <w:rsid w:val="00BB3530"/>
    <w:rsid w:val="00BB5518"/>
    <w:rsid w:val="00BC488B"/>
    <w:rsid w:val="00BD230D"/>
    <w:rsid w:val="00BD2806"/>
    <w:rsid w:val="00BD620E"/>
    <w:rsid w:val="00BE1447"/>
    <w:rsid w:val="00BE5B5F"/>
    <w:rsid w:val="00BE5DE0"/>
    <w:rsid w:val="00BE69E0"/>
    <w:rsid w:val="00BE7751"/>
    <w:rsid w:val="00BE7B17"/>
    <w:rsid w:val="00BF073D"/>
    <w:rsid w:val="00BF0E22"/>
    <w:rsid w:val="00BF6A71"/>
    <w:rsid w:val="00C04F1F"/>
    <w:rsid w:val="00C05C2B"/>
    <w:rsid w:val="00C1049E"/>
    <w:rsid w:val="00C13F61"/>
    <w:rsid w:val="00C15EDF"/>
    <w:rsid w:val="00C16B22"/>
    <w:rsid w:val="00C16FEC"/>
    <w:rsid w:val="00C171E1"/>
    <w:rsid w:val="00C22B2A"/>
    <w:rsid w:val="00C26F55"/>
    <w:rsid w:val="00C30C63"/>
    <w:rsid w:val="00C30F44"/>
    <w:rsid w:val="00C36539"/>
    <w:rsid w:val="00C36B8B"/>
    <w:rsid w:val="00C3736F"/>
    <w:rsid w:val="00C37523"/>
    <w:rsid w:val="00C3772A"/>
    <w:rsid w:val="00C415C1"/>
    <w:rsid w:val="00C438CC"/>
    <w:rsid w:val="00C47183"/>
    <w:rsid w:val="00C47DBF"/>
    <w:rsid w:val="00C47FDF"/>
    <w:rsid w:val="00C552FF"/>
    <w:rsid w:val="00C558DA"/>
    <w:rsid w:val="00C55AF3"/>
    <w:rsid w:val="00C617CB"/>
    <w:rsid w:val="00C66BB8"/>
    <w:rsid w:val="00C66F05"/>
    <w:rsid w:val="00C70CC7"/>
    <w:rsid w:val="00C7394E"/>
    <w:rsid w:val="00C75B3E"/>
    <w:rsid w:val="00C82831"/>
    <w:rsid w:val="00C83A68"/>
    <w:rsid w:val="00C84759"/>
    <w:rsid w:val="00C86D5D"/>
    <w:rsid w:val="00C90A4C"/>
    <w:rsid w:val="00C91423"/>
    <w:rsid w:val="00C91C90"/>
    <w:rsid w:val="00C9467C"/>
    <w:rsid w:val="00CA04C9"/>
    <w:rsid w:val="00CA5743"/>
    <w:rsid w:val="00CA6B44"/>
    <w:rsid w:val="00CA6C7F"/>
    <w:rsid w:val="00CA6CD1"/>
    <w:rsid w:val="00CB1B2E"/>
    <w:rsid w:val="00CB3516"/>
    <w:rsid w:val="00CB42F0"/>
    <w:rsid w:val="00CB4C63"/>
    <w:rsid w:val="00CB4D08"/>
    <w:rsid w:val="00CC10A6"/>
    <w:rsid w:val="00CC6E33"/>
    <w:rsid w:val="00CC70C6"/>
    <w:rsid w:val="00CD5EB8"/>
    <w:rsid w:val="00CD7044"/>
    <w:rsid w:val="00CE08B9"/>
    <w:rsid w:val="00CE1A77"/>
    <w:rsid w:val="00CE524C"/>
    <w:rsid w:val="00CF141F"/>
    <w:rsid w:val="00CF4777"/>
    <w:rsid w:val="00D016FB"/>
    <w:rsid w:val="00D03900"/>
    <w:rsid w:val="00D03A28"/>
    <w:rsid w:val="00D067BB"/>
    <w:rsid w:val="00D07FDC"/>
    <w:rsid w:val="00D1352A"/>
    <w:rsid w:val="00D13F2D"/>
    <w:rsid w:val="00D16638"/>
    <w:rsid w:val="00D169AF"/>
    <w:rsid w:val="00D25249"/>
    <w:rsid w:val="00D265EA"/>
    <w:rsid w:val="00D302B4"/>
    <w:rsid w:val="00D317D4"/>
    <w:rsid w:val="00D324E4"/>
    <w:rsid w:val="00D35BE7"/>
    <w:rsid w:val="00D44172"/>
    <w:rsid w:val="00D45D96"/>
    <w:rsid w:val="00D51160"/>
    <w:rsid w:val="00D51A07"/>
    <w:rsid w:val="00D547B7"/>
    <w:rsid w:val="00D55018"/>
    <w:rsid w:val="00D63B8C"/>
    <w:rsid w:val="00D70674"/>
    <w:rsid w:val="00D739CC"/>
    <w:rsid w:val="00D75F84"/>
    <w:rsid w:val="00D80100"/>
    <w:rsid w:val="00D8093D"/>
    <w:rsid w:val="00D8108C"/>
    <w:rsid w:val="00D8275B"/>
    <w:rsid w:val="00D842AE"/>
    <w:rsid w:val="00D852B5"/>
    <w:rsid w:val="00D85E21"/>
    <w:rsid w:val="00D9211C"/>
    <w:rsid w:val="00D92DE0"/>
    <w:rsid w:val="00D92FEF"/>
    <w:rsid w:val="00D93507"/>
    <w:rsid w:val="00D93A0F"/>
    <w:rsid w:val="00D95AA5"/>
    <w:rsid w:val="00DA03EB"/>
    <w:rsid w:val="00DA1BCA"/>
    <w:rsid w:val="00DA1FED"/>
    <w:rsid w:val="00DA31C5"/>
    <w:rsid w:val="00DA5612"/>
    <w:rsid w:val="00DB0F22"/>
    <w:rsid w:val="00DB3181"/>
    <w:rsid w:val="00DB561A"/>
    <w:rsid w:val="00DB71F8"/>
    <w:rsid w:val="00DC3092"/>
    <w:rsid w:val="00DC3C34"/>
    <w:rsid w:val="00DC46FF"/>
    <w:rsid w:val="00DC5254"/>
    <w:rsid w:val="00DD0EB6"/>
    <w:rsid w:val="00DD1A4F"/>
    <w:rsid w:val="00DD3107"/>
    <w:rsid w:val="00DD6AB7"/>
    <w:rsid w:val="00DD7C2C"/>
    <w:rsid w:val="00DE3FD6"/>
    <w:rsid w:val="00DE4F7E"/>
    <w:rsid w:val="00DE5131"/>
    <w:rsid w:val="00DF287B"/>
    <w:rsid w:val="00DF51B9"/>
    <w:rsid w:val="00E0473E"/>
    <w:rsid w:val="00E06797"/>
    <w:rsid w:val="00E1078C"/>
    <w:rsid w:val="00E1265B"/>
    <w:rsid w:val="00E13B48"/>
    <w:rsid w:val="00E1404F"/>
    <w:rsid w:val="00E14A15"/>
    <w:rsid w:val="00E17D40"/>
    <w:rsid w:val="00E21C83"/>
    <w:rsid w:val="00E24ADA"/>
    <w:rsid w:val="00E24F65"/>
    <w:rsid w:val="00E30AF5"/>
    <w:rsid w:val="00E31058"/>
    <w:rsid w:val="00E32F59"/>
    <w:rsid w:val="00E3428E"/>
    <w:rsid w:val="00E35014"/>
    <w:rsid w:val="00E35107"/>
    <w:rsid w:val="00E4207F"/>
    <w:rsid w:val="00E468D6"/>
    <w:rsid w:val="00E46D9A"/>
    <w:rsid w:val="00E50167"/>
    <w:rsid w:val="00E506BA"/>
    <w:rsid w:val="00E52F4E"/>
    <w:rsid w:val="00E53A72"/>
    <w:rsid w:val="00E565FF"/>
    <w:rsid w:val="00E57D74"/>
    <w:rsid w:val="00E60999"/>
    <w:rsid w:val="00E65388"/>
    <w:rsid w:val="00E70A76"/>
    <w:rsid w:val="00E7365B"/>
    <w:rsid w:val="00E82372"/>
    <w:rsid w:val="00E823A0"/>
    <w:rsid w:val="00E84468"/>
    <w:rsid w:val="00E85819"/>
    <w:rsid w:val="00E85B7D"/>
    <w:rsid w:val="00E866E3"/>
    <w:rsid w:val="00E9121B"/>
    <w:rsid w:val="00E9127F"/>
    <w:rsid w:val="00E93698"/>
    <w:rsid w:val="00EA0AE2"/>
    <w:rsid w:val="00EA33BF"/>
    <w:rsid w:val="00EA39E5"/>
    <w:rsid w:val="00EA4317"/>
    <w:rsid w:val="00EA6466"/>
    <w:rsid w:val="00EB0F03"/>
    <w:rsid w:val="00EB36FB"/>
    <w:rsid w:val="00EB37D1"/>
    <w:rsid w:val="00EB4933"/>
    <w:rsid w:val="00EB5133"/>
    <w:rsid w:val="00EB7252"/>
    <w:rsid w:val="00EC153C"/>
    <w:rsid w:val="00EC5A46"/>
    <w:rsid w:val="00EC63E2"/>
    <w:rsid w:val="00ED3BA9"/>
    <w:rsid w:val="00ED50C1"/>
    <w:rsid w:val="00EE02D3"/>
    <w:rsid w:val="00EE0458"/>
    <w:rsid w:val="00EE2CDF"/>
    <w:rsid w:val="00EE78C6"/>
    <w:rsid w:val="00EF0560"/>
    <w:rsid w:val="00EF22B3"/>
    <w:rsid w:val="00EF2EE8"/>
    <w:rsid w:val="00EF5986"/>
    <w:rsid w:val="00F00024"/>
    <w:rsid w:val="00F00260"/>
    <w:rsid w:val="00F00BB3"/>
    <w:rsid w:val="00F01D71"/>
    <w:rsid w:val="00F03B69"/>
    <w:rsid w:val="00F03FB0"/>
    <w:rsid w:val="00F05E9C"/>
    <w:rsid w:val="00F062A9"/>
    <w:rsid w:val="00F07371"/>
    <w:rsid w:val="00F07656"/>
    <w:rsid w:val="00F07A50"/>
    <w:rsid w:val="00F07C15"/>
    <w:rsid w:val="00F11142"/>
    <w:rsid w:val="00F113DA"/>
    <w:rsid w:val="00F12AB1"/>
    <w:rsid w:val="00F22936"/>
    <w:rsid w:val="00F35D2B"/>
    <w:rsid w:val="00F37128"/>
    <w:rsid w:val="00F37DC8"/>
    <w:rsid w:val="00F41551"/>
    <w:rsid w:val="00F439B3"/>
    <w:rsid w:val="00F45794"/>
    <w:rsid w:val="00F46371"/>
    <w:rsid w:val="00F56A0F"/>
    <w:rsid w:val="00F650C3"/>
    <w:rsid w:val="00F65D85"/>
    <w:rsid w:val="00F67DF2"/>
    <w:rsid w:val="00F67FAD"/>
    <w:rsid w:val="00F722D5"/>
    <w:rsid w:val="00F76E51"/>
    <w:rsid w:val="00F77F29"/>
    <w:rsid w:val="00F8091E"/>
    <w:rsid w:val="00F82B52"/>
    <w:rsid w:val="00F8615C"/>
    <w:rsid w:val="00F93844"/>
    <w:rsid w:val="00F94FB4"/>
    <w:rsid w:val="00F96245"/>
    <w:rsid w:val="00F969E5"/>
    <w:rsid w:val="00FA081D"/>
    <w:rsid w:val="00FA1244"/>
    <w:rsid w:val="00FA2C49"/>
    <w:rsid w:val="00FA436E"/>
    <w:rsid w:val="00FA5345"/>
    <w:rsid w:val="00FA6BB0"/>
    <w:rsid w:val="00FB35EC"/>
    <w:rsid w:val="00FB6895"/>
    <w:rsid w:val="00FB767A"/>
    <w:rsid w:val="00FB7A95"/>
    <w:rsid w:val="00FB7ABF"/>
    <w:rsid w:val="00FC0655"/>
    <w:rsid w:val="00FC6239"/>
    <w:rsid w:val="00FC796B"/>
    <w:rsid w:val="00FD1356"/>
    <w:rsid w:val="00FD15E5"/>
    <w:rsid w:val="00FD3A9E"/>
    <w:rsid w:val="00FD5860"/>
    <w:rsid w:val="00FD5C71"/>
    <w:rsid w:val="00FD5E8A"/>
    <w:rsid w:val="00FD76F9"/>
    <w:rsid w:val="00FE352D"/>
    <w:rsid w:val="00FE384E"/>
    <w:rsid w:val="00FE40A8"/>
    <w:rsid w:val="00FE40EB"/>
    <w:rsid w:val="00FE4D02"/>
    <w:rsid w:val="00FE7D62"/>
    <w:rsid w:val="00FF358C"/>
    <w:rsid w:val="00FF3819"/>
    <w:rsid w:val="00FF4D6F"/>
    <w:rsid w:val="00FF7503"/>
    <w:rsid w:val="00FF7C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80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F7503"/>
    <w:pPr>
      <w:spacing w:after="200" w:line="276" w:lineRule="auto"/>
    </w:pPr>
    <w:rPr>
      <w:rFonts w:ascii="Calibri" w:eastAsia="SimSun" w:hAnsi="Calibri" w:cs="Arial"/>
      <w:sz w:val="22"/>
      <w:szCs w:val="22"/>
      <w:lang w:eastAsia="zh-CN"/>
    </w:rPr>
  </w:style>
  <w:style w:type="paragraph" w:styleId="Heading1">
    <w:name w:val="heading 1"/>
    <w:basedOn w:val="Normal"/>
    <w:next w:val="Normalnumber"/>
    <w:qFormat/>
    <w:rsid w:val="000D6941"/>
    <w:pPr>
      <w:keepNext/>
      <w:tabs>
        <w:tab w:val="left" w:pos="1247"/>
        <w:tab w:val="left" w:pos="1814"/>
      </w:tabs>
      <w:spacing w:before="240" w:after="120"/>
      <w:ind w:left="1247" w:hanging="680"/>
      <w:outlineLvl w:val="0"/>
    </w:pPr>
    <w:rPr>
      <w:b/>
      <w:sz w:val="28"/>
    </w:rPr>
  </w:style>
  <w:style w:type="paragraph" w:styleId="Heading2">
    <w:name w:val="heading 2"/>
    <w:basedOn w:val="Normal"/>
    <w:next w:val="Normalnumber"/>
    <w:qFormat/>
    <w:rsid w:val="000D6941"/>
    <w:pPr>
      <w:keepNext/>
      <w:spacing w:before="240" w:after="120"/>
      <w:ind w:left="1247" w:hanging="680"/>
      <w:outlineLvl w:val="1"/>
    </w:pPr>
    <w:rPr>
      <w:b/>
      <w:sz w:val="24"/>
      <w:szCs w:val="24"/>
    </w:rPr>
  </w:style>
  <w:style w:type="paragraph" w:styleId="Heading3">
    <w:name w:val="heading 3"/>
    <w:basedOn w:val="Normal"/>
    <w:next w:val="Normalnumber"/>
    <w:qFormat/>
    <w:rsid w:val="000D6941"/>
    <w:pPr>
      <w:spacing w:after="120"/>
      <w:ind w:left="1247" w:hanging="680"/>
      <w:outlineLvl w:val="2"/>
    </w:pPr>
    <w:rPr>
      <w:b/>
    </w:rPr>
  </w:style>
  <w:style w:type="paragraph" w:styleId="Heading4">
    <w:name w:val="heading 4"/>
    <w:basedOn w:val="Heading3"/>
    <w:next w:val="Normalnumber"/>
    <w:qFormat/>
    <w:rsid w:val="000D6941"/>
    <w:pPr>
      <w:keepNext/>
      <w:outlineLvl w:val="3"/>
    </w:pPr>
  </w:style>
  <w:style w:type="paragraph" w:styleId="Heading5">
    <w:name w:val="heading 5"/>
    <w:basedOn w:val="Normal"/>
    <w:next w:val="Normal"/>
    <w:qFormat/>
    <w:rsid w:val="000D6941"/>
    <w:pPr>
      <w:keepNext/>
      <w:outlineLvl w:val="4"/>
    </w:pPr>
    <w:rPr>
      <w:rFonts w:ascii="Univers" w:hAnsi="Univers"/>
      <w:b/>
      <w:sz w:val="24"/>
    </w:rPr>
  </w:style>
  <w:style w:type="paragraph" w:styleId="Heading6">
    <w:name w:val="heading 6"/>
    <w:basedOn w:val="Normal"/>
    <w:next w:val="Normal"/>
    <w:qFormat/>
    <w:rsid w:val="000D6941"/>
    <w:pPr>
      <w:keepNext/>
      <w:ind w:left="578"/>
      <w:outlineLvl w:val="5"/>
    </w:pPr>
    <w:rPr>
      <w:b/>
      <w:bCs/>
      <w:sz w:val="24"/>
    </w:rPr>
  </w:style>
  <w:style w:type="paragraph" w:styleId="Heading7">
    <w:name w:val="heading 7"/>
    <w:basedOn w:val="Normal"/>
    <w:next w:val="Normal"/>
    <w:qFormat/>
    <w:rsid w:val="000D6941"/>
    <w:pPr>
      <w:keepNext/>
      <w:widowControl w:val="0"/>
      <w:jc w:val="center"/>
      <w:outlineLvl w:val="6"/>
    </w:pPr>
    <w:rPr>
      <w:snapToGrid w:val="0"/>
      <w:u w:val="single"/>
    </w:rPr>
  </w:style>
  <w:style w:type="paragraph" w:styleId="Heading8">
    <w:name w:val="heading 8"/>
    <w:basedOn w:val="Normal"/>
    <w:next w:val="Normal"/>
    <w:qFormat/>
    <w:rsid w:val="000D6941"/>
    <w:pPr>
      <w:keepNext/>
      <w:widowControl w:val="0"/>
      <w:numPr>
        <w:numId w:val="1"/>
      </w:numPr>
      <w:tabs>
        <w:tab w:val="left" w:pos="-1440"/>
        <w:tab w:val="left" w:pos="-720"/>
      </w:tabs>
      <w:suppressAutoHyphens/>
      <w:jc w:val="center"/>
      <w:outlineLvl w:val="7"/>
    </w:pPr>
    <w:rPr>
      <w:snapToGrid w:val="0"/>
      <w:u w:val="single"/>
    </w:rPr>
  </w:style>
  <w:style w:type="paragraph" w:styleId="Heading9">
    <w:name w:val="heading 9"/>
    <w:basedOn w:val="Normal"/>
    <w:next w:val="Normal"/>
    <w:qFormat/>
    <w:rsid w:val="000D6941"/>
    <w:pPr>
      <w:keepNext/>
      <w:widowControl w:val="0"/>
      <w:numPr>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0D6941"/>
    <w:rPr>
      <w:rFonts w:ascii="Times New Roman" w:hAnsi="Times New Roman"/>
      <w:b/>
      <w:sz w:val="18"/>
    </w:rPr>
  </w:style>
  <w:style w:type="table" w:customStyle="1" w:styleId="Tabledocright">
    <w:name w:val="Table_doc_right"/>
    <w:basedOn w:val="TableNormal"/>
    <w:rsid w:val="003A77F1"/>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autoRedefine/>
    <w:semiHidden/>
    <w:rsid w:val="000D6941"/>
    <w:pPr>
      <w:ind w:left="1000"/>
    </w:pPr>
    <w:rPr>
      <w:sz w:val="18"/>
      <w:szCs w:val="18"/>
    </w:rPr>
  </w:style>
  <w:style w:type="paragraph" w:styleId="TOC7">
    <w:name w:val="toc 7"/>
    <w:basedOn w:val="Normal"/>
    <w:next w:val="Normal"/>
    <w:autoRedefine/>
    <w:semiHidden/>
    <w:rsid w:val="000D6941"/>
    <w:pPr>
      <w:ind w:left="1200"/>
    </w:pPr>
    <w:rPr>
      <w:sz w:val="18"/>
      <w:szCs w:val="18"/>
    </w:rPr>
  </w:style>
  <w:style w:type="paragraph" w:styleId="TOC8">
    <w:name w:val="toc 8"/>
    <w:basedOn w:val="Normal"/>
    <w:next w:val="Normal"/>
    <w:autoRedefine/>
    <w:semiHidden/>
    <w:rsid w:val="000D6941"/>
    <w:pPr>
      <w:ind w:left="1400"/>
    </w:pPr>
    <w:rPr>
      <w:sz w:val="18"/>
      <w:szCs w:val="18"/>
    </w:rPr>
  </w:style>
  <w:style w:type="paragraph" w:styleId="TOC9">
    <w:name w:val="toc 9"/>
    <w:basedOn w:val="Normal"/>
    <w:next w:val="Normal"/>
    <w:autoRedefine/>
    <w:semiHidden/>
    <w:rsid w:val="000D6941"/>
    <w:pPr>
      <w:ind w:left="1600"/>
    </w:pPr>
    <w:rPr>
      <w:sz w:val="18"/>
      <w:szCs w:val="18"/>
    </w:rPr>
  </w:style>
  <w:style w:type="paragraph" w:customStyle="1" w:styleId="Titlefigure">
    <w:name w:val="Title_figure"/>
    <w:basedOn w:val="Titletable"/>
    <w:next w:val="NormalNonumber"/>
    <w:rsid w:val="003A77F1"/>
    <w:rPr>
      <w:bCs w:val="0"/>
    </w:rPr>
  </w:style>
  <w:style w:type="paragraph" w:styleId="TableofFigures">
    <w:name w:val="table of figures"/>
    <w:basedOn w:val="Normal"/>
    <w:next w:val="Normal"/>
    <w:autoRedefine/>
    <w:semiHidden/>
    <w:rsid w:val="000D6941"/>
    <w:pPr>
      <w:ind w:left="1814" w:hanging="567"/>
    </w:pPr>
  </w:style>
  <w:style w:type="paragraph" w:customStyle="1" w:styleId="CH1">
    <w:name w:val="CH1"/>
    <w:basedOn w:val="Normalpool"/>
    <w:next w:val="CH2"/>
    <w:rsid w:val="00160D74"/>
    <w:pPr>
      <w:keepNext/>
      <w:keepLines/>
      <w:tabs>
        <w:tab w:val="right" w:pos="851"/>
      </w:tabs>
      <w:suppressAutoHyphens/>
      <w:spacing w:before="240" w:after="120"/>
      <w:ind w:left="1247" w:right="284" w:hanging="1247"/>
    </w:pPr>
    <w:rPr>
      <w:b/>
      <w:sz w:val="28"/>
      <w:szCs w:val="28"/>
      <w:lang w:val="en-GB"/>
    </w:rPr>
  </w:style>
  <w:style w:type="paragraph" w:customStyle="1" w:styleId="CH2">
    <w:name w:val="CH2"/>
    <w:basedOn w:val="Normalpool"/>
    <w:next w:val="Normalnumber"/>
    <w:rsid w:val="00160D74"/>
    <w:pPr>
      <w:keepNext/>
      <w:keepLines/>
      <w:tabs>
        <w:tab w:val="right" w:pos="851"/>
      </w:tabs>
      <w:suppressAutoHyphens/>
      <w:spacing w:before="80" w:after="120"/>
      <w:ind w:left="1247" w:right="284" w:hanging="1247"/>
    </w:pPr>
    <w:rPr>
      <w:b/>
      <w:sz w:val="24"/>
      <w:szCs w:val="24"/>
      <w:lang w:val="en-GB"/>
    </w:rPr>
  </w:style>
  <w:style w:type="paragraph" w:customStyle="1" w:styleId="CH3">
    <w:name w:val="CH3"/>
    <w:basedOn w:val="Normalpool"/>
    <w:next w:val="Normalnumber"/>
    <w:rsid w:val="00160D74"/>
    <w:pPr>
      <w:keepNext/>
      <w:keepLines/>
      <w:tabs>
        <w:tab w:val="right" w:pos="851"/>
      </w:tabs>
      <w:suppressAutoHyphens/>
      <w:spacing w:after="120"/>
      <w:ind w:left="1247" w:right="284" w:hanging="1247"/>
    </w:pPr>
    <w:rPr>
      <w:b/>
      <w:lang w:val="en-GB"/>
    </w:rPr>
  </w:style>
  <w:style w:type="paragraph" w:customStyle="1" w:styleId="CH4">
    <w:name w:val="CH4"/>
    <w:basedOn w:val="Normalpool"/>
    <w:next w:val="Normalnumber"/>
    <w:rsid w:val="00160D74"/>
    <w:pPr>
      <w:keepNext/>
      <w:keepLines/>
      <w:tabs>
        <w:tab w:val="right" w:pos="851"/>
      </w:tabs>
      <w:suppressAutoHyphens/>
      <w:spacing w:after="120"/>
      <w:ind w:left="1247" w:right="284" w:hanging="1247"/>
    </w:pPr>
    <w:rPr>
      <w:b/>
      <w:lang w:val="en-GB"/>
    </w:rPr>
  </w:style>
  <w:style w:type="table" w:customStyle="1" w:styleId="Footertable">
    <w:name w:val="Footer_table"/>
    <w:basedOn w:val="TableNormal"/>
    <w:semiHidden/>
    <w:rsid w:val="003A77F1"/>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160D74"/>
    <w:pPr>
      <w:keepNext/>
      <w:keepLines/>
      <w:tabs>
        <w:tab w:val="right" w:pos="851"/>
      </w:tabs>
      <w:suppressAutoHyphens/>
      <w:spacing w:after="120"/>
      <w:ind w:left="1247" w:right="284" w:hanging="1247"/>
    </w:pPr>
    <w:rPr>
      <w:b/>
      <w:lang w:val="en-GB"/>
    </w:rPr>
  </w:style>
  <w:style w:type="paragraph" w:customStyle="1" w:styleId="Footerpool">
    <w:name w:val="Footer_pool"/>
    <w:basedOn w:val="Normal"/>
    <w:next w:val="Normal"/>
    <w:semiHidden/>
    <w:rsid w:val="003A77F1"/>
    <w:pPr>
      <w:tabs>
        <w:tab w:val="left" w:pos="4321"/>
        <w:tab w:val="right" w:pos="8641"/>
      </w:tabs>
      <w:spacing w:before="60" w:after="120"/>
    </w:pPr>
    <w:rPr>
      <w:b/>
      <w:sz w:val="18"/>
    </w:rPr>
  </w:style>
  <w:style w:type="paragraph" w:customStyle="1" w:styleId="Headerpool">
    <w:name w:val="Header_pool"/>
    <w:basedOn w:val="Normal"/>
    <w:next w:val="Normal"/>
    <w:semiHidden/>
    <w:rsid w:val="003A77F1"/>
    <w:pPr>
      <w:pBdr>
        <w:bottom w:val="single" w:sz="4" w:space="1" w:color="auto"/>
      </w:pBdr>
      <w:tabs>
        <w:tab w:val="center" w:pos="4536"/>
        <w:tab w:val="right" w:pos="9072"/>
      </w:tabs>
      <w:spacing w:after="120"/>
    </w:pPr>
    <w:rPr>
      <w:b/>
      <w:sz w:val="18"/>
    </w:rPr>
  </w:style>
  <w:style w:type="paragraph" w:customStyle="1" w:styleId="Normalpool">
    <w:name w:val="Normal_pool"/>
    <w:semiHidden/>
    <w:rsid w:val="003A77F1"/>
    <w:pPr>
      <w:tabs>
        <w:tab w:val="left" w:pos="1247"/>
        <w:tab w:val="left" w:pos="1814"/>
        <w:tab w:val="left" w:pos="2381"/>
        <w:tab w:val="left" w:pos="2948"/>
        <w:tab w:val="left" w:pos="3515"/>
        <w:tab w:val="left" w:pos="4082"/>
      </w:tabs>
    </w:pPr>
    <w:rPr>
      <w:lang w:val="fr-FR"/>
    </w:rPr>
  </w:style>
  <w:style w:type="paragraph" w:customStyle="1" w:styleId="Footer-pool">
    <w:name w:val="Footer-pool"/>
    <w:basedOn w:val="Normal-pool"/>
    <w:next w:val="Normal-pool"/>
    <w:rsid w:val="003A77F1"/>
    <w:pPr>
      <w:tabs>
        <w:tab w:val="left" w:pos="4321"/>
        <w:tab w:val="right" w:pos="8641"/>
      </w:tabs>
      <w:spacing w:before="60" w:after="120"/>
    </w:pPr>
    <w:rPr>
      <w:b/>
      <w:sz w:val="18"/>
    </w:rPr>
  </w:style>
  <w:style w:type="paragraph" w:customStyle="1" w:styleId="Header-pool">
    <w:name w:val="Header-pool"/>
    <w:basedOn w:val="Normal-pool"/>
    <w:next w:val="Normal-pool"/>
    <w:rsid w:val="003A77F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pool"/>
    <w:link w:val="Normal-poolChar"/>
    <w:rsid w:val="00160D74"/>
    <w:pPr>
      <w:tabs>
        <w:tab w:val="left" w:pos="1247"/>
        <w:tab w:val="left" w:pos="1814"/>
        <w:tab w:val="left" w:pos="2381"/>
        <w:tab w:val="left" w:pos="2948"/>
        <w:tab w:val="left" w:pos="3515"/>
        <w:tab w:val="left" w:pos="4082"/>
      </w:tabs>
    </w:pPr>
    <w:rPr>
      <w:lang w:val="en-GB"/>
    </w:rPr>
  </w:style>
  <w:style w:type="character" w:styleId="FootnoteReference">
    <w:name w:val="footnote reference"/>
    <w:aliases w:val="SUPERS,16 Point,Superscript 6 Point,ftref,(Ref. de nota al pie),number,Footnote Reference Superscript,Footnote Reference1,Ref,de nota al pie,註腳內容,de nota al pie + (Asian) MS Mincho,11 pt,Ref. de nota de rodapé1,Footnote,stylish,Text2"/>
    <w:basedOn w:val="DefaultParagraphFont"/>
    <w:link w:val="BVIfnrCharCharCharChar"/>
    <w:qFormat/>
    <w:rsid w:val="000D6941"/>
    <w:rPr>
      <w:rFonts w:ascii="Times New Roman" w:hAnsi="Times New Roman"/>
      <w:color w:val="auto"/>
      <w:sz w:val="20"/>
      <w:szCs w:val="18"/>
      <w:vertAlign w:val="superscript"/>
    </w:rPr>
  </w:style>
  <w:style w:type="paragraph" w:styleId="FootnoteText">
    <w:name w:val="footnote text"/>
    <w:aliases w:val="Geneva 9,Font: Geneva 9,Boston 10,f,DNV-FT,Footnote01,-E Fußnotentext,ft,Fußnote,Fußnotentext Ursprung,fn,Footnotes,Footnote ak,fn cafc,Footnotes Char Char,Footnote Text Char Char,fn Char Char,footnote1,text,Geneva,92,1,Font,FOOTNOTES"/>
    <w:basedOn w:val="Normalpool"/>
    <w:link w:val="FootnoteTextChar"/>
    <w:qFormat/>
    <w:rsid w:val="000D6941"/>
    <w:pPr>
      <w:spacing w:before="20" w:after="40"/>
      <w:ind w:left="1247"/>
    </w:pPr>
    <w:rPr>
      <w:sz w:val="18"/>
    </w:rPr>
  </w:style>
  <w:style w:type="character" w:customStyle="1" w:styleId="FootnoteTextChar">
    <w:name w:val="Footnote Text Char"/>
    <w:aliases w:val="Geneva 9 Char,Font: Geneva 9 Char,Boston 10 Char,f Char,DNV-FT Char,Footnote01 Char,-E Fußnotentext Char,ft Char,Fußnote Char,Fußnotentext Ursprung Char,fn Char,Footnotes Char,Footnote ak Char,fn cafc Char,Footnotes Char Char Char"/>
    <w:link w:val="FootnoteText"/>
    <w:rsid w:val="00FF7503"/>
    <w:rPr>
      <w:sz w:val="18"/>
      <w:lang w:val="fr-FR"/>
    </w:rPr>
  </w:style>
  <w:style w:type="paragraph" w:styleId="ListParagraph">
    <w:name w:val="List Paragraph"/>
    <w:basedOn w:val="Normal"/>
    <w:uiPriority w:val="34"/>
    <w:qFormat/>
    <w:rsid w:val="00FF7503"/>
    <w:pPr>
      <w:ind w:left="720"/>
      <w:contextualSpacing/>
    </w:pPr>
  </w:style>
  <w:style w:type="character" w:customStyle="1" w:styleId="NormalnumberChar">
    <w:name w:val="Normal_number Char"/>
    <w:link w:val="Normalnumber"/>
    <w:locked/>
    <w:rsid w:val="00FF7503"/>
    <w:rPr>
      <w:lang w:val="en-GB"/>
    </w:rPr>
  </w:style>
  <w:style w:type="paragraph" w:styleId="BodyText">
    <w:name w:val="Body Text"/>
    <w:basedOn w:val="Normal"/>
    <w:link w:val="BodyTextChar"/>
    <w:uiPriority w:val="1"/>
    <w:qFormat/>
    <w:rsid w:val="00FF7503"/>
    <w:pPr>
      <w:widowControl w:val="0"/>
      <w:spacing w:after="0" w:line="240" w:lineRule="auto"/>
      <w:ind w:left="488" w:hanging="336"/>
    </w:pPr>
    <w:rPr>
      <w:rFonts w:ascii="Times New Roman" w:eastAsia="Times New Roman" w:hAnsi="Times New Roman"/>
      <w:lang w:eastAsia="en-US"/>
    </w:rPr>
  </w:style>
  <w:style w:type="character" w:customStyle="1" w:styleId="BodyTextChar">
    <w:name w:val="Body Text Char"/>
    <w:basedOn w:val="DefaultParagraphFont"/>
    <w:link w:val="BodyText"/>
    <w:uiPriority w:val="1"/>
    <w:rsid w:val="00FF7503"/>
    <w:rPr>
      <w:rFonts w:cs="Arial"/>
      <w:sz w:val="22"/>
      <w:szCs w:val="22"/>
    </w:rPr>
  </w:style>
  <w:style w:type="table" w:styleId="TableGrid">
    <w:name w:val="Table Grid"/>
    <w:basedOn w:val="TableNormal"/>
    <w:rsid w:val="00FF7503"/>
    <w:rPr>
      <w:rFonts w:ascii="Calibri" w:eastAsia="SimSun" w:hAnsi="Calibri" w:cs="Arial"/>
      <w:sz w:val="22"/>
      <w:szCs w:val="22"/>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ATable">
    <w:name w:val="AA_Table"/>
    <w:basedOn w:val="TableNormal"/>
    <w:semiHidden/>
    <w:rsid w:val="003A77F1"/>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160D74"/>
    <w:pPr>
      <w:keepNext/>
      <w:keepLines/>
      <w:suppressAutoHyphens/>
      <w:ind w:right="5103"/>
    </w:pPr>
    <w:rPr>
      <w:b/>
      <w:lang w:val="en-GB"/>
    </w:rPr>
  </w:style>
  <w:style w:type="paragraph" w:customStyle="1" w:styleId="AATitle2">
    <w:name w:val="AA_Title2"/>
    <w:basedOn w:val="AATitle"/>
    <w:rsid w:val="00160D74"/>
    <w:pPr>
      <w:tabs>
        <w:tab w:val="clear" w:pos="4082"/>
      </w:tabs>
      <w:spacing w:before="120" w:after="120"/>
      <w:ind w:right="4536"/>
    </w:pPr>
  </w:style>
  <w:style w:type="paragraph" w:customStyle="1" w:styleId="BBTitle">
    <w:name w:val="BB_Title"/>
    <w:basedOn w:val="Normalpool"/>
    <w:rsid w:val="00160D74"/>
    <w:pPr>
      <w:keepNext/>
      <w:keepLines/>
      <w:suppressAutoHyphens/>
      <w:spacing w:before="320" w:after="240"/>
      <w:ind w:left="1247" w:right="567"/>
    </w:pPr>
    <w:rPr>
      <w:b/>
      <w:sz w:val="28"/>
      <w:szCs w:val="28"/>
      <w:lang w:val="en-GB"/>
    </w:rPr>
  </w:style>
  <w:style w:type="paragraph" w:styleId="Footer">
    <w:name w:val="footer"/>
    <w:basedOn w:val="Normal"/>
    <w:semiHidden/>
    <w:rsid w:val="00821395"/>
    <w:pPr>
      <w:tabs>
        <w:tab w:val="center" w:pos="4320"/>
        <w:tab w:val="right" w:pos="8640"/>
      </w:tabs>
      <w:spacing w:before="60" w:after="120"/>
    </w:pPr>
    <w:rPr>
      <w:sz w:val="18"/>
    </w:rPr>
  </w:style>
  <w:style w:type="paragraph" w:styleId="Header">
    <w:name w:val="header"/>
    <w:basedOn w:val="Normal"/>
    <w:link w:val="HeaderChar"/>
    <w:uiPriority w:val="99"/>
    <w:rsid w:val="000D6941"/>
    <w:pPr>
      <w:pBdr>
        <w:bottom w:val="single" w:sz="4" w:space="1" w:color="auto"/>
      </w:pBdr>
      <w:tabs>
        <w:tab w:val="center" w:pos="4536"/>
        <w:tab w:val="right" w:pos="9072"/>
      </w:tabs>
      <w:spacing w:after="120"/>
    </w:pPr>
    <w:rPr>
      <w:b/>
      <w:sz w:val="18"/>
    </w:rPr>
  </w:style>
  <w:style w:type="character" w:styleId="Hyperlink">
    <w:name w:val="Hyperlink"/>
    <w:basedOn w:val="DefaultParagraphFont"/>
    <w:semiHidden/>
    <w:rsid w:val="000D6941"/>
    <w:rPr>
      <w:rFonts w:ascii="Times New Roman" w:hAnsi="Times New Roman"/>
      <w:color w:val="auto"/>
      <w:sz w:val="20"/>
      <w:szCs w:val="20"/>
      <w:u w:val="none"/>
      <w:lang w:val="fr-FR"/>
    </w:rPr>
  </w:style>
  <w:style w:type="numbering" w:customStyle="1" w:styleId="Normallist">
    <w:name w:val="Normal_list"/>
    <w:basedOn w:val="NoList"/>
    <w:rsid w:val="003A77F1"/>
    <w:pPr>
      <w:numPr>
        <w:numId w:val="3"/>
      </w:numPr>
    </w:pPr>
  </w:style>
  <w:style w:type="paragraph" w:customStyle="1" w:styleId="NormalNonumber">
    <w:name w:val="Normal_No_number"/>
    <w:basedOn w:val="Normalpool"/>
    <w:rsid w:val="00160D74"/>
    <w:pPr>
      <w:spacing w:after="120"/>
      <w:ind w:left="1247"/>
    </w:pPr>
    <w:rPr>
      <w:lang w:val="en-GB"/>
    </w:rPr>
  </w:style>
  <w:style w:type="paragraph" w:customStyle="1" w:styleId="Normalnumber">
    <w:name w:val="Normal_number"/>
    <w:basedOn w:val="Normalpool"/>
    <w:link w:val="NormalnumberChar"/>
    <w:rsid w:val="00160D74"/>
    <w:pPr>
      <w:numPr>
        <w:numId w:val="4"/>
      </w:numPr>
      <w:spacing w:after="120"/>
    </w:pPr>
    <w:rPr>
      <w:lang w:val="en-GB"/>
    </w:rPr>
  </w:style>
  <w:style w:type="paragraph" w:customStyle="1" w:styleId="Titletable">
    <w:name w:val="Title_table"/>
    <w:basedOn w:val="Normalpool"/>
    <w:rsid w:val="00160D74"/>
    <w:pPr>
      <w:keepNext/>
      <w:keepLines/>
      <w:suppressAutoHyphens/>
      <w:spacing w:after="60"/>
      <w:ind w:left="1247"/>
    </w:pPr>
    <w:rPr>
      <w:b/>
      <w:bCs/>
      <w:lang w:val="en-GB"/>
    </w:rPr>
  </w:style>
  <w:style w:type="paragraph" w:styleId="TOC1">
    <w:name w:val="toc 1"/>
    <w:basedOn w:val="Normalpool"/>
    <w:next w:val="Normalpool"/>
    <w:rsid w:val="000D6941"/>
    <w:pPr>
      <w:tabs>
        <w:tab w:val="clear" w:pos="2381"/>
        <w:tab w:val="clear" w:pos="2948"/>
        <w:tab w:val="clear" w:pos="3515"/>
        <w:tab w:val="clear" w:pos="4082"/>
        <w:tab w:val="right" w:leader="dot" w:pos="9486"/>
      </w:tabs>
      <w:spacing w:before="240"/>
      <w:ind w:left="1814" w:hanging="567"/>
    </w:pPr>
    <w:rPr>
      <w:bCs/>
    </w:rPr>
  </w:style>
  <w:style w:type="paragraph" w:styleId="TOC2">
    <w:name w:val="toc 2"/>
    <w:basedOn w:val="Normalpool"/>
    <w:next w:val="Normalpool"/>
    <w:rsid w:val="000D6941"/>
    <w:pPr>
      <w:tabs>
        <w:tab w:val="clear" w:pos="1814"/>
        <w:tab w:val="clear" w:pos="2948"/>
        <w:tab w:val="clear" w:pos="3515"/>
        <w:tab w:val="clear" w:pos="4082"/>
        <w:tab w:val="right" w:leader="dot" w:pos="9486"/>
      </w:tabs>
      <w:ind w:left="2381" w:hanging="567"/>
    </w:pPr>
  </w:style>
  <w:style w:type="paragraph" w:styleId="TOC3">
    <w:name w:val="toc 3"/>
    <w:basedOn w:val="Normalpool"/>
    <w:next w:val="Normalpool"/>
    <w:rsid w:val="000D6941"/>
    <w:pPr>
      <w:tabs>
        <w:tab w:val="clear" w:pos="1814"/>
        <w:tab w:val="clear" w:pos="2381"/>
        <w:tab w:val="clear" w:pos="2948"/>
        <w:tab w:val="clear" w:pos="3515"/>
        <w:tab w:val="right" w:leader="dot" w:pos="9486"/>
      </w:tabs>
      <w:ind w:left="2948" w:hanging="567"/>
    </w:pPr>
    <w:rPr>
      <w:iCs/>
    </w:rPr>
  </w:style>
  <w:style w:type="paragraph" w:styleId="TOC4">
    <w:name w:val="toc 4"/>
    <w:basedOn w:val="Normalpool"/>
    <w:next w:val="Normalpool"/>
    <w:rsid w:val="000D6941"/>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0D6941"/>
    <w:pPr>
      <w:ind w:left="800"/>
    </w:pPr>
    <w:rPr>
      <w:sz w:val="18"/>
      <w:szCs w:val="18"/>
    </w:rPr>
  </w:style>
  <w:style w:type="paragraph" w:customStyle="1" w:styleId="ZZAnxheader">
    <w:name w:val="ZZ_Anx_header"/>
    <w:basedOn w:val="Normalpool"/>
    <w:rsid w:val="00160D74"/>
    <w:rPr>
      <w:b/>
      <w:bCs/>
      <w:sz w:val="28"/>
      <w:szCs w:val="22"/>
      <w:lang w:val="en-GB"/>
    </w:rPr>
  </w:style>
  <w:style w:type="paragraph" w:customStyle="1" w:styleId="ZZAnxtitle">
    <w:name w:val="ZZ_Anx_title"/>
    <w:basedOn w:val="Normalpool"/>
    <w:rsid w:val="00160D74"/>
    <w:pPr>
      <w:spacing w:before="360" w:after="120"/>
      <w:ind w:left="1247"/>
    </w:pPr>
    <w:rPr>
      <w:b/>
      <w:bCs/>
      <w:sz w:val="28"/>
      <w:szCs w:val="26"/>
      <w:lang w:val="en-GB"/>
    </w:rPr>
  </w:style>
  <w:style w:type="paragraph" w:styleId="BalloonText">
    <w:name w:val="Balloon Text"/>
    <w:basedOn w:val="Normal"/>
    <w:link w:val="BalloonTextChar"/>
    <w:rsid w:val="00C828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82831"/>
    <w:rPr>
      <w:rFonts w:ascii="Tahoma" w:eastAsia="SimSun" w:hAnsi="Tahoma" w:cs="Tahoma"/>
      <w:sz w:val="16"/>
      <w:szCs w:val="16"/>
      <w:lang w:eastAsia="zh-CN"/>
    </w:rPr>
  </w:style>
  <w:style w:type="character" w:styleId="CommentReference">
    <w:name w:val="annotation reference"/>
    <w:basedOn w:val="DefaultParagraphFont"/>
    <w:uiPriority w:val="99"/>
    <w:semiHidden/>
    <w:unhideWhenUsed/>
    <w:rsid w:val="0061573E"/>
    <w:rPr>
      <w:sz w:val="16"/>
      <w:szCs w:val="16"/>
    </w:rPr>
  </w:style>
  <w:style w:type="paragraph" w:styleId="CommentText">
    <w:name w:val="annotation text"/>
    <w:basedOn w:val="Normal"/>
    <w:link w:val="CommentTextChar"/>
    <w:uiPriority w:val="99"/>
    <w:unhideWhenUsed/>
    <w:rsid w:val="0061573E"/>
    <w:pPr>
      <w:spacing w:line="240" w:lineRule="auto"/>
    </w:pPr>
    <w:rPr>
      <w:sz w:val="20"/>
      <w:szCs w:val="20"/>
    </w:rPr>
  </w:style>
  <w:style w:type="character" w:customStyle="1" w:styleId="CommentTextChar">
    <w:name w:val="Comment Text Char"/>
    <w:basedOn w:val="DefaultParagraphFont"/>
    <w:link w:val="CommentText"/>
    <w:uiPriority w:val="99"/>
    <w:rsid w:val="0061573E"/>
    <w:rPr>
      <w:rFonts w:ascii="Calibri" w:eastAsia="SimSun" w:hAnsi="Calibri" w:cs="Arial"/>
      <w:lang w:eastAsia="zh-CN"/>
    </w:rPr>
  </w:style>
  <w:style w:type="paragraph" w:styleId="CommentSubject">
    <w:name w:val="annotation subject"/>
    <w:basedOn w:val="CommentText"/>
    <w:next w:val="CommentText"/>
    <w:link w:val="CommentSubjectChar"/>
    <w:semiHidden/>
    <w:unhideWhenUsed/>
    <w:rsid w:val="0061573E"/>
    <w:rPr>
      <w:b/>
      <w:bCs/>
    </w:rPr>
  </w:style>
  <w:style w:type="character" w:customStyle="1" w:styleId="CommentSubjectChar">
    <w:name w:val="Comment Subject Char"/>
    <w:basedOn w:val="CommentTextChar"/>
    <w:link w:val="CommentSubject"/>
    <w:semiHidden/>
    <w:rsid w:val="0061573E"/>
    <w:rPr>
      <w:rFonts w:ascii="Calibri" w:eastAsia="SimSun" w:hAnsi="Calibri" w:cs="Arial"/>
      <w:b/>
      <w:bCs/>
      <w:lang w:eastAsia="zh-CN"/>
    </w:rPr>
  </w:style>
  <w:style w:type="paragraph" w:styleId="Revision">
    <w:name w:val="Revision"/>
    <w:hidden/>
    <w:uiPriority w:val="99"/>
    <w:semiHidden/>
    <w:rsid w:val="0061573E"/>
    <w:rPr>
      <w:rFonts w:ascii="Calibri" w:eastAsia="SimSun" w:hAnsi="Calibri" w:cs="Arial"/>
      <w:sz w:val="22"/>
      <w:szCs w:val="22"/>
      <w:lang w:eastAsia="zh-CN"/>
    </w:rPr>
  </w:style>
  <w:style w:type="character" w:customStyle="1" w:styleId="HeaderChar">
    <w:name w:val="Header Char"/>
    <w:basedOn w:val="DefaultParagraphFont"/>
    <w:link w:val="Header"/>
    <w:uiPriority w:val="99"/>
    <w:rsid w:val="00E866E3"/>
    <w:rPr>
      <w:rFonts w:ascii="Calibri" w:eastAsia="SimSun" w:hAnsi="Calibri" w:cs="Arial"/>
      <w:b/>
      <w:sz w:val="18"/>
      <w:szCs w:val="22"/>
      <w:lang w:eastAsia="zh-CN"/>
    </w:rPr>
  </w:style>
  <w:style w:type="paragraph" w:customStyle="1" w:styleId="Headingunnumbered">
    <w:name w:val="Heading unnumbered"/>
    <w:basedOn w:val="Normal"/>
    <w:next w:val="Normal"/>
    <w:rsid w:val="00E57D74"/>
    <w:pPr>
      <w:keepNext/>
      <w:spacing w:after="240" w:line="240" w:lineRule="auto"/>
    </w:pPr>
    <w:rPr>
      <w:rFonts w:ascii="Times New Roman" w:eastAsia="Times New Roman" w:hAnsi="Times New Roman" w:cs="Times New Roman"/>
      <w:b/>
      <w:sz w:val="24"/>
      <w:szCs w:val="20"/>
      <w:lang w:eastAsia="en-US"/>
    </w:rPr>
  </w:style>
  <w:style w:type="character" w:styleId="Emphasis">
    <w:name w:val="Emphasis"/>
    <w:basedOn w:val="DefaultParagraphFont"/>
    <w:uiPriority w:val="20"/>
    <w:qFormat/>
    <w:rsid w:val="008D57A2"/>
    <w:rPr>
      <w:i/>
      <w:iCs/>
    </w:rPr>
  </w:style>
  <w:style w:type="character" w:customStyle="1" w:styleId="highlight">
    <w:name w:val="highlight"/>
    <w:basedOn w:val="DefaultParagraphFont"/>
    <w:rsid w:val="00625DD8"/>
  </w:style>
  <w:style w:type="paragraph" w:styleId="NormalWeb">
    <w:name w:val="Normal (Web)"/>
    <w:basedOn w:val="Normal"/>
    <w:uiPriority w:val="99"/>
    <w:unhideWhenUsed/>
    <w:rsid w:val="006D6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CharCharChar">
    <w:name w:val="BVI fnr Char Char Char Char"/>
    <w:aliases w:val="BVI fnr Car Car Char Char Char Char,BVI fnr Car Char Char Char Char,BVI fnr Car Car Car Car Char Char Char Char,BVI fnr Car Car Car Car Char Char Char1 Char Char"/>
    <w:basedOn w:val="Normal"/>
    <w:link w:val="FootnoteReference"/>
    <w:rsid w:val="00805BB5"/>
    <w:pPr>
      <w:spacing w:before="120" w:after="160" w:line="240" w:lineRule="exact"/>
    </w:pPr>
    <w:rPr>
      <w:rFonts w:ascii="Times New Roman" w:eastAsia="Times New Roman" w:hAnsi="Times New Roman" w:cs="Times New Roman"/>
      <w:sz w:val="20"/>
      <w:szCs w:val="18"/>
      <w:vertAlign w:val="superscript"/>
      <w:lang w:eastAsia="en-US"/>
    </w:rPr>
  </w:style>
  <w:style w:type="character" w:customStyle="1" w:styleId="Normal-poolChar">
    <w:name w:val="Normal-pool Char"/>
    <w:link w:val="Normal-pool"/>
    <w:locked/>
    <w:rsid w:val="00805BB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472060250">
      <w:bodyDiv w:val="1"/>
      <w:marLeft w:val="0"/>
      <w:marRight w:val="0"/>
      <w:marTop w:val="0"/>
      <w:marBottom w:val="0"/>
      <w:divBdr>
        <w:top w:val="none" w:sz="0" w:space="0" w:color="auto"/>
        <w:left w:val="none" w:sz="0" w:space="0" w:color="auto"/>
        <w:bottom w:val="none" w:sz="0" w:space="0" w:color="auto"/>
        <w:right w:val="none" w:sz="0" w:space="0" w:color="auto"/>
      </w:divBdr>
      <w:divsChild>
        <w:div w:id="1410151197">
          <w:marLeft w:val="0"/>
          <w:marRight w:val="0"/>
          <w:marTop w:val="0"/>
          <w:marBottom w:val="0"/>
          <w:divBdr>
            <w:top w:val="none" w:sz="0" w:space="0" w:color="auto"/>
            <w:left w:val="none" w:sz="0" w:space="0" w:color="auto"/>
            <w:bottom w:val="none" w:sz="0" w:space="0" w:color="auto"/>
            <w:right w:val="none" w:sz="0" w:space="0" w:color="auto"/>
          </w:divBdr>
        </w:div>
        <w:div w:id="1999070161">
          <w:marLeft w:val="0"/>
          <w:marRight w:val="0"/>
          <w:marTop w:val="0"/>
          <w:marBottom w:val="0"/>
          <w:divBdr>
            <w:top w:val="none" w:sz="0" w:space="0" w:color="auto"/>
            <w:left w:val="none" w:sz="0" w:space="0" w:color="auto"/>
            <w:bottom w:val="none" w:sz="0" w:space="0" w:color="auto"/>
            <w:right w:val="none" w:sz="0" w:space="0" w:color="auto"/>
          </w:divBdr>
        </w:div>
        <w:div w:id="1662076273">
          <w:marLeft w:val="0"/>
          <w:marRight w:val="0"/>
          <w:marTop w:val="0"/>
          <w:marBottom w:val="0"/>
          <w:divBdr>
            <w:top w:val="none" w:sz="0" w:space="0" w:color="auto"/>
            <w:left w:val="none" w:sz="0" w:space="0" w:color="auto"/>
            <w:bottom w:val="none" w:sz="0" w:space="0" w:color="auto"/>
            <w:right w:val="none" w:sz="0" w:space="0" w:color="auto"/>
          </w:divBdr>
        </w:div>
        <w:div w:id="619070599">
          <w:marLeft w:val="0"/>
          <w:marRight w:val="0"/>
          <w:marTop w:val="0"/>
          <w:marBottom w:val="0"/>
          <w:divBdr>
            <w:top w:val="none" w:sz="0" w:space="0" w:color="auto"/>
            <w:left w:val="none" w:sz="0" w:space="0" w:color="auto"/>
            <w:bottom w:val="none" w:sz="0" w:space="0" w:color="auto"/>
            <w:right w:val="none" w:sz="0" w:space="0" w:color="auto"/>
          </w:divBdr>
        </w:div>
      </w:divsChild>
    </w:div>
    <w:div w:id="719089062">
      <w:bodyDiv w:val="1"/>
      <w:marLeft w:val="0"/>
      <w:marRight w:val="0"/>
      <w:marTop w:val="0"/>
      <w:marBottom w:val="0"/>
      <w:divBdr>
        <w:top w:val="none" w:sz="0" w:space="0" w:color="auto"/>
        <w:left w:val="none" w:sz="0" w:space="0" w:color="auto"/>
        <w:bottom w:val="none" w:sz="0" w:space="0" w:color="auto"/>
        <w:right w:val="none" w:sz="0" w:space="0" w:color="auto"/>
      </w:divBdr>
      <w:divsChild>
        <w:div w:id="437260497">
          <w:marLeft w:val="0"/>
          <w:marRight w:val="0"/>
          <w:marTop w:val="0"/>
          <w:marBottom w:val="0"/>
          <w:divBdr>
            <w:top w:val="none" w:sz="0" w:space="0" w:color="auto"/>
            <w:left w:val="none" w:sz="0" w:space="0" w:color="auto"/>
            <w:bottom w:val="none" w:sz="0" w:space="0" w:color="auto"/>
            <w:right w:val="none" w:sz="0" w:space="0" w:color="auto"/>
          </w:divBdr>
        </w:div>
        <w:div w:id="639110818">
          <w:marLeft w:val="0"/>
          <w:marRight w:val="0"/>
          <w:marTop w:val="0"/>
          <w:marBottom w:val="0"/>
          <w:divBdr>
            <w:top w:val="none" w:sz="0" w:space="0" w:color="auto"/>
            <w:left w:val="none" w:sz="0" w:space="0" w:color="auto"/>
            <w:bottom w:val="none" w:sz="0" w:space="0" w:color="auto"/>
            <w:right w:val="none" w:sz="0" w:space="0" w:color="auto"/>
          </w:divBdr>
        </w:div>
        <w:div w:id="1795824340">
          <w:marLeft w:val="0"/>
          <w:marRight w:val="0"/>
          <w:marTop w:val="0"/>
          <w:marBottom w:val="0"/>
          <w:divBdr>
            <w:top w:val="none" w:sz="0" w:space="0" w:color="auto"/>
            <w:left w:val="none" w:sz="0" w:space="0" w:color="auto"/>
            <w:bottom w:val="none" w:sz="0" w:space="0" w:color="auto"/>
            <w:right w:val="none" w:sz="0" w:space="0" w:color="auto"/>
          </w:divBdr>
        </w:div>
        <w:div w:id="941956736">
          <w:marLeft w:val="0"/>
          <w:marRight w:val="0"/>
          <w:marTop w:val="0"/>
          <w:marBottom w:val="0"/>
          <w:divBdr>
            <w:top w:val="none" w:sz="0" w:space="0" w:color="auto"/>
            <w:left w:val="none" w:sz="0" w:space="0" w:color="auto"/>
            <w:bottom w:val="none" w:sz="0" w:space="0" w:color="auto"/>
            <w:right w:val="none" w:sz="0" w:space="0" w:color="auto"/>
          </w:divBdr>
        </w:div>
      </w:divsChild>
    </w:div>
    <w:div w:id="895774226">
      <w:bodyDiv w:val="1"/>
      <w:marLeft w:val="0"/>
      <w:marRight w:val="0"/>
      <w:marTop w:val="0"/>
      <w:marBottom w:val="0"/>
      <w:divBdr>
        <w:top w:val="none" w:sz="0" w:space="0" w:color="auto"/>
        <w:left w:val="none" w:sz="0" w:space="0" w:color="auto"/>
        <w:bottom w:val="none" w:sz="0" w:space="0" w:color="auto"/>
        <w:right w:val="none" w:sz="0" w:space="0" w:color="auto"/>
      </w:divBdr>
    </w:div>
    <w:div w:id="1006829810">
      <w:bodyDiv w:val="1"/>
      <w:marLeft w:val="0"/>
      <w:marRight w:val="0"/>
      <w:marTop w:val="0"/>
      <w:marBottom w:val="0"/>
      <w:divBdr>
        <w:top w:val="none" w:sz="0" w:space="0" w:color="auto"/>
        <w:left w:val="none" w:sz="0" w:space="0" w:color="auto"/>
        <w:bottom w:val="none" w:sz="0" w:space="0" w:color="auto"/>
        <w:right w:val="none" w:sz="0" w:space="0" w:color="auto"/>
      </w:divBdr>
      <w:divsChild>
        <w:div w:id="2028292162">
          <w:marLeft w:val="0"/>
          <w:marRight w:val="0"/>
          <w:marTop w:val="0"/>
          <w:marBottom w:val="0"/>
          <w:divBdr>
            <w:top w:val="none" w:sz="0" w:space="0" w:color="auto"/>
            <w:left w:val="none" w:sz="0" w:space="0" w:color="auto"/>
            <w:bottom w:val="none" w:sz="0" w:space="0" w:color="auto"/>
            <w:right w:val="none" w:sz="0" w:space="0" w:color="auto"/>
          </w:divBdr>
        </w:div>
        <w:div w:id="646515924">
          <w:marLeft w:val="0"/>
          <w:marRight w:val="0"/>
          <w:marTop w:val="0"/>
          <w:marBottom w:val="0"/>
          <w:divBdr>
            <w:top w:val="none" w:sz="0" w:space="0" w:color="auto"/>
            <w:left w:val="none" w:sz="0" w:space="0" w:color="auto"/>
            <w:bottom w:val="none" w:sz="0" w:space="0" w:color="auto"/>
            <w:right w:val="none" w:sz="0" w:space="0" w:color="auto"/>
          </w:divBdr>
        </w:div>
        <w:div w:id="897133068">
          <w:marLeft w:val="0"/>
          <w:marRight w:val="0"/>
          <w:marTop w:val="0"/>
          <w:marBottom w:val="0"/>
          <w:divBdr>
            <w:top w:val="none" w:sz="0" w:space="0" w:color="auto"/>
            <w:left w:val="none" w:sz="0" w:space="0" w:color="auto"/>
            <w:bottom w:val="none" w:sz="0" w:space="0" w:color="auto"/>
            <w:right w:val="none" w:sz="0" w:space="0" w:color="auto"/>
          </w:divBdr>
        </w:div>
        <w:div w:id="605692450">
          <w:marLeft w:val="0"/>
          <w:marRight w:val="0"/>
          <w:marTop w:val="0"/>
          <w:marBottom w:val="0"/>
          <w:divBdr>
            <w:top w:val="none" w:sz="0" w:space="0" w:color="auto"/>
            <w:left w:val="none" w:sz="0" w:space="0" w:color="auto"/>
            <w:bottom w:val="none" w:sz="0" w:space="0" w:color="auto"/>
            <w:right w:val="none" w:sz="0" w:space="0" w:color="auto"/>
          </w:divBdr>
        </w:div>
        <w:div w:id="306521378">
          <w:marLeft w:val="0"/>
          <w:marRight w:val="0"/>
          <w:marTop w:val="0"/>
          <w:marBottom w:val="0"/>
          <w:divBdr>
            <w:top w:val="none" w:sz="0" w:space="0" w:color="auto"/>
            <w:left w:val="none" w:sz="0" w:space="0" w:color="auto"/>
            <w:bottom w:val="none" w:sz="0" w:space="0" w:color="auto"/>
            <w:right w:val="none" w:sz="0" w:space="0" w:color="auto"/>
          </w:divBdr>
        </w:div>
        <w:div w:id="242224611">
          <w:marLeft w:val="0"/>
          <w:marRight w:val="0"/>
          <w:marTop w:val="0"/>
          <w:marBottom w:val="0"/>
          <w:divBdr>
            <w:top w:val="none" w:sz="0" w:space="0" w:color="auto"/>
            <w:left w:val="none" w:sz="0" w:space="0" w:color="auto"/>
            <w:bottom w:val="none" w:sz="0" w:space="0" w:color="auto"/>
            <w:right w:val="none" w:sz="0" w:space="0" w:color="auto"/>
          </w:divBdr>
        </w:div>
        <w:div w:id="1470829375">
          <w:marLeft w:val="0"/>
          <w:marRight w:val="0"/>
          <w:marTop w:val="0"/>
          <w:marBottom w:val="0"/>
          <w:divBdr>
            <w:top w:val="none" w:sz="0" w:space="0" w:color="auto"/>
            <w:left w:val="none" w:sz="0" w:space="0" w:color="auto"/>
            <w:bottom w:val="none" w:sz="0" w:space="0" w:color="auto"/>
            <w:right w:val="none" w:sz="0" w:space="0" w:color="auto"/>
          </w:divBdr>
        </w:div>
        <w:div w:id="1385182002">
          <w:marLeft w:val="0"/>
          <w:marRight w:val="0"/>
          <w:marTop w:val="0"/>
          <w:marBottom w:val="0"/>
          <w:divBdr>
            <w:top w:val="none" w:sz="0" w:space="0" w:color="auto"/>
            <w:left w:val="none" w:sz="0" w:space="0" w:color="auto"/>
            <w:bottom w:val="none" w:sz="0" w:space="0" w:color="auto"/>
            <w:right w:val="none" w:sz="0" w:space="0" w:color="auto"/>
          </w:divBdr>
        </w:div>
        <w:div w:id="257442623">
          <w:marLeft w:val="0"/>
          <w:marRight w:val="0"/>
          <w:marTop w:val="0"/>
          <w:marBottom w:val="0"/>
          <w:divBdr>
            <w:top w:val="none" w:sz="0" w:space="0" w:color="auto"/>
            <w:left w:val="none" w:sz="0" w:space="0" w:color="auto"/>
            <w:bottom w:val="none" w:sz="0" w:space="0" w:color="auto"/>
            <w:right w:val="none" w:sz="0" w:space="0" w:color="auto"/>
          </w:divBdr>
        </w:div>
        <w:div w:id="1789473767">
          <w:marLeft w:val="0"/>
          <w:marRight w:val="0"/>
          <w:marTop w:val="0"/>
          <w:marBottom w:val="0"/>
          <w:divBdr>
            <w:top w:val="none" w:sz="0" w:space="0" w:color="auto"/>
            <w:left w:val="none" w:sz="0" w:space="0" w:color="auto"/>
            <w:bottom w:val="none" w:sz="0" w:space="0" w:color="auto"/>
            <w:right w:val="none" w:sz="0" w:space="0" w:color="auto"/>
          </w:divBdr>
        </w:div>
        <w:div w:id="1256674755">
          <w:marLeft w:val="0"/>
          <w:marRight w:val="0"/>
          <w:marTop w:val="0"/>
          <w:marBottom w:val="0"/>
          <w:divBdr>
            <w:top w:val="none" w:sz="0" w:space="0" w:color="auto"/>
            <w:left w:val="none" w:sz="0" w:space="0" w:color="auto"/>
            <w:bottom w:val="none" w:sz="0" w:space="0" w:color="auto"/>
            <w:right w:val="none" w:sz="0" w:space="0" w:color="auto"/>
          </w:divBdr>
        </w:div>
        <w:div w:id="1310013738">
          <w:marLeft w:val="0"/>
          <w:marRight w:val="0"/>
          <w:marTop w:val="0"/>
          <w:marBottom w:val="0"/>
          <w:divBdr>
            <w:top w:val="none" w:sz="0" w:space="0" w:color="auto"/>
            <w:left w:val="none" w:sz="0" w:space="0" w:color="auto"/>
            <w:bottom w:val="none" w:sz="0" w:space="0" w:color="auto"/>
            <w:right w:val="none" w:sz="0" w:space="0" w:color="auto"/>
          </w:divBdr>
        </w:div>
        <w:div w:id="212080273">
          <w:marLeft w:val="0"/>
          <w:marRight w:val="0"/>
          <w:marTop w:val="0"/>
          <w:marBottom w:val="0"/>
          <w:divBdr>
            <w:top w:val="none" w:sz="0" w:space="0" w:color="auto"/>
            <w:left w:val="none" w:sz="0" w:space="0" w:color="auto"/>
            <w:bottom w:val="none" w:sz="0" w:space="0" w:color="auto"/>
            <w:right w:val="none" w:sz="0" w:space="0" w:color="auto"/>
          </w:divBdr>
        </w:div>
        <w:div w:id="1043168944">
          <w:marLeft w:val="0"/>
          <w:marRight w:val="0"/>
          <w:marTop w:val="0"/>
          <w:marBottom w:val="0"/>
          <w:divBdr>
            <w:top w:val="none" w:sz="0" w:space="0" w:color="auto"/>
            <w:left w:val="none" w:sz="0" w:space="0" w:color="auto"/>
            <w:bottom w:val="none" w:sz="0" w:space="0" w:color="auto"/>
            <w:right w:val="none" w:sz="0" w:space="0" w:color="auto"/>
          </w:divBdr>
        </w:div>
        <w:div w:id="1425762057">
          <w:marLeft w:val="0"/>
          <w:marRight w:val="0"/>
          <w:marTop w:val="0"/>
          <w:marBottom w:val="0"/>
          <w:divBdr>
            <w:top w:val="none" w:sz="0" w:space="0" w:color="auto"/>
            <w:left w:val="none" w:sz="0" w:space="0" w:color="auto"/>
            <w:bottom w:val="none" w:sz="0" w:space="0" w:color="auto"/>
            <w:right w:val="none" w:sz="0" w:space="0" w:color="auto"/>
          </w:divBdr>
        </w:div>
        <w:div w:id="2109738350">
          <w:marLeft w:val="0"/>
          <w:marRight w:val="0"/>
          <w:marTop w:val="0"/>
          <w:marBottom w:val="0"/>
          <w:divBdr>
            <w:top w:val="none" w:sz="0" w:space="0" w:color="auto"/>
            <w:left w:val="none" w:sz="0" w:space="0" w:color="auto"/>
            <w:bottom w:val="none" w:sz="0" w:space="0" w:color="auto"/>
            <w:right w:val="none" w:sz="0" w:space="0" w:color="auto"/>
          </w:divBdr>
        </w:div>
        <w:div w:id="1304778072">
          <w:marLeft w:val="0"/>
          <w:marRight w:val="0"/>
          <w:marTop w:val="0"/>
          <w:marBottom w:val="0"/>
          <w:divBdr>
            <w:top w:val="none" w:sz="0" w:space="0" w:color="auto"/>
            <w:left w:val="none" w:sz="0" w:space="0" w:color="auto"/>
            <w:bottom w:val="none" w:sz="0" w:space="0" w:color="auto"/>
            <w:right w:val="none" w:sz="0" w:space="0" w:color="auto"/>
          </w:divBdr>
        </w:div>
        <w:div w:id="833109005">
          <w:marLeft w:val="0"/>
          <w:marRight w:val="0"/>
          <w:marTop w:val="0"/>
          <w:marBottom w:val="0"/>
          <w:divBdr>
            <w:top w:val="none" w:sz="0" w:space="0" w:color="auto"/>
            <w:left w:val="none" w:sz="0" w:space="0" w:color="auto"/>
            <w:bottom w:val="none" w:sz="0" w:space="0" w:color="auto"/>
            <w:right w:val="none" w:sz="0" w:space="0" w:color="auto"/>
          </w:divBdr>
        </w:div>
        <w:div w:id="1183320596">
          <w:marLeft w:val="0"/>
          <w:marRight w:val="0"/>
          <w:marTop w:val="0"/>
          <w:marBottom w:val="0"/>
          <w:divBdr>
            <w:top w:val="none" w:sz="0" w:space="0" w:color="auto"/>
            <w:left w:val="none" w:sz="0" w:space="0" w:color="auto"/>
            <w:bottom w:val="none" w:sz="0" w:space="0" w:color="auto"/>
            <w:right w:val="none" w:sz="0" w:space="0" w:color="auto"/>
          </w:divBdr>
        </w:div>
        <w:div w:id="653535818">
          <w:marLeft w:val="0"/>
          <w:marRight w:val="0"/>
          <w:marTop w:val="0"/>
          <w:marBottom w:val="0"/>
          <w:divBdr>
            <w:top w:val="none" w:sz="0" w:space="0" w:color="auto"/>
            <w:left w:val="none" w:sz="0" w:space="0" w:color="auto"/>
            <w:bottom w:val="none" w:sz="0" w:space="0" w:color="auto"/>
            <w:right w:val="none" w:sz="0" w:space="0" w:color="auto"/>
          </w:divBdr>
        </w:div>
        <w:div w:id="1716392619">
          <w:marLeft w:val="0"/>
          <w:marRight w:val="0"/>
          <w:marTop w:val="0"/>
          <w:marBottom w:val="0"/>
          <w:divBdr>
            <w:top w:val="none" w:sz="0" w:space="0" w:color="auto"/>
            <w:left w:val="none" w:sz="0" w:space="0" w:color="auto"/>
            <w:bottom w:val="none" w:sz="0" w:space="0" w:color="auto"/>
            <w:right w:val="none" w:sz="0" w:space="0" w:color="auto"/>
          </w:divBdr>
        </w:div>
        <w:div w:id="860238975">
          <w:marLeft w:val="0"/>
          <w:marRight w:val="0"/>
          <w:marTop w:val="0"/>
          <w:marBottom w:val="0"/>
          <w:divBdr>
            <w:top w:val="none" w:sz="0" w:space="0" w:color="auto"/>
            <w:left w:val="none" w:sz="0" w:space="0" w:color="auto"/>
            <w:bottom w:val="none" w:sz="0" w:space="0" w:color="auto"/>
            <w:right w:val="none" w:sz="0" w:space="0" w:color="auto"/>
          </w:divBdr>
        </w:div>
        <w:div w:id="1899825760">
          <w:marLeft w:val="0"/>
          <w:marRight w:val="0"/>
          <w:marTop w:val="0"/>
          <w:marBottom w:val="0"/>
          <w:divBdr>
            <w:top w:val="none" w:sz="0" w:space="0" w:color="auto"/>
            <w:left w:val="none" w:sz="0" w:space="0" w:color="auto"/>
            <w:bottom w:val="none" w:sz="0" w:space="0" w:color="auto"/>
            <w:right w:val="none" w:sz="0" w:space="0" w:color="auto"/>
          </w:divBdr>
        </w:div>
        <w:div w:id="10374783">
          <w:marLeft w:val="0"/>
          <w:marRight w:val="0"/>
          <w:marTop w:val="0"/>
          <w:marBottom w:val="0"/>
          <w:divBdr>
            <w:top w:val="none" w:sz="0" w:space="0" w:color="auto"/>
            <w:left w:val="none" w:sz="0" w:space="0" w:color="auto"/>
            <w:bottom w:val="none" w:sz="0" w:space="0" w:color="auto"/>
            <w:right w:val="none" w:sz="0" w:space="0" w:color="auto"/>
          </w:divBdr>
        </w:div>
        <w:div w:id="1835758500">
          <w:marLeft w:val="0"/>
          <w:marRight w:val="0"/>
          <w:marTop w:val="0"/>
          <w:marBottom w:val="0"/>
          <w:divBdr>
            <w:top w:val="none" w:sz="0" w:space="0" w:color="auto"/>
            <w:left w:val="none" w:sz="0" w:space="0" w:color="auto"/>
            <w:bottom w:val="none" w:sz="0" w:space="0" w:color="auto"/>
            <w:right w:val="none" w:sz="0" w:space="0" w:color="auto"/>
          </w:divBdr>
        </w:div>
        <w:div w:id="385615760">
          <w:marLeft w:val="0"/>
          <w:marRight w:val="0"/>
          <w:marTop w:val="0"/>
          <w:marBottom w:val="0"/>
          <w:divBdr>
            <w:top w:val="none" w:sz="0" w:space="0" w:color="auto"/>
            <w:left w:val="none" w:sz="0" w:space="0" w:color="auto"/>
            <w:bottom w:val="none" w:sz="0" w:space="0" w:color="auto"/>
            <w:right w:val="none" w:sz="0" w:space="0" w:color="auto"/>
          </w:divBdr>
        </w:div>
        <w:div w:id="757868592">
          <w:marLeft w:val="0"/>
          <w:marRight w:val="0"/>
          <w:marTop w:val="0"/>
          <w:marBottom w:val="0"/>
          <w:divBdr>
            <w:top w:val="none" w:sz="0" w:space="0" w:color="auto"/>
            <w:left w:val="none" w:sz="0" w:space="0" w:color="auto"/>
            <w:bottom w:val="none" w:sz="0" w:space="0" w:color="auto"/>
            <w:right w:val="none" w:sz="0" w:space="0" w:color="auto"/>
          </w:divBdr>
        </w:div>
        <w:div w:id="1036155023">
          <w:marLeft w:val="0"/>
          <w:marRight w:val="0"/>
          <w:marTop w:val="0"/>
          <w:marBottom w:val="0"/>
          <w:divBdr>
            <w:top w:val="none" w:sz="0" w:space="0" w:color="auto"/>
            <w:left w:val="none" w:sz="0" w:space="0" w:color="auto"/>
            <w:bottom w:val="none" w:sz="0" w:space="0" w:color="auto"/>
            <w:right w:val="none" w:sz="0" w:space="0" w:color="auto"/>
          </w:divBdr>
        </w:div>
        <w:div w:id="1051417182">
          <w:marLeft w:val="0"/>
          <w:marRight w:val="0"/>
          <w:marTop w:val="0"/>
          <w:marBottom w:val="0"/>
          <w:divBdr>
            <w:top w:val="none" w:sz="0" w:space="0" w:color="auto"/>
            <w:left w:val="none" w:sz="0" w:space="0" w:color="auto"/>
            <w:bottom w:val="none" w:sz="0" w:space="0" w:color="auto"/>
            <w:right w:val="none" w:sz="0" w:space="0" w:color="auto"/>
          </w:divBdr>
        </w:div>
        <w:div w:id="1934432965">
          <w:marLeft w:val="0"/>
          <w:marRight w:val="0"/>
          <w:marTop w:val="0"/>
          <w:marBottom w:val="0"/>
          <w:divBdr>
            <w:top w:val="none" w:sz="0" w:space="0" w:color="auto"/>
            <w:left w:val="none" w:sz="0" w:space="0" w:color="auto"/>
            <w:bottom w:val="none" w:sz="0" w:space="0" w:color="auto"/>
            <w:right w:val="none" w:sz="0" w:space="0" w:color="auto"/>
          </w:divBdr>
        </w:div>
        <w:div w:id="43406162">
          <w:marLeft w:val="0"/>
          <w:marRight w:val="0"/>
          <w:marTop w:val="0"/>
          <w:marBottom w:val="0"/>
          <w:divBdr>
            <w:top w:val="none" w:sz="0" w:space="0" w:color="auto"/>
            <w:left w:val="none" w:sz="0" w:space="0" w:color="auto"/>
            <w:bottom w:val="none" w:sz="0" w:space="0" w:color="auto"/>
            <w:right w:val="none" w:sz="0" w:space="0" w:color="auto"/>
          </w:divBdr>
        </w:div>
        <w:div w:id="312956824">
          <w:marLeft w:val="0"/>
          <w:marRight w:val="0"/>
          <w:marTop w:val="0"/>
          <w:marBottom w:val="0"/>
          <w:divBdr>
            <w:top w:val="none" w:sz="0" w:space="0" w:color="auto"/>
            <w:left w:val="none" w:sz="0" w:space="0" w:color="auto"/>
            <w:bottom w:val="none" w:sz="0" w:space="0" w:color="auto"/>
            <w:right w:val="none" w:sz="0" w:space="0" w:color="auto"/>
          </w:divBdr>
        </w:div>
        <w:div w:id="335766476">
          <w:marLeft w:val="0"/>
          <w:marRight w:val="0"/>
          <w:marTop w:val="0"/>
          <w:marBottom w:val="0"/>
          <w:divBdr>
            <w:top w:val="none" w:sz="0" w:space="0" w:color="auto"/>
            <w:left w:val="none" w:sz="0" w:space="0" w:color="auto"/>
            <w:bottom w:val="none" w:sz="0" w:space="0" w:color="auto"/>
            <w:right w:val="none" w:sz="0" w:space="0" w:color="auto"/>
          </w:divBdr>
        </w:div>
        <w:div w:id="573668091">
          <w:marLeft w:val="0"/>
          <w:marRight w:val="0"/>
          <w:marTop w:val="0"/>
          <w:marBottom w:val="0"/>
          <w:divBdr>
            <w:top w:val="none" w:sz="0" w:space="0" w:color="auto"/>
            <w:left w:val="none" w:sz="0" w:space="0" w:color="auto"/>
            <w:bottom w:val="none" w:sz="0" w:space="0" w:color="auto"/>
            <w:right w:val="none" w:sz="0" w:space="0" w:color="auto"/>
          </w:divBdr>
        </w:div>
        <w:div w:id="212935347">
          <w:marLeft w:val="0"/>
          <w:marRight w:val="0"/>
          <w:marTop w:val="0"/>
          <w:marBottom w:val="0"/>
          <w:divBdr>
            <w:top w:val="none" w:sz="0" w:space="0" w:color="auto"/>
            <w:left w:val="none" w:sz="0" w:space="0" w:color="auto"/>
            <w:bottom w:val="none" w:sz="0" w:space="0" w:color="auto"/>
            <w:right w:val="none" w:sz="0" w:space="0" w:color="auto"/>
          </w:divBdr>
        </w:div>
        <w:div w:id="988241096">
          <w:marLeft w:val="0"/>
          <w:marRight w:val="0"/>
          <w:marTop w:val="0"/>
          <w:marBottom w:val="0"/>
          <w:divBdr>
            <w:top w:val="none" w:sz="0" w:space="0" w:color="auto"/>
            <w:left w:val="none" w:sz="0" w:space="0" w:color="auto"/>
            <w:bottom w:val="none" w:sz="0" w:space="0" w:color="auto"/>
            <w:right w:val="none" w:sz="0" w:space="0" w:color="auto"/>
          </w:divBdr>
        </w:div>
        <w:div w:id="457534132">
          <w:marLeft w:val="0"/>
          <w:marRight w:val="0"/>
          <w:marTop w:val="0"/>
          <w:marBottom w:val="0"/>
          <w:divBdr>
            <w:top w:val="none" w:sz="0" w:space="0" w:color="auto"/>
            <w:left w:val="none" w:sz="0" w:space="0" w:color="auto"/>
            <w:bottom w:val="none" w:sz="0" w:space="0" w:color="auto"/>
            <w:right w:val="none" w:sz="0" w:space="0" w:color="auto"/>
          </w:divBdr>
        </w:div>
        <w:div w:id="372581449">
          <w:marLeft w:val="0"/>
          <w:marRight w:val="0"/>
          <w:marTop w:val="0"/>
          <w:marBottom w:val="0"/>
          <w:divBdr>
            <w:top w:val="none" w:sz="0" w:space="0" w:color="auto"/>
            <w:left w:val="none" w:sz="0" w:space="0" w:color="auto"/>
            <w:bottom w:val="none" w:sz="0" w:space="0" w:color="auto"/>
            <w:right w:val="none" w:sz="0" w:space="0" w:color="auto"/>
          </w:divBdr>
        </w:div>
        <w:div w:id="290745919">
          <w:marLeft w:val="0"/>
          <w:marRight w:val="0"/>
          <w:marTop w:val="0"/>
          <w:marBottom w:val="0"/>
          <w:divBdr>
            <w:top w:val="none" w:sz="0" w:space="0" w:color="auto"/>
            <w:left w:val="none" w:sz="0" w:space="0" w:color="auto"/>
            <w:bottom w:val="none" w:sz="0" w:space="0" w:color="auto"/>
            <w:right w:val="none" w:sz="0" w:space="0" w:color="auto"/>
          </w:divBdr>
        </w:div>
        <w:div w:id="200674109">
          <w:marLeft w:val="0"/>
          <w:marRight w:val="0"/>
          <w:marTop w:val="0"/>
          <w:marBottom w:val="0"/>
          <w:divBdr>
            <w:top w:val="none" w:sz="0" w:space="0" w:color="auto"/>
            <w:left w:val="none" w:sz="0" w:space="0" w:color="auto"/>
            <w:bottom w:val="none" w:sz="0" w:space="0" w:color="auto"/>
            <w:right w:val="none" w:sz="0" w:space="0" w:color="auto"/>
          </w:divBdr>
        </w:div>
      </w:divsChild>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768891028">
      <w:bodyDiv w:val="1"/>
      <w:marLeft w:val="0"/>
      <w:marRight w:val="0"/>
      <w:marTop w:val="0"/>
      <w:marBottom w:val="0"/>
      <w:divBdr>
        <w:top w:val="none" w:sz="0" w:space="0" w:color="auto"/>
        <w:left w:val="none" w:sz="0" w:space="0" w:color="auto"/>
        <w:bottom w:val="none" w:sz="0" w:space="0" w:color="auto"/>
        <w:right w:val="none" w:sz="0" w:space="0" w:color="auto"/>
      </w:divBdr>
      <w:divsChild>
        <w:div w:id="1869443750">
          <w:marLeft w:val="0"/>
          <w:marRight w:val="0"/>
          <w:marTop w:val="0"/>
          <w:marBottom w:val="0"/>
          <w:divBdr>
            <w:top w:val="none" w:sz="0" w:space="0" w:color="auto"/>
            <w:left w:val="none" w:sz="0" w:space="0" w:color="auto"/>
            <w:bottom w:val="none" w:sz="0" w:space="0" w:color="auto"/>
            <w:right w:val="none" w:sz="0" w:space="0" w:color="auto"/>
          </w:divBdr>
        </w:div>
        <w:div w:id="2049908352">
          <w:marLeft w:val="0"/>
          <w:marRight w:val="0"/>
          <w:marTop w:val="0"/>
          <w:marBottom w:val="0"/>
          <w:divBdr>
            <w:top w:val="none" w:sz="0" w:space="0" w:color="auto"/>
            <w:left w:val="none" w:sz="0" w:space="0" w:color="auto"/>
            <w:bottom w:val="none" w:sz="0" w:space="0" w:color="auto"/>
            <w:right w:val="none" w:sz="0" w:space="0" w:color="auto"/>
          </w:divBdr>
        </w:div>
        <w:div w:id="720253788">
          <w:marLeft w:val="0"/>
          <w:marRight w:val="0"/>
          <w:marTop w:val="0"/>
          <w:marBottom w:val="0"/>
          <w:divBdr>
            <w:top w:val="none" w:sz="0" w:space="0" w:color="auto"/>
            <w:left w:val="none" w:sz="0" w:space="0" w:color="auto"/>
            <w:bottom w:val="none" w:sz="0" w:space="0" w:color="auto"/>
            <w:right w:val="none" w:sz="0" w:space="0" w:color="auto"/>
          </w:divBdr>
        </w:div>
        <w:div w:id="1476558613">
          <w:marLeft w:val="0"/>
          <w:marRight w:val="0"/>
          <w:marTop w:val="0"/>
          <w:marBottom w:val="0"/>
          <w:divBdr>
            <w:top w:val="none" w:sz="0" w:space="0" w:color="auto"/>
            <w:left w:val="none" w:sz="0" w:space="0" w:color="auto"/>
            <w:bottom w:val="none" w:sz="0" w:space="0" w:color="auto"/>
            <w:right w:val="none" w:sz="0" w:space="0" w:color="auto"/>
          </w:divBdr>
        </w:div>
        <w:div w:id="2051345124">
          <w:marLeft w:val="0"/>
          <w:marRight w:val="0"/>
          <w:marTop w:val="0"/>
          <w:marBottom w:val="0"/>
          <w:divBdr>
            <w:top w:val="none" w:sz="0" w:space="0" w:color="auto"/>
            <w:left w:val="none" w:sz="0" w:space="0" w:color="auto"/>
            <w:bottom w:val="none" w:sz="0" w:space="0" w:color="auto"/>
            <w:right w:val="none" w:sz="0" w:space="0" w:color="auto"/>
          </w:divBdr>
        </w:div>
        <w:div w:id="1419787150">
          <w:marLeft w:val="0"/>
          <w:marRight w:val="0"/>
          <w:marTop w:val="0"/>
          <w:marBottom w:val="0"/>
          <w:divBdr>
            <w:top w:val="none" w:sz="0" w:space="0" w:color="auto"/>
            <w:left w:val="none" w:sz="0" w:space="0" w:color="auto"/>
            <w:bottom w:val="none" w:sz="0" w:space="0" w:color="auto"/>
            <w:right w:val="none" w:sz="0" w:space="0" w:color="auto"/>
          </w:divBdr>
        </w:div>
        <w:div w:id="1367680675">
          <w:marLeft w:val="0"/>
          <w:marRight w:val="0"/>
          <w:marTop w:val="0"/>
          <w:marBottom w:val="0"/>
          <w:divBdr>
            <w:top w:val="none" w:sz="0" w:space="0" w:color="auto"/>
            <w:left w:val="none" w:sz="0" w:space="0" w:color="auto"/>
            <w:bottom w:val="none" w:sz="0" w:space="0" w:color="auto"/>
            <w:right w:val="none" w:sz="0" w:space="0" w:color="auto"/>
          </w:divBdr>
        </w:div>
        <w:div w:id="1106852219">
          <w:marLeft w:val="0"/>
          <w:marRight w:val="0"/>
          <w:marTop w:val="0"/>
          <w:marBottom w:val="0"/>
          <w:divBdr>
            <w:top w:val="none" w:sz="0" w:space="0" w:color="auto"/>
            <w:left w:val="none" w:sz="0" w:space="0" w:color="auto"/>
            <w:bottom w:val="none" w:sz="0" w:space="0" w:color="auto"/>
            <w:right w:val="none" w:sz="0" w:space="0" w:color="auto"/>
          </w:divBdr>
        </w:div>
        <w:div w:id="1023701284">
          <w:marLeft w:val="0"/>
          <w:marRight w:val="0"/>
          <w:marTop w:val="0"/>
          <w:marBottom w:val="0"/>
          <w:divBdr>
            <w:top w:val="none" w:sz="0" w:space="0" w:color="auto"/>
            <w:left w:val="none" w:sz="0" w:space="0" w:color="auto"/>
            <w:bottom w:val="none" w:sz="0" w:space="0" w:color="auto"/>
            <w:right w:val="none" w:sz="0" w:space="0" w:color="auto"/>
          </w:divBdr>
        </w:div>
        <w:div w:id="167062588">
          <w:marLeft w:val="0"/>
          <w:marRight w:val="0"/>
          <w:marTop w:val="0"/>
          <w:marBottom w:val="0"/>
          <w:divBdr>
            <w:top w:val="none" w:sz="0" w:space="0" w:color="auto"/>
            <w:left w:val="none" w:sz="0" w:space="0" w:color="auto"/>
            <w:bottom w:val="none" w:sz="0" w:space="0" w:color="auto"/>
            <w:right w:val="none" w:sz="0" w:space="0" w:color="auto"/>
          </w:divBdr>
        </w:div>
        <w:div w:id="136385844">
          <w:marLeft w:val="0"/>
          <w:marRight w:val="0"/>
          <w:marTop w:val="0"/>
          <w:marBottom w:val="0"/>
          <w:divBdr>
            <w:top w:val="none" w:sz="0" w:space="0" w:color="auto"/>
            <w:left w:val="none" w:sz="0" w:space="0" w:color="auto"/>
            <w:bottom w:val="none" w:sz="0" w:space="0" w:color="auto"/>
            <w:right w:val="none" w:sz="0" w:space="0" w:color="auto"/>
          </w:divBdr>
        </w:div>
        <w:div w:id="2026782241">
          <w:marLeft w:val="0"/>
          <w:marRight w:val="0"/>
          <w:marTop w:val="0"/>
          <w:marBottom w:val="0"/>
          <w:divBdr>
            <w:top w:val="none" w:sz="0" w:space="0" w:color="auto"/>
            <w:left w:val="none" w:sz="0" w:space="0" w:color="auto"/>
            <w:bottom w:val="none" w:sz="0" w:space="0" w:color="auto"/>
            <w:right w:val="none" w:sz="0" w:space="0" w:color="auto"/>
          </w:divBdr>
        </w:div>
        <w:div w:id="560333181">
          <w:marLeft w:val="0"/>
          <w:marRight w:val="0"/>
          <w:marTop w:val="0"/>
          <w:marBottom w:val="0"/>
          <w:divBdr>
            <w:top w:val="none" w:sz="0" w:space="0" w:color="auto"/>
            <w:left w:val="none" w:sz="0" w:space="0" w:color="auto"/>
            <w:bottom w:val="none" w:sz="0" w:space="0" w:color="auto"/>
            <w:right w:val="none" w:sz="0" w:space="0" w:color="auto"/>
          </w:divBdr>
        </w:div>
        <w:div w:id="475416602">
          <w:marLeft w:val="0"/>
          <w:marRight w:val="0"/>
          <w:marTop w:val="0"/>
          <w:marBottom w:val="0"/>
          <w:divBdr>
            <w:top w:val="none" w:sz="0" w:space="0" w:color="auto"/>
            <w:left w:val="none" w:sz="0" w:space="0" w:color="auto"/>
            <w:bottom w:val="none" w:sz="0" w:space="0" w:color="auto"/>
            <w:right w:val="none" w:sz="0" w:space="0" w:color="auto"/>
          </w:divBdr>
        </w:div>
        <w:div w:id="624047317">
          <w:marLeft w:val="0"/>
          <w:marRight w:val="0"/>
          <w:marTop w:val="0"/>
          <w:marBottom w:val="0"/>
          <w:divBdr>
            <w:top w:val="none" w:sz="0" w:space="0" w:color="auto"/>
            <w:left w:val="none" w:sz="0" w:space="0" w:color="auto"/>
            <w:bottom w:val="none" w:sz="0" w:space="0" w:color="auto"/>
            <w:right w:val="none" w:sz="0" w:space="0" w:color="auto"/>
          </w:divBdr>
        </w:div>
      </w:divsChild>
    </w:div>
    <w:div w:id="1852799610">
      <w:bodyDiv w:val="1"/>
      <w:marLeft w:val="0"/>
      <w:marRight w:val="0"/>
      <w:marTop w:val="0"/>
      <w:marBottom w:val="0"/>
      <w:divBdr>
        <w:top w:val="none" w:sz="0" w:space="0" w:color="auto"/>
        <w:left w:val="none" w:sz="0" w:space="0" w:color="auto"/>
        <w:bottom w:val="none" w:sz="0" w:space="0" w:color="auto"/>
        <w:right w:val="none" w:sz="0" w:space="0" w:color="auto"/>
      </w:divBdr>
    </w:div>
    <w:div w:id="1856528885">
      <w:bodyDiv w:val="1"/>
      <w:marLeft w:val="0"/>
      <w:marRight w:val="0"/>
      <w:marTop w:val="0"/>
      <w:marBottom w:val="0"/>
      <w:divBdr>
        <w:top w:val="none" w:sz="0" w:space="0" w:color="auto"/>
        <w:left w:val="none" w:sz="0" w:space="0" w:color="auto"/>
        <w:bottom w:val="none" w:sz="0" w:space="0" w:color="auto"/>
        <w:right w:val="none" w:sz="0" w:space="0" w:color="auto"/>
      </w:divBdr>
      <w:divsChild>
        <w:div w:id="229848968">
          <w:marLeft w:val="0"/>
          <w:marRight w:val="0"/>
          <w:marTop w:val="0"/>
          <w:marBottom w:val="0"/>
          <w:divBdr>
            <w:top w:val="none" w:sz="0" w:space="0" w:color="auto"/>
            <w:left w:val="none" w:sz="0" w:space="0" w:color="auto"/>
            <w:bottom w:val="none" w:sz="0" w:space="0" w:color="auto"/>
            <w:right w:val="none" w:sz="0" w:space="0" w:color="auto"/>
          </w:divBdr>
        </w:div>
        <w:div w:id="1712683499">
          <w:marLeft w:val="0"/>
          <w:marRight w:val="0"/>
          <w:marTop w:val="0"/>
          <w:marBottom w:val="0"/>
          <w:divBdr>
            <w:top w:val="none" w:sz="0" w:space="0" w:color="auto"/>
            <w:left w:val="none" w:sz="0" w:space="0" w:color="auto"/>
            <w:bottom w:val="none" w:sz="0" w:space="0" w:color="auto"/>
            <w:right w:val="none" w:sz="0" w:space="0" w:color="auto"/>
          </w:divBdr>
        </w:div>
        <w:div w:id="1613122769">
          <w:marLeft w:val="0"/>
          <w:marRight w:val="0"/>
          <w:marTop w:val="0"/>
          <w:marBottom w:val="0"/>
          <w:divBdr>
            <w:top w:val="none" w:sz="0" w:space="0" w:color="auto"/>
            <w:left w:val="none" w:sz="0" w:space="0" w:color="auto"/>
            <w:bottom w:val="none" w:sz="0" w:space="0" w:color="auto"/>
            <w:right w:val="none" w:sz="0" w:space="0" w:color="auto"/>
          </w:divBdr>
        </w:div>
        <w:div w:id="230964968">
          <w:marLeft w:val="0"/>
          <w:marRight w:val="0"/>
          <w:marTop w:val="0"/>
          <w:marBottom w:val="0"/>
          <w:divBdr>
            <w:top w:val="none" w:sz="0" w:space="0" w:color="auto"/>
            <w:left w:val="none" w:sz="0" w:space="0" w:color="auto"/>
            <w:bottom w:val="none" w:sz="0" w:space="0" w:color="auto"/>
            <w:right w:val="none" w:sz="0" w:space="0" w:color="auto"/>
          </w:divBdr>
        </w:div>
        <w:div w:id="1470515595">
          <w:marLeft w:val="0"/>
          <w:marRight w:val="0"/>
          <w:marTop w:val="0"/>
          <w:marBottom w:val="0"/>
          <w:divBdr>
            <w:top w:val="none" w:sz="0" w:space="0" w:color="auto"/>
            <w:left w:val="none" w:sz="0" w:space="0" w:color="auto"/>
            <w:bottom w:val="none" w:sz="0" w:space="0" w:color="auto"/>
            <w:right w:val="none" w:sz="0" w:space="0" w:color="auto"/>
          </w:divBdr>
        </w:div>
      </w:divsChild>
    </w:div>
    <w:div w:id="2039892130">
      <w:bodyDiv w:val="1"/>
      <w:marLeft w:val="0"/>
      <w:marRight w:val="0"/>
      <w:marTop w:val="0"/>
      <w:marBottom w:val="0"/>
      <w:divBdr>
        <w:top w:val="none" w:sz="0" w:space="0" w:color="auto"/>
        <w:left w:val="none" w:sz="0" w:space="0" w:color="auto"/>
        <w:bottom w:val="none" w:sz="0" w:space="0" w:color="auto"/>
        <w:right w:val="none" w:sz="0" w:space="0" w:color="auto"/>
      </w:divBdr>
      <w:divsChild>
        <w:div w:id="1362121397">
          <w:marLeft w:val="0"/>
          <w:marRight w:val="0"/>
          <w:marTop w:val="0"/>
          <w:marBottom w:val="0"/>
          <w:divBdr>
            <w:top w:val="none" w:sz="0" w:space="0" w:color="auto"/>
            <w:left w:val="none" w:sz="0" w:space="0" w:color="auto"/>
            <w:bottom w:val="none" w:sz="0" w:space="0" w:color="auto"/>
            <w:right w:val="none" w:sz="0" w:space="0" w:color="auto"/>
          </w:divBdr>
        </w:div>
        <w:div w:id="299652316">
          <w:marLeft w:val="0"/>
          <w:marRight w:val="0"/>
          <w:marTop w:val="0"/>
          <w:marBottom w:val="0"/>
          <w:divBdr>
            <w:top w:val="none" w:sz="0" w:space="0" w:color="auto"/>
            <w:left w:val="none" w:sz="0" w:space="0" w:color="auto"/>
            <w:bottom w:val="none" w:sz="0" w:space="0" w:color="auto"/>
            <w:right w:val="none" w:sz="0" w:space="0" w:color="auto"/>
          </w:divBdr>
        </w:div>
        <w:div w:id="640768518">
          <w:marLeft w:val="0"/>
          <w:marRight w:val="0"/>
          <w:marTop w:val="0"/>
          <w:marBottom w:val="0"/>
          <w:divBdr>
            <w:top w:val="none" w:sz="0" w:space="0" w:color="auto"/>
            <w:left w:val="none" w:sz="0" w:space="0" w:color="auto"/>
            <w:bottom w:val="none" w:sz="0" w:space="0" w:color="auto"/>
            <w:right w:val="none" w:sz="0" w:space="0" w:color="auto"/>
          </w:divBdr>
        </w:div>
        <w:div w:id="700284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6140C-5C64-4D41-972C-45DFBC87A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2849</Words>
  <Characters>16240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2018-01-22T17:15:00Z</dcterms:created>
  <dcterms:modified xsi:type="dcterms:W3CDTF">2018-01-22T17:15:00Z</dcterms:modified>
</cp:coreProperties>
</file>