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8F" w:rsidRPr="005156AC" w:rsidRDefault="009F718F" w:rsidP="009F718F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before="60"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156AC">
        <w:rPr>
          <w:rFonts w:ascii="Times New Roman" w:hAnsi="Times New Roman"/>
          <w:b/>
          <w:bCs/>
          <w:sz w:val="20"/>
          <w:szCs w:val="20"/>
        </w:rPr>
        <w:t xml:space="preserve">Second meeting of the intersessional process considering the Strategic Approach </w:t>
      </w:r>
    </w:p>
    <w:p w:rsidR="009F718F" w:rsidRPr="005156AC" w:rsidRDefault="009F718F" w:rsidP="009F718F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before="60"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156AC">
        <w:rPr>
          <w:rFonts w:ascii="Times New Roman" w:hAnsi="Times New Roman"/>
          <w:b/>
          <w:bCs/>
          <w:sz w:val="20"/>
          <w:szCs w:val="20"/>
        </w:rPr>
        <w:t>and the sound management of chemicals and waste beyond 2020</w:t>
      </w:r>
    </w:p>
    <w:p w:rsidR="009F718F" w:rsidRPr="005156AC" w:rsidRDefault="009F718F" w:rsidP="009F718F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before="60" w:after="0" w:line="240" w:lineRule="auto"/>
        <w:rPr>
          <w:rFonts w:ascii="Times New Roman" w:hAnsi="Times New Roman"/>
          <w:sz w:val="20"/>
          <w:szCs w:val="20"/>
        </w:rPr>
      </w:pPr>
      <w:r w:rsidRPr="005156AC">
        <w:rPr>
          <w:rFonts w:ascii="Times New Roman" w:hAnsi="Times New Roman"/>
          <w:sz w:val="20"/>
          <w:szCs w:val="20"/>
        </w:rPr>
        <w:t>Stockholm, Sweden, 13-15 March 2018</w:t>
      </w:r>
    </w:p>
    <w:p w:rsidR="007316FB" w:rsidRPr="00C715BB" w:rsidRDefault="009F718F" w:rsidP="007316FB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before="6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Item 5</w:t>
      </w:r>
      <w:r w:rsidR="007316FB" w:rsidRPr="00D842F4">
        <w:rPr>
          <w:rFonts w:ascii="Times New Roman" w:hAnsi="Times New Roman" w:cs="Times New Roman"/>
          <w:sz w:val="20"/>
          <w:szCs w:val="20"/>
          <w:lang w:val="en-GB"/>
        </w:rPr>
        <w:t xml:space="preserve"> of the provisional agenda</w:t>
      </w:r>
      <w:r w:rsidR="007316FB" w:rsidRPr="00D842F4">
        <w:rPr>
          <w:rFonts w:ascii="Times New Roman" w:hAnsi="Times New Roman" w:cs="Times New Roman"/>
          <w:sz w:val="20"/>
          <w:szCs w:val="20"/>
          <w:lang w:val="en-GB"/>
        </w:rPr>
        <w:footnoteReference w:customMarkFollows="1" w:id="1"/>
        <w:t>*</w:t>
      </w:r>
    </w:p>
    <w:p w:rsidR="007316FB" w:rsidRPr="00D842F4" w:rsidRDefault="009F718F" w:rsidP="007316FB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F718F">
        <w:rPr>
          <w:rFonts w:ascii="Times New Roman" w:hAnsi="Times New Roman" w:cs="Times New Roman"/>
          <w:b/>
          <w:bCs/>
          <w:sz w:val="20"/>
          <w:szCs w:val="20"/>
          <w:lang w:val="en-GB"/>
        </w:rPr>
        <w:t>Timetable for the process</w:t>
      </w:r>
    </w:p>
    <w:p w:rsidR="00F27B5A" w:rsidRDefault="00F27B5A" w:rsidP="00F27B5A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before="60"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423CBF" w:rsidRPr="007316FB" w:rsidRDefault="00423CBF" w:rsidP="00F27B5A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before="60"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F27B5A" w:rsidRDefault="00876D7A" w:rsidP="00F27B5A">
      <w:pPr>
        <w:pStyle w:val="BBTitle"/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</w:tabs>
        <w:outlineLvl w:val="0"/>
        <w:rPr>
          <w:bCs/>
          <w:szCs w:val="22"/>
        </w:rPr>
      </w:pPr>
      <w:r>
        <w:rPr>
          <w:bCs/>
          <w:szCs w:val="22"/>
        </w:rPr>
        <w:t>Timetable</w:t>
      </w:r>
      <w:r w:rsidR="0052676A" w:rsidRPr="0052676A">
        <w:rPr>
          <w:bCs/>
          <w:szCs w:val="22"/>
        </w:rPr>
        <w:t xml:space="preserve"> for the intersessional process</w:t>
      </w:r>
    </w:p>
    <w:p w:rsidR="00F27B5A" w:rsidRPr="003B5B22" w:rsidRDefault="00F27B5A" w:rsidP="00F27B5A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after="240"/>
        <w:ind w:left="1247"/>
        <w:rPr>
          <w:rFonts w:ascii="Times New Roman" w:hAnsi="Times New Roman" w:cs="Times New Roman"/>
          <w:lang w:val="en-GB"/>
        </w:rPr>
      </w:pPr>
      <w:r w:rsidRPr="003B5B22">
        <w:rPr>
          <w:rFonts w:ascii="Times New Roman" w:hAnsi="Times New Roman" w:cs="Times New Roman"/>
          <w:b/>
          <w:bCs/>
          <w:lang w:val="en-GB"/>
        </w:rPr>
        <w:t>Note by the secretariat</w:t>
      </w:r>
    </w:p>
    <w:p w:rsidR="00423CBF" w:rsidRDefault="00423CBF" w:rsidP="0005609D">
      <w:pPr>
        <w:pStyle w:val="ListParagraph"/>
        <w:numPr>
          <w:ilvl w:val="0"/>
          <w:numId w:val="2"/>
        </w:numPr>
        <w:tabs>
          <w:tab w:val="left" w:pos="1247"/>
          <w:tab w:val="left" w:pos="1276"/>
          <w:tab w:val="left" w:pos="1701"/>
        </w:tabs>
        <w:spacing w:after="120" w:line="240" w:lineRule="auto"/>
        <w:ind w:left="1134" w:firstLine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D842F4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The secretariat has the honour to provide, in the annex to the present note, a proposed overall time</w:t>
      </w:r>
      <w:r w:rsidR="0005609D" w:rsidRPr="00E15F00">
        <w:rPr>
          <w:rFonts w:ascii="Times New Roman" w:eastAsia="Times New Roman" w:hAnsi="Times New Roman" w:cs="Times New Roman"/>
          <w:sz w:val="20"/>
          <w:szCs w:val="20"/>
          <w:lang w:eastAsia="x-none"/>
        </w:rPr>
        <w:t>table in moving forw</w:t>
      </w:r>
      <w:r w:rsidR="0005609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ard.  </w:t>
      </w:r>
    </w:p>
    <w:p w:rsidR="00423CBF" w:rsidRPr="00D842F4" w:rsidRDefault="00423CBF" w:rsidP="00423CBF">
      <w:pPr>
        <w:pStyle w:val="ListParagraph"/>
        <w:tabs>
          <w:tab w:val="left" w:pos="1247"/>
          <w:tab w:val="left" w:pos="1276"/>
          <w:tab w:val="left" w:pos="1701"/>
        </w:tabs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23CBF" w:rsidRPr="00610727" w:rsidRDefault="00423CBF" w:rsidP="00423CBF">
      <w:pPr>
        <w:pStyle w:val="ListParagraph"/>
        <w:numPr>
          <w:ilvl w:val="0"/>
          <w:numId w:val="2"/>
        </w:numPr>
        <w:tabs>
          <w:tab w:val="left" w:pos="1247"/>
          <w:tab w:val="left" w:pos="1276"/>
          <w:tab w:val="left" w:pos="1701"/>
        </w:tabs>
        <w:spacing w:after="120" w:line="240" w:lineRule="auto"/>
        <w:ind w:left="1134" w:firstLine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10727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The fourth session of the Conference decided</w:t>
      </w:r>
      <w:r w:rsidRPr="00D842F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, in resolution IV/4,</w:t>
      </w:r>
      <w:r w:rsidRPr="00610727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that the intersessional process should include, in principle, two meetings before the third meeting of the Open-ended Working Group and one meeting between the third meeting of the Open-ended Working Group and the fifth session of the International Conference on Chemicals Management</w:t>
      </w:r>
      <w:r w:rsidR="00826821" w:rsidRPr="00A80AA5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</w:t>
      </w:r>
      <w:r w:rsidR="00826821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(ICCM5)</w:t>
      </w:r>
      <w:r w:rsidRPr="00D842F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 </w:t>
      </w:r>
      <w:r w:rsidRPr="00D842F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T</w:t>
      </w:r>
      <w:r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he Conference also specified that m</w:t>
      </w:r>
      <w:r w:rsidRPr="00610727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eetings of the intersessional process should, as far as possible, be held back-to-back with other relevant mee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tings and processes.</w:t>
      </w:r>
    </w:p>
    <w:p w:rsidR="00423CBF" w:rsidRPr="00610727" w:rsidRDefault="00423CBF" w:rsidP="00423CBF">
      <w:pPr>
        <w:pStyle w:val="ListParagraph"/>
        <w:tabs>
          <w:tab w:val="left" w:pos="1247"/>
          <w:tab w:val="left" w:pos="1276"/>
          <w:tab w:val="left" w:pos="1701"/>
        </w:tabs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23CBF" w:rsidRPr="00610727" w:rsidRDefault="00423CBF" w:rsidP="00826821">
      <w:pPr>
        <w:pStyle w:val="ListParagraph"/>
        <w:numPr>
          <w:ilvl w:val="0"/>
          <w:numId w:val="2"/>
        </w:numPr>
        <w:tabs>
          <w:tab w:val="left" w:pos="1247"/>
          <w:tab w:val="left" w:pos="1276"/>
          <w:tab w:val="left" w:pos="1701"/>
        </w:tabs>
        <w:spacing w:after="120" w:line="240" w:lineRule="auto"/>
        <w:ind w:left="1134" w:firstLine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10727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The Conference also directed the Open-ended Working Group to consider the need to call </w:t>
      </w:r>
      <w:r w:rsidRPr="00D842F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for </w:t>
      </w:r>
      <w:r w:rsidRPr="00610727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an additional meeting of the intersessional process before</w:t>
      </w:r>
      <w:r w:rsidR="00826821" w:rsidRPr="00A80AA5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(ICCM5)</w:t>
      </w:r>
      <w:r w:rsidRPr="00610727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</w:t>
      </w:r>
    </w:p>
    <w:p w:rsidR="00423CBF" w:rsidRPr="00610727" w:rsidRDefault="00423CBF" w:rsidP="00423CBF">
      <w:pPr>
        <w:pStyle w:val="ListParagraph"/>
        <w:tabs>
          <w:tab w:val="left" w:pos="1276"/>
        </w:tabs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A80AA5" w:rsidRDefault="00423CBF" w:rsidP="00E15F00">
      <w:pPr>
        <w:pStyle w:val="ListParagraph"/>
        <w:numPr>
          <w:ilvl w:val="0"/>
          <w:numId w:val="2"/>
        </w:numPr>
        <w:tabs>
          <w:tab w:val="left" w:pos="1247"/>
          <w:tab w:val="left" w:pos="1276"/>
          <w:tab w:val="left" w:pos="1701"/>
        </w:tabs>
        <w:spacing w:after="120" w:line="240" w:lineRule="auto"/>
        <w:ind w:left="1134" w:firstLine="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07043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Participants may wish to </w:t>
      </w:r>
      <w:r w:rsidR="0005609D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keep the timetable in mind in the deliberations. </w:t>
      </w:r>
      <w:r w:rsidR="004241C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In addition, </w:t>
      </w:r>
      <w:r w:rsidR="004241C0" w:rsidRPr="004241C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those</w:t>
      </w:r>
      <w:r w:rsidRPr="0020704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wishing to host </w:t>
      </w:r>
      <w:r w:rsidR="0005609D" w:rsidRPr="00E15F0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the </w:t>
      </w:r>
      <w:r w:rsidRPr="0020704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future meeting of the intersessional process may w</w:t>
      </w:r>
      <w:r w:rsidR="009F718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ish to indicate so at this </w:t>
      </w:r>
      <w:r w:rsidR="009F718F">
        <w:rPr>
          <w:rFonts w:ascii="Times New Roman" w:eastAsia="Times New Roman" w:hAnsi="Times New Roman" w:cs="Times New Roman"/>
          <w:sz w:val="20"/>
          <w:szCs w:val="20"/>
          <w:lang w:eastAsia="x-none"/>
        </w:rPr>
        <w:t>second</w:t>
      </w:r>
      <w:r w:rsidRPr="0020704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meeting.</w:t>
      </w:r>
    </w:p>
    <w:p w:rsidR="00B22690" w:rsidRDefault="00B22690" w:rsidP="00207043">
      <w:pPr>
        <w:pStyle w:val="ListParagraph"/>
        <w:rPr>
          <w:lang w:val="x-none"/>
        </w:rPr>
      </w:pPr>
    </w:p>
    <w:p w:rsidR="00207043" w:rsidRDefault="00207043" w:rsidP="00207043">
      <w:pPr>
        <w:pStyle w:val="ListParagraph"/>
        <w:rPr>
          <w:lang w:val="x-none"/>
        </w:rPr>
        <w:sectPr w:rsidR="00207043" w:rsidSect="00F27B5A">
          <w:headerReference w:type="default" r:id="rId8"/>
          <w:headerReference w:type="firs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4326BB" w:rsidRDefault="004326BB" w:rsidP="00054401">
      <w:pPr>
        <w:jc w:val="center"/>
        <w:rPr>
          <w:lang w:val="x-none"/>
        </w:rPr>
      </w:pPr>
      <w:bookmarkStart w:id="0" w:name="_GoBack"/>
      <w:bookmarkEnd w:id="0"/>
    </w:p>
    <w:p w:rsidR="004326BB" w:rsidRPr="00610727" w:rsidRDefault="007657A1" w:rsidP="00876D7A">
      <w:pPr>
        <w:ind w:left="-270"/>
        <w:jc w:val="center"/>
        <w:rPr>
          <w:lang w:val="x-none"/>
        </w:rPr>
      </w:pPr>
      <w:r>
        <w:rPr>
          <w:noProof/>
        </w:rPr>
        <w:drawing>
          <wp:inline distT="0" distB="0" distL="0" distR="0" wp14:anchorId="203518D2">
            <wp:extent cx="10077450" cy="5635317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637" cy="564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326BB" w:rsidRPr="00610727" w:rsidSect="000544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B3" w:rsidRDefault="00F644B3" w:rsidP="00B22690">
      <w:pPr>
        <w:spacing w:after="0" w:line="240" w:lineRule="auto"/>
      </w:pPr>
      <w:r>
        <w:separator/>
      </w:r>
    </w:p>
  </w:endnote>
  <w:endnote w:type="continuationSeparator" w:id="0">
    <w:p w:rsidR="00F644B3" w:rsidRDefault="00F644B3" w:rsidP="00B2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4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B3" w:rsidRDefault="00F644B3" w:rsidP="00B22690">
      <w:pPr>
        <w:spacing w:after="0" w:line="240" w:lineRule="auto"/>
      </w:pPr>
      <w:r>
        <w:separator/>
      </w:r>
    </w:p>
  </w:footnote>
  <w:footnote w:type="continuationSeparator" w:id="0">
    <w:p w:rsidR="00F644B3" w:rsidRDefault="00F644B3" w:rsidP="00B22690">
      <w:pPr>
        <w:spacing w:after="0" w:line="240" w:lineRule="auto"/>
      </w:pPr>
      <w:r>
        <w:continuationSeparator/>
      </w:r>
    </w:p>
  </w:footnote>
  <w:footnote w:id="1">
    <w:p w:rsidR="007316FB" w:rsidRDefault="007316FB" w:rsidP="007316FB">
      <w:pPr>
        <w:pStyle w:val="FootnoteText"/>
      </w:pPr>
      <w:r w:rsidRPr="004326BB">
        <w:rPr>
          <w:szCs w:val="18"/>
        </w:rPr>
        <w:t>*SAICM/I</w:t>
      </w:r>
      <w:r w:rsidR="009F718F">
        <w:rPr>
          <w:szCs w:val="18"/>
        </w:rPr>
        <w:t>P.2</w:t>
      </w:r>
      <w:r>
        <w:rPr>
          <w:szCs w:val="18"/>
        </w:rPr>
        <w:t>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B5A" w:rsidRPr="002F4018" w:rsidRDefault="009F718F" w:rsidP="00F27B5A">
    <w:pPr>
      <w:pStyle w:val="Header"/>
      <w:pBdr>
        <w:bottom w:val="single" w:sz="4" w:space="1" w:color="auto"/>
      </w:pBdr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SAICM/IP.2/INF.1</w:t>
    </w:r>
  </w:p>
  <w:p w:rsidR="00F27B5A" w:rsidRPr="003B5B22" w:rsidRDefault="00F27B5A" w:rsidP="00F27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AA5" w:rsidRPr="00A80AA5" w:rsidRDefault="00A80AA5" w:rsidP="00A80AA5">
    <w:pPr>
      <w:spacing w:after="0" w:line="240" w:lineRule="auto"/>
      <w:rPr>
        <w:rFonts w:ascii="Helvetica 45" w:eastAsia="Times New Roman" w:hAnsi="Helvetica 45" w:cs="Times New Roman"/>
        <w:lang w:val="en-GB" w:eastAsia="en-US"/>
      </w:rPr>
    </w:pPr>
  </w:p>
  <w:tbl>
    <w:tblPr>
      <w:tblW w:w="10065" w:type="dxa"/>
      <w:tblInd w:w="-176" w:type="dxa"/>
      <w:tblLayout w:type="fixed"/>
      <w:tblLook w:val="04A0" w:firstRow="1" w:lastRow="0" w:firstColumn="1" w:lastColumn="0" w:noHBand="0" w:noVBand="1"/>
    </w:tblPr>
    <w:tblGrid>
      <w:gridCol w:w="6644"/>
      <w:gridCol w:w="19"/>
      <w:gridCol w:w="3402"/>
    </w:tblGrid>
    <w:tr w:rsidR="00A80AA5" w:rsidRPr="00A80AA5" w:rsidTr="00A80AA5">
      <w:trPr>
        <w:cantSplit/>
        <w:trHeight w:val="718"/>
      </w:trPr>
      <w:tc>
        <w:tcPr>
          <w:tcW w:w="6644" w:type="dxa"/>
          <w:tcBorders>
            <w:top w:val="nil"/>
            <w:left w:val="nil"/>
            <w:bottom w:val="single" w:sz="2" w:space="0" w:color="auto"/>
            <w:right w:val="nil"/>
          </w:tcBorders>
          <w:hideMark/>
        </w:tcPr>
        <w:p w:rsidR="00A80AA5" w:rsidRPr="00A80AA5" w:rsidRDefault="00A80AA5" w:rsidP="00A80AA5">
          <w:pPr>
            <w:spacing w:after="0" w:line="240" w:lineRule="auto"/>
            <w:rPr>
              <w:rFonts w:ascii="Helvetica 45" w:eastAsia="Times New Roman" w:hAnsi="Helvetica 45" w:cs="Times New Roman"/>
              <w:lang w:eastAsia="en-US"/>
            </w:rPr>
          </w:pPr>
          <w:r w:rsidRPr="00A80AA5">
            <w:rPr>
              <w:rFonts w:ascii="Helvetica 45" w:eastAsia="Times New Roman" w:hAnsi="Helvetica 45" w:cs="Times New Roman"/>
              <w:noProof/>
            </w:rPr>
            <w:drawing>
              <wp:inline distT="0" distB="0" distL="0" distR="0" wp14:anchorId="30B7B540" wp14:editId="12B11399">
                <wp:extent cx="1000125" cy="457200"/>
                <wp:effectExtent l="0" t="0" r="9525" b="0"/>
                <wp:docPr id="11" name="Picture 11" descr="2logos_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2logos_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:rsidR="00A80AA5" w:rsidRPr="00A80AA5" w:rsidRDefault="00A80AA5" w:rsidP="00A80AA5">
          <w:pPr>
            <w:keepNext/>
            <w:spacing w:before="240" w:after="60" w:line="240" w:lineRule="auto"/>
            <w:outlineLvl w:val="1"/>
            <w:rPr>
              <w:rFonts w:ascii="Times New Roman" w:eastAsia="Times New Roman" w:hAnsi="Times New Roman" w:cs="Times New Roman"/>
              <w:b/>
              <w:bCs/>
              <w:i/>
              <w:iCs/>
              <w:sz w:val="20"/>
              <w:szCs w:val="20"/>
              <w:lang w:val="en-GB" w:eastAsia="en-US"/>
            </w:rPr>
          </w:pPr>
        </w:p>
        <w:p w:rsidR="00A80AA5" w:rsidRPr="00A80AA5" w:rsidRDefault="00A80AA5" w:rsidP="00A80AA5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US"/>
            </w:rPr>
          </w:pPr>
        </w:p>
        <w:p w:rsidR="00A80AA5" w:rsidRPr="00A80AA5" w:rsidRDefault="00A80AA5" w:rsidP="00A80AA5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n-US"/>
            </w:rPr>
          </w:pPr>
          <w:r w:rsidRPr="00A80AA5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US"/>
            </w:rPr>
            <w:t>SAICM</w:t>
          </w:r>
          <w:r w:rsidR="009F718F">
            <w:rPr>
              <w:rFonts w:ascii="Times New Roman" w:eastAsia="Times New Roman" w:hAnsi="Times New Roman" w:cs="Times New Roman"/>
              <w:sz w:val="20"/>
              <w:szCs w:val="20"/>
              <w:lang w:val="en-GB" w:eastAsia="en-US"/>
            </w:rPr>
            <w:t>/IP.2/INF.1</w:t>
          </w:r>
        </w:p>
      </w:tc>
    </w:tr>
    <w:tr w:rsidR="00A80AA5" w:rsidRPr="00A80AA5" w:rsidTr="00A80AA5">
      <w:trPr>
        <w:cantSplit/>
        <w:trHeight w:val="1927"/>
      </w:trPr>
      <w:tc>
        <w:tcPr>
          <w:tcW w:w="6663" w:type="dxa"/>
          <w:gridSpan w:val="2"/>
          <w:tcBorders>
            <w:top w:val="single" w:sz="2" w:space="0" w:color="auto"/>
            <w:left w:val="nil"/>
            <w:bottom w:val="single" w:sz="24" w:space="0" w:color="auto"/>
            <w:right w:val="nil"/>
          </w:tcBorders>
        </w:tcPr>
        <w:p w:rsidR="00A80AA5" w:rsidRPr="00A80AA5" w:rsidRDefault="00A80AA5" w:rsidP="00A80AA5">
          <w:pPr>
            <w:keepNext/>
            <w:spacing w:after="0" w:line="240" w:lineRule="auto"/>
            <w:outlineLvl w:val="2"/>
            <w:rPr>
              <w:rFonts w:ascii="Univers" w:eastAsia="Times New Roman" w:hAnsi="Univers" w:cs="Times New Roman"/>
              <w:b/>
              <w:sz w:val="24"/>
              <w:szCs w:val="20"/>
              <w:lang w:eastAsia="en-US"/>
            </w:rPr>
          </w:pPr>
        </w:p>
        <w:p w:rsidR="00A80AA5" w:rsidRPr="00A80AA5" w:rsidRDefault="00A80AA5" w:rsidP="00A80AA5">
          <w:pPr>
            <w:spacing w:after="0" w:line="240" w:lineRule="auto"/>
            <w:rPr>
              <w:rFonts w:ascii="Helvetica 45" w:eastAsia="Times New Roman" w:hAnsi="Helvetica 45" w:cs="Times New Roman"/>
              <w:lang w:eastAsia="en-US"/>
            </w:rPr>
          </w:pPr>
        </w:p>
        <w:p w:rsidR="00A80AA5" w:rsidRPr="00A80AA5" w:rsidRDefault="00A80AA5" w:rsidP="00A80AA5">
          <w:pPr>
            <w:spacing w:after="0" w:line="240" w:lineRule="auto"/>
            <w:rPr>
              <w:rFonts w:ascii="Helvetica 45" w:eastAsia="Times New Roman" w:hAnsi="Helvetica 45" w:cs="Times New Roman"/>
              <w:lang w:eastAsia="en-US"/>
            </w:rPr>
          </w:pPr>
        </w:p>
        <w:p w:rsidR="00A80AA5" w:rsidRPr="00A80AA5" w:rsidRDefault="00A80AA5" w:rsidP="00A80AA5">
          <w:pPr>
            <w:spacing w:after="0" w:line="240" w:lineRule="auto"/>
            <w:rPr>
              <w:rFonts w:ascii="Helvetica 45" w:eastAsia="Times New Roman" w:hAnsi="Helvetica 45" w:cs="Times New Roman"/>
              <w:lang w:eastAsia="en-US"/>
            </w:rPr>
          </w:pPr>
          <w:r w:rsidRPr="00A80AA5">
            <w:rPr>
              <w:rFonts w:ascii="Helvetica 45" w:eastAsia="Times New Roman" w:hAnsi="Helvetica 45" w:cs="Times New Roman"/>
              <w:noProof/>
            </w:rPr>
            <w:drawing>
              <wp:inline distT="0" distB="0" distL="0" distR="0" wp14:anchorId="2E4982AA" wp14:editId="5526826E">
                <wp:extent cx="2486025" cy="400050"/>
                <wp:effectExtent l="0" t="0" r="9525" b="0"/>
                <wp:docPr id="12" name="Picture 12" descr="#logo-tit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#logo-tit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single" w:sz="24" w:space="0" w:color="auto"/>
            <w:right w:val="nil"/>
          </w:tcBorders>
        </w:tcPr>
        <w:p w:rsidR="00A80AA5" w:rsidRPr="00A80AA5" w:rsidRDefault="00A80AA5" w:rsidP="00A80AA5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lang w:eastAsia="en-US"/>
            </w:rPr>
          </w:pPr>
        </w:p>
        <w:p w:rsidR="00A80AA5" w:rsidRPr="00A80AA5" w:rsidRDefault="00A80AA5" w:rsidP="00A80AA5">
          <w:pPr>
            <w:spacing w:after="0" w:line="240" w:lineRule="auto"/>
            <w:ind w:left="33"/>
            <w:rPr>
              <w:rFonts w:ascii="Times New Roman" w:eastAsia="Times New Roman" w:hAnsi="Times New Roman" w:cs="Times New Roman"/>
              <w:sz w:val="20"/>
              <w:lang w:eastAsia="en-US"/>
            </w:rPr>
          </w:pPr>
          <w:r w:rsidRPr="00A80AA5">
            <w:rPr>
              <w:rFonts w:ascii="Times New Roman" w:eastAsia="Times New Roman" w:hAnsi="Times New Roman" w:cs="Times New Roman"/>
              <w:sz w:val="20"/>
              <w:lang w:eastAsia="en-US"/>
            </w:rPr>
            <w:t>Distr.: General</w:t>
          </w:r>
        </w:p>
        <w:p w:rsidR="00A80AA5" w:rsidRPr="00A80AA5" w:rsidRDefault="00876D7A" w:rsidP="00A80AA5">
          <w:pPr>
            <w:spacing w:after="0" w:line="240" w:lineRule="auto"/>
            <w:ind w:left="33"/>
            <w:rPr>
              <w:rFonts w:ascii="Times New Roman" w:eastAsia="Times New Roman" w:hAnsi="Times New Roman" w:cs="Times New Roman"/>
              <w:sz w:val="20"/>
              <w:lang w:eastAsia="en-US"/>
            </w:rPr>
          </w:pPr>
          <w:r>
            <w:rPr>
              <w:rFonts w:ascii="Times New Roman" w:eastAsia="Times New Roman" w:hAnsi="Times New Roman" w:cs="Times New Roman"/>
              <w:sz w:val="20"/>
              <w:lang w:eastAsia="en-US"/>
            </w:rPr>
            <w:t>8</w:t>
          </w:r>
          <w:r w:rsidR="00A3097B">
            <w:rPr>
              <w:rFonts w:ascii="Times New Roman" w:eastAsia="Times New Roman" w:hAnsi="Times New Roman" w:cs="Times New Roman"/>
              <w:sz w:val="20"/>
              <w:lang w:eastAsia="en-US"/>
            </w:rPr>
            <w:t xml:space="preserve"> January 2018</w:t>
          </w:r>
        </w:p>
        <w:p w:rsidR="00A80AA5" w:rsidRPr="00A80AA5" w:rsidRDefault="00A80AA5" w:rsidP="00A80AA5">
          <w:pPr>
            <w:spacing w:after="0" w:line="240" w:lineRule="auto"/>
            <w:ind w:left="317"/>
            <w:rPr>
              <w:rFonts w:ascii="Times New Roman" w:eastAsia="Times New Roman" w:hAnsi="Times New Roman" w:cs="Times New Roman"/>
              <w:sz w:val="20"/>
              <w:lang w:eastAsia="en-US"/>
            </w:rPr>
          </w:pPr>
        </w:p>
        <w:p w:rsidR="00A80AA5" w:rsidRPr="00A80AA5" w:rsidRDefault="00A80AA5" w:rsidP="00A80AA5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lang w:eastAsia="en-US"/>
            </w:rPr>
          </w:pPr>
          <w:r w:rsidRPr="00A80AA5">
            <w:rPr>
              <w:rFonts w:ascii="Times New Roman" w:eastAsia="Times New Roman" w:hAnsi="Times New Roman" w:cs="Times New Roman"/>
              <w:sz w:val="20"/>
              <w:lang w:eastAsia="en-US"/>
            </w:rPr>
            <w:t xml:space="preserve">English only </w:t>
          </w:r>
        </w:p>
      </w:tc>
    </w:tr>
  </w:tbl>
  <w:p w:rsidR="00F27B5A" w:rsidRPr="00985A07" w:rsidRDefault="00F27B5A" w:rsidP="00A80AA5">
    <w:pPr>
      <w:pStyle w:val="Header"/>
      <w:rPr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66975"/>
    <w:multiLevelType w:val="hybridMultilevel"/>
    <w:tmpl w:val="80DE5614"/>
    <w:lvl w:ilvl="0" w:tplc="47A4AAAE">
      <w:start w:val="1"/>
      <w:numFmt w:val="upperLetter"/>
      <w:lvlText w:val="%1."/>
      <w:lvlJc w:val="left"/>
      <w:pPr>
        <w:ind w:left="1254" w:hanging="63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612F0071"/>
    <w:multiLevelType w:val="hybridMultilevel"/>
    <w:tmpl w:val="5ACEF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F2D29"/>
    <w:multiLevelType w:val="hybridMultilevel"/>
    <w:tmpl w:val="2B281F40"/>
    <w:lvl w:ilvl="0" w:tplc="0809000F">
      <w:start w:val="1"/>
      <w:numFmt w:val="decimal"/>
      <w:lvlText w:val="%1."/>
      <w:lvlJc w:val="left"/>
      <w:pPr>
        <w:ind w:left="1993" w:hanging="360"/>
      </w:pPr>
    </w:lvl>
    <w:lvl w:ilvl="1" w:tplc="08090019" w:tentative="1">
      <w:start w:val="1"/>
      <w:numFmt w:val="lowerLetter"/>
      <w:lvlText w:val="%2."/>
      <w:lvlJc w:val="left"/>
      <w:pPr>
        <w:ind w:left="2713" w:hanging="360"/>
      </w:pPr>
    </w:lvl>
    <w:lvl w:ilvl="2" w:tplc="0809001B" w:tentative="1">
      <w:start w:val="1"/>
      <w:numFmt w:val="lowerRoman"/>
      <w:lvlText w:val="%3."/>
      <w:lvlJc w:val="right"/>
      <w:pPr>
        <w:ind w:left="3433" w:hanging="180"/>
      </w:pPr>
    </w:lvl>
    <w:lvl w:ilvl="3" w:tplc="0809000F" w:tentative="1">
      <w:start w:val="1"/>
      <w:numFmt w:val="decimal"/>
      <w:lvlText w:val="%4."/>
      <w:lvlJc w:val="left"/>
      <w:pPr>
        <w:ind w:left="4153" w:hanging="360"/>
      </w:pPr>
    </w:lvl>
    <w:lvl w:ilvl="4" w:tplc="08090019" w:tentative="1">
      <w:start w:val="1"/>
      <w:numFmt w:val="lowerLetter"/>
      <w:lvlText w:val="%5."/>
      <w:lvlJc w:val="left"/>
      <w:pPr>
        <w:ind w:left="4873" w:hanging="360"/>
      </w:pPr>
    </w:lvl>
    <w:lvl w:ilvl="5" w:tplc="0809001B" w:tentative="1">
      <w:start w:val="1"/>
      <w:numFmt w:val="lowerRoman"/>
      <w:lvlText w:val="%6."/>
      <w:lvlJc w:val="right"/>
      <w:pPr>
        <w:ind w:left="5593" w:hanging="180"/>
      </w:pPr>
    </w:lvl>
    <w:lvl w:ilvl="6" w:tplc="0809000F" w:tentative="1">
      <w:start w:val="1"/>
      <w:numFmt w:val="decimal"/>
      <w:lvlText w:val="%7."/>
      <w:lvlJc w:val="left"/>
      <w:pPr>
        <w:ind w:left="6313" w:hanging="360"/>
      </w:pPr>
    </w:lvl>
    <w:lvl w:ilvl="7" w:tplc="08090019" w:tentative="1">
      <w:start w:val="1"/>
      <w:numFmt w:val="lowerLetter"/>
      <w:lvlText w:val="%8."/>
      <w:lvlJc w:val="left"/>
      <w:pPr>
        <w:ind w:left="7033" w:hanging="360"/>
      </w:pPr>
    </w:lvl>
    <w:lvl w:ilvl="8" w:tplc="0809001B" w:tentative="1">
      <w:start w:val="1"/>
      <w:numFmt w:val="lowerRoman"/>
      <w:lvlText w:val="%9."/>
      <w:lvlJc w:val="right"/>
      <w:pPr>
        <w:ind w:left="7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27"/>
    <w:rsid w:val="00054401"/>
    <w:rsid w:val="0005609D"/>
    <w:rsid w:val="000A6821"/>
    <w:rsid w:val="00187714"/>
    <w:rsid w:val="001D72F6"/>
    <w:rsid w:val="00207043"/>
    <w:rsid w:val="00237B03"/>
    <w:rsid w:val="00243B09"/>
    <w:rsid w:val="00257E7D"/>
    <w:rsid w:val="0028155C"/>
    <w:rsid w:val="0031640F"/>
    <w:rsid w:val="003F4D0D"/>
    <w:rsid w:val="004121E7"/>
    <w:rsid w:val="00423CBF"/>
    <w:rsid w:val="004241C0"/>
    <w:rsid w:val="004326BB"/>
    <w:rsid w:val="0045224C"/>
    <w:rsid w:val="004A73CF"/>
    <w:rsid w:val="004C6509"/>
    <w:rsid w:val="004F26C6"/>
    <w:rsid w:val="004F38E3"/>
    <w:rsid w:val="00515F3F"/>
    <w:rsid w:val="0052676A"/>
    <w:rsid w:val="0054062F"/>
    <w:rsid w:val="00610727"/>
    <w:rsid w:val="006A177B"/>
    <w:rsid w:val="006D22A7"/>
    <w:rsid w:val="007316FB"/>
    <w:rsid w:val="007657A1"/>
    <w:rsid w:val="00767540"/>
    <w:rsid w:val="007735A5"/>
    <w:rsid w:val="00826821"/>
    <w:rsid w:val="00876D7A"/>
    <w:rsid w:val="00985A07"/>
    <w:rsid w:val="009F718F"/>
    <w:rsid w:val="00A3097B"/>
    <w:rsid w:val="00A320B1"/>
    <w:rsid w:val="00A80AA5"/>
    <w:rsid w:val="00AC734C"/>
    <w:rsid w:val="00B22690"/>
    <w:rsid w:val="00B847C8"/>
    <w:rsid w:val="00C21A71"/>
    <w:rsid w:val="00C80ABB"/>
    <w:rsid w:val="00C94328"/>
    <w:rsid w:val="00CD3782"/>
    <w:rsid w:val="00E15F00"/>
    <w:rsid w:val="00E704D0"/>
    <w:rsid w:val="00ED39D1"/>
    <w:rsid w:val="00F27B5A"/>
    <w:rsid w:val="00F644B3"/>
    <w:rsid w:val="00F90DCE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D385AB2-AB88-4F12-833B-0A1A8D9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10727"/>
    <w:pPr>
      <w:spacing w:after="200" w:line="276" w:lineRule="auto"/>
    </w:pPr>
    <w:rPr>
      <w:rFonts w:ascii="Calibri" w:eastAsia="SimSun" w:hAnsi="Calibri" w:cs="Arial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7B5A"/>
    <w:pPr>
      <w:keepNext/>
      <w:spacing w:before="240" w:after="60" w:line="240" w:lineRule="auto"/>
      <w:outlineLvl w:val="1"/>
    </w:pPr>
    <w:rPr>
      <w:rFonts w:ascii="Arial" w:eastAsia="MS Mincho" w:hAnsi="Arial"/>
      <w:b/>
      <w:bCs/>
      <w:i/>
      <w:iCs/>
      <w:sz w:val="28"/>
      <w:szCs w:val="28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27B5A"/>
    <w:pPr>
      <w:keepNext/>
      <w:spacing w:after="0" w:line="240" w:lineRule="auto"/>
      <w:outlineLvl w:val="2"/>
    </w:pPr>
    <w:rPr>
      <w:rFonts w:ascii="Univers" w:eastAsia="MS Mincho" w:hAnsi="Univers" w:cs="Times New Roman"/>
      <w:b/>
      <w:sz w:val="4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727"/>
    <w:pPr>
      <w:ind w:left="720"/>
      <w:contextualSpacing/>
    </w:pPr>
  </w:style>
  <w:style w:type="table" w:styleId="TableGrid">
    <w:name w:val="Table Grid"/>
    <w:basedOn w:val="TableNormal"/>
    <w:uiPriority w:val="59"/>
    <w:rsid w:val="0061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#Header"/>
    <w:basedOn w:val="Normal"/>
    <w:link w:val="HeaderChar"/>
    <w:uiPriority w:val="99"/>
    <w:unhideWhenUsed/>
    <w:rsid w:val="00B22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#Header Char"/>
    <w:basedOn w:val="DefaultParagraphFont"/>
    <w:link w:val="Header"/>
    <w:uiPriority w:val="99"/>
    <w:rsid w:val="00B22690"/>
    <w:rPr>
      <w:rFonts w:ascii="Calibri" w:eastAsia="SimSun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2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690"/>
    <w:rPr>
      <w:rFonts w:ascii="Calibri" w:eastAsia="SimSun" w:hAnsi="Calibri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90"/>
    <w:rPr>
      <w:rFonts w:ascii="Segoe UI" w:eastAsia="SimSun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F27B5A"/>
    <w:rPr>
      <w:rFonts w:ascii="Arial" w:eastAsia="MS Mincho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F27B5A"/>
    <w:rPr>
      <w:rFonts w:ascii="Univers" w:eastAsia="MS Mincho" w:hAnsi="Univers" w:cs="Times New Roman"/>
      <w:b/>
      <w:sz w:val="40"/>
      <w:szCs w:val="20"/>
      <w:lang w:eastAsia="en-US"/>
    </w:rPr>
  </w:style>
  <w:style w:type="paragraph" w:styleId="FootnoteText">
    <w:name w:val="footnote text"/>
    <w:aliases w:val="Geneva 9,Font: Geneva 9,Boston 10,f,DNV-FT,Footnote01"/>
    <w:basedOn w:val="Normal"/>
    <w:link w:val="FootnoteTextChar"/>
    <w:uiPriority w:val="99"/>
    <w:rsid w:val="00F27B5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Geneva 9 Char,Font: Geneva 9 Char,Boston 10 Char,f Char,DNV-FT Char,Footnote01 Char"/>
    <w:basedOn w:val="DefaultParagraphFont"/>
    <w:link w:val="FootnoteText"/>
    <w:uiPriority w:val="99"/>
    <w:rsid w:val="00F27B5A"/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BBTitle">
    <w:name w:val="BB_Title"/>
    <w:basedOn w:val="Normal"/>
    <w:uiPriority w:val="99"/>
    <w:rsid w:val="00F27B5A"/>
    <w:pPr>
      <w:keepNext/>
      <w:keepLines/>
      <w:suppressAutoHyphens/>
      <w:spacing w:before="320" w:after="240" w:line="240" w:lineRule="auto"/>
      <w:ind w:left="1247" w:right="567"/>
    </w:pPr>
    <w:rPr>
      <w:rFonts w:ascii="Times New Roman" w:hAnsi="Times New Roman" w:cs="Times New Roman"/>
      <w:b/>
      <w:sz w:val="28"/>
      <w:szCs w:val="28"/>
      <w:lang w:val="en-GB" w:eastAsia="en-US"/>
    </w:rPr>
  </w:style>
  <w:style w:type="paragraph" w:customStyle="1" w:styleId="ZZAnxheader">
    <w:name w:val="ZZ_Anx_header"/>
    <w:basedOn w:val="Normal"/>
    <w:rsid w:val="00B847C8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05B7-0B8D-4995-9911-962F9EED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1128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UNOG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KOEKKOEK</dc:creator>
  <cp:keywords/>
  <dc:description/>
  <cp:lastModifiedBy>Lina Fortelius</cp:lastModifiedBy>
  <cp:revision>3</cp:revision>
  <cp:lastPrinted>2018-01-08T10:03:00Z</cp:lastPrinted>
  <dcterms:created xsi:type="dcterms:W3CDTF">2018-01-08T10:00:00Z</dcterms:created>
  <dcterms:modified xsi:type="dcterms:W3CDTF">2018-01-08T10:06:00Z</dcterms:modified>
</cp:coreProperties>
</file>