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408E1" w14:textId="5383A369" w:rsidR="00AC573A" w:rsidRDefault="00AC573A" w:rsidP="00AC573A"/>
    <w:tbl>
      <w:tblPr>
        <w:tblW w:w="10065" w:type="dxa"/>
        <w:tblInd w:w="-176" w:type="dxa"/>
        <w:tblLayout w:type="fixed"/>
        <w:tblLook w:val="04A0" w:firstRow="1" w:lastRow="0" w:firstColumn="1" w:lastColumn="0" w:noHBand="0" w:noVBand="1"/>
      </w:tblPr>
      <w:tblGrid>
        <w:gridCol w:w="6644"/>
        <w:gridCol w:w="19"/>
        <w:gridCol w:w="3402"/>
      </w:tblGrid>
      <w:tr w:rsidR="00C04F1F" w:rsidRPr="00C04F1F" w14:paraId="636849C4" w14:textId="77777777" w:rsidTr="00DA1FED">
        <w:trPr>
          <w:cantSplit/>
          <w:trHeight w:val="718"/>
        </w:trPr>
        <w:tc>
          <w:tcPr>
            <w:tcW w:w="6644" w:type="dxa"/>
            <w:tcBorders>
              <w:top w:val="nil"/>
              <w:left w:val="nil"/>
              <w:bottom w:val="single" w:sz="2" w:space="0" w:color="auto"/>
              <w:right w:val="nil"/>
            </w:tcBorders>
            <w:hideMark/>
          </w:tcPr>
          <w:p w14:paraId="68FD286F" w14:textId="47A95D10" w:rsidR="00C04F1F" w:rsidRPr="00CA6CD1" w:rsidRDefault="00C04F1F" w:rsidP="00C04F1F">
            <w:pPr>
              <w:spacing w:after="0" w:line="240" w:lineRule="auto"/>
              <w:rPr>
                <w:rFonts w:ascii="Helvetica 45" w:eastAsia="Times New Roman" w:hAnsi="Helvetica 45" w:cs="Times New Roman"/>
                <w:sz w:val="24"/>
                <w:szCs w:val="24"/>
                <w:lang w:eastAsia="en-US"/>
              </w:rPr>
            </w:pPr>
            <w:r w:rsidRPr="00CA6CD1">
              <w:rPr>
                <w:rFonts w:ascii="Helvetica 45" w:eastAsia="Times New Roman" w:hAnsi="Helvetica 45" w:cs="Times New Roman"/>
                <w:noProof/>
                <w:sz w:val="24"/>
                <w:szCs w:val="24"/>
              </w:rPr>
              <w:drawing>
                <wp:inline distT="0" distB="0" distL="0" distR="0" wp14:anchorId="7CD822F9" wp14:editId="477D6625">
                  <wp:extent cx="1000125" cy="457200"/>
                  <wp:effectExtent l="0" t="0" r="9525" b="0"/>
                  <wp:docPr id="5" name="Picture 5" descr="2logos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logos_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457200"/>
                          </a:xfrm>
                          <a:prstGeom prst="rect">
                            <a:avLst/>
                          </a:prstGeom>
                          <a:noFill/>
                          <a:ln>
                            <a:noFill/>
                          </a:ln>
                        </pic:spPr>
                      </pic:pic>
                    </a:graphicData>
                  </a:graphic>
                </wp:inline>
              </w:drawing>
            </w:r>
          </w:p>
        </w:tc>
        <w:tc>
          <w:tcPr>
            <w:tcW w:w="3421" w:type="dxa"/>
            <w:gridSpan w:val="2"/>
            <w:tcBorders>
              <w:top w:val="nil"/>
              <w:left w:val="nil"/>
              <w:bottom w:val="single" w:sz="2" w:space="0" w:color="auto"/>
              <w:right w:val="nil"/>
            </w:tcBorders>
          </w:tcPr>
          <w:p w14:paraId="53050D87" w14:textId="77777777" w:rsidR="00C04F1F" w:rsidRPr="00CA6CD1" w:rsidRDefault="00C04F1F" w:rsidP="00C04F1F">
            <w:pPr>
              <w:keepNext/>
              <w:spacing w:before="240" w:after="60" w:line="240" w:lineRule="auto"/>
              <w:outlineLvl w:val="1"/>
              <w:rPr>
                <w:rFonts w:ascii="Times New Roman" w:eastAsia="Times New Roman" w:hAnsi="Times New Roman" w:cs="Times New Roman"/>
                <w:b/>
                <w:bCs/>
                <w:i/>
                <w:iCs/>
                <w:sz w:val="20"/>
                <w:szCs w:val="20"/>
                <w:lang w:val="en-GB" w:eastAsia="en-US"/>
              </w:rPr>
            </w:pPr>
          </w:p>
          <w:p w14:paraId="03E4E0C5" w14:textId="77777777" w:rsidR="00C04F1F" w:rsidRPr="00CA6CD1" w:rsidRDefault="00C04F1F" w:rsidP="00C04F1F">
            <w:pPr>
              <w:spacing w:after="0" w:line="240" w:lineRule="auto"/>
              <w:rPr>
                <w:rFonts w:ascii="Times New Roman" w:eastAsia="Times New Roman" w:hAnsi="Times New Roman" w:cs="Times New Roman"/>
                <w:sz w:val="20"/>
                <w:szCs w:val="20"/>
                <w:lang w:eastAsia="en-US"/>
              </w:rPr>
            </w:pPr>
          </w:p>
          <w:p w14:paraId="7E8F882E" w14:textId="4B6FD766" w:rsidR="00C04F1F" w:rsidRPr="00CA6CD1" w:rsidRDefault="00C04F1F" w:rsidP="00C04F1F">
            <w:pPr>
              <w:spacing w:after="0" w:line="240" w:lineRule="auto"/>
              <w:rPr>
                <w:rFonts w:ascii="Times New Roman" w:eastAsia="Times New Roman" w:hAnsi="Times New Roman" w:cs="Times New Roman"/>
                <w:sz w:val="20"/>
                <w:szCs w:val="20"/>
                <w:lang w:eastAsia="en-US"/>
              </w:rPr>
            </w:pPr>
            <w:r w:rsidRPr="00CA6CD1">
              <w:rPr>
                <w:rFonts w:ascii="Times New Roman" w:eastAsia="Times New Roman" w:hAnsi="Times New Roman" w:cs="Times New Roman"/>
                <w:b/>
                <w:sz w:val="20"/>
                <w:szCs w:val="20"/>
                <w:lang w:val="en-GB" w:eastAsia="en-US"/>
              </w:rPr>
              <w:t>SAICM</w:t>
            </w:r>
            <w:r w:rsidRPr="00CA6CD1">
              <w:rPr>
                <w:rFonts w:ascii="Times New Roman" w:eastAsia="Times New Roman" w:hAnsi="Times New Roman" w:cs="Times New Roman"/>
                <w:sz w:val="20"/>
                <w:szCs w:val="20"/>
                <w:lang w:val="en-GB" w:eastAsia="en-US"/>
              </w:rPr>
              <w:t>/IP.2/5</w:t>
            </w:r>
          </w:p>
        </w:tc>
      </w:tr>
      <w:tr w:rsidR="00C04F1F" w:rsidRPr="00C04F1F" w14:paraId="49CC2708" w14:textId="77777777" w:rsidTr="00DA1FED">
        <w:trPr>
          <w:cantSplit/>
          <w:trHeight w:val="1927"/>
        </w:trPr>
        <w:tc>
          <w:tcPr>
            <w:tcW w:w="6663" w:type="dxa"/>
            <w:gridSpan w:val="2"/>
            <w:tcBorders>
              <w:top w:val="single" w:sz="2" w:space="0" w:color="auto"/>
              <w:left w:val="nil"/>
              <w:bottom w:val="single" w:sz="24" w:space="0" w:color="auto"/>
              <w:right w:val="nil"/>
            </w:tcBorders>
          </w:tcPr>
          <w:p w14:paraId="32E2C430" w14:textId="77777777" w:rsidR="00C04F1F" w:rsidRPr="00CA6CD1" w:rsidRDefault="00C04F1F" w:rsidP="00C04F1F">
            <w:pPr>
              <w:keepNext/>
              <w:spacing w:after="0" w:line="240" w:lineRule="auto"/>
              <w:outlineLvl w:val="2"/>
              <w:rPr>
                <w:rFonts w:ascii="Univers" w:eastAsia="Times New Roman" w:hAnsi="Univers" w:cs="Times New Roman"/>
                <w:b/>
                <w:sz w:val="24"/>
                <w:szCs w:val="20"/>
                <w:lang w:eastAsia="en-US"/>
              </w:rPr>
            </w:pPr>
          </w:p>
          <w:p w14:paraId="408D3310" w14:textId="77777777" w:rsidR="00C04F1F" w:rsidRPr="00CA6CD1" w:rsidRDefault="00C04F1F" w:rsidP="00C04F1F">
            <w:pPr>
              <w:spacing w:after="0" w:line="240" w:lineRule="auto"/>
              <w:rPr>
                <w:rFonts w:ascii="Helvetica 45" w:eastAsia="Times New Roman" w:hAnsi="Helvetica 45" w:cs="Times New Roman"/>
                <w:sz w:val="24"/>
                <w:szCs w:val="24"/>
                <w:lang w:eastAsia="en-US"/>
              </w:rPr>
            </w:pPr>
          </w:p>
          <w:p w14:paraId="03ECCD8D" w14:textId="77777777" w:rsidR="00C04F1F" w:rsidRPr="00CA6CD1" w:rsidRDefault="00C04F1F" w:rsidP="00C04F1F">
            <w:pPr>
              <w:spacing w:after="0" w:line="240" w:lineRule="auto"/>
              <w:rPr>
                <w:rFonts w:ascii="Helvetica 45" w:eastAsia="Times New Roman" w:hAnsi="Helvetica 45" w:cs="Times New Roman"/>
                <w:sz w:val="24"/>
                <w:szCs w:val="24"/>
                <w:lang w:eastAsia="en-US"/>
              </w:rPr>
            </w:pPr>
          </w:p>
          <w:p w14:paraId="2E963A71" w14:textId="1C2444B0" w:rsidR="00C04F1F" w:rsidRPr="00CA6CD1" w:rsidRDefault="00C04F1F" w:rsidP="00C04F1F">
            <w:pPr>
              <w:spacing w:after="0" w:line="240" w:lineRule="auto"/>
              <w:rPr>
                <w:rFonts w:ascii="Helvetica 45" w:eastAsia="Times New Roman" w:hAnsi="Helvetica 45" w:cs="Times New Roman"/>
                <w:sz w:val="24"/>
                <w:szCs w:val="24"/>
                <w:lang w:eastAsia="en-US"/>
              </w:rPr>
            </w:pPr>
            <w:r w:rsidRPr="00CA6CD1">
              <w:rPr>
                <w:rFonts w:ascii="Helvetica 45" w:eastAsia="Times New Roman" w:hAnsi="Helvetica 45" w:cs="Times New Roman"/>
                <w:noProof/>
                <w:sz w:val="24"/>
                <w:szCs w:val="24"/>
              </w:rPr>
              <w:drawing>
                <wp:inline distT="0" distB="0" distL="0" distR="0" wp14:anchorId="0AC2A9EA" wp14:editId="60C5B7AD">
                  <wp:extent cx="2486025" cy="400050"/>
                  <wp:effectExtent l="0" t="0" r="9525" b="0"/>
                  <wp:docPr id="4" name="Picture 4" descr="#logo-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tit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6025" cy="400050"/>
                          </a:xfrm>
                          <a:prstGeom prst="rect">
                            <a:avLst/>
                          </a:prstGeom>
                          <a:noFill/>
                          <a:ln>
                            <a:noFill/>
                          </a:ln>
                        </pic:spPr>
                      </pic:pic>
                    </a:graphicData>
                  </a:graphic>
                </wp:inline>
              </w:drawing>
            </w:r>
          </w:p>
        </w:tc>
        <w:tc>
          <w:tcPr>
            <w:tcW w:w="3402" w:type="dxa"/>
            <w:tcBorders>
              <w:top w:val="single" w:sz="2" w:space="0" w:color="auto"/>
              <w:left w:val="nil"/>
              <w:bottom w:val="single" w:sz="24" w:space="0" w:color="auto"/>
              <w:right w:val="nil"/>
            </w:tcBorders>
          </w:tcPr>
          <w:p w14:paraId="544CDEEF" w14:textId="77777777" w:rsidR="00C04F1F" w:rsidRPr="00CA6CD1" w:rsidRDefault="00C04F1F" w:rsidP="00C04F1F">
            <w:pPr>
              <w:spacing w:after="0" w:line="240" w:lineRule="auto"/>
              <w:rPr>
                <w:rFonts w:ascii="Times New Roman" w:eastAsia="Times New Roman" w:hAnsi="Times New Roman" w:cs="Times New Roman"/>
                <w:sz w:val="20"/>
                <w:szCs w:val="24"/>
                <w:lang w:eastAsia="en-US"/>
              </w:rPr>
            </w:pPr>
          </w:p>
          <w:p w14:paraId="24116785" w14:textId="77777777" w:rsidR="00C04F1F" w:rsidRPr="00CA6CD1" w:rsidRDefault="00C04F1F" w:rsidP="00C04F1F">
            <w:pPr>
              <w:spacing w:after="0" w:line="240" w:lineRule="auto"/>
              <w:ind w:left="33"/>
              <w:rPr>
                <w:rFonts w:ascii="Times New Roman" w:eastAsia="Times New Roman" w:hAnsi="Times New Roman" w:cs="Times New Roman"/>
                <w:sz w:val="20"/>
                <w:szCs w:val="24"/>
                <w:lang w:eastAsia="en-US"/>
              </w:rPr>
            </w:pPr>
            <w:r w:rsidRPr="00CA6CD1">
              <w:rPr>
                <w:rFonts w:ascii="Times New Roman" w:eastAsia="Times New Roman" w:hAnsi="Times New Roman" w:cs="Times New Roman"/>
                <w:sz w:val="20"/>
                <w:szCs w:val="24"/>
                <w:lang w:eastAsia="en-US"/>
              </w:rPr>
              <w:t>Distr.: General</w:t>
            </w:r>
          </w:p>
          <w:p w14:paraId="4ABD13FC" w14:textId="008A27A8" w:rsidR="00C04F1F" w:rsidRPr="00CA6CD1" w:rsidRDefault="00274586" w:rsidP="00CA6CD1">
            <w:pPr>
              <w:spacing w:after="0" w:line="240" w:lineRule="auto"/>
              <w:ind w:left="33"/>
              <w:rPr>
                <w:rFonts w:ascii="Times New Roman" w:eastAsia="Times New Roman" w:hAnsi="Times New Roman" w:cs="Times New Roman"/>
                <w:sz w:val="20"/>
                <w:szCs w:val="24"/>
                <w:lang w:eastAsia="en-US"/>
              </w:rPr>
            </w:pPr>
            <w:r>
              <w:rPr>
                <w:rFonts w:ascii="Times New Roman" w:eastAsia="Times New Roman" w:hAnsi="Times New Roman" w:cs="Times New Roman"/>
                <w:sz w:val="20"/>
                <w:szCs w:val="24"/>
                <w:lang w:eastAsia="en-US"/>
              </w:rPr>
              <w:t>20</w:t>
            </w:r>
            <w:r w:rsidR="00C04F1F" w:rsidRPr="00CA6CD1">
              <w:rPr>
                <w:rFonts w:ascii="Times New Roman" w:eastAsia="Times New Roman" w:hAnsi="Times New Roman" w:cs="Times New Roman"/>
                <w:sz w:val="20"/>
                <w:szCs w:val="24"/>
                <w:lang w:eastAsia="en-US"/>
              </w:rPr>
              <w:t xml:space="preserve"> December 2017</w:t>
            </w:r>
          </w:p>
          <w:p w14:paraId="52B48D00" w14:textId="77777777" w:rsidR="00C04F1F" w:rsidRPr="00CA6CD1" w:rsidRDefault="00C04F1F" w:rsidP="00C04F1F">
            <w:pPr>
              <w:spacing w:after="0" w:line="240" w:lineRule="auto"/>
              <w:ind w:left="317"/>
              <w:rPr>
                <w:rFonts w:ascii="Times New Roman" w:eastAsia="Times New Roman" w:hAnsi="Times New Roman" w:cs="Times New Roman"/>
                <w:sz w:val="20"/>
                <w:szCs w:val="24"/>
                <w:lang w:eastAsia="en-US"/>
              </w:rPr>
            </w:pPr>
          </w:p>
          <w:p w14:paraId="73922CC3" w14:textId="77777777" w:rsidR="00C04F1F" w:rsidRPr="00CA6CD1" w:rsidRDefault="00C04F1F" w:rsidP="00C04F1F">
            <w:pPr>
              <w:spacing w:after="0" w:line="240" w:lineRule="auto"/>
              <w:rPr>
                <w:rFonts w:ascii="Times New Roman" w:eastAsia="Times New Roman" w:hAnsi="Times New Roman" w:cs="Times New Roman"/>
                <w:sz w:val="20"/>
                <w:szCs w:val="24"/>
                <w:lang w:eastAsia="en-US"/>
              </w:rPr>
            </w:pPr>
            <w:r w:rsidRPr="00CA6CD1">
              <w:rPr>
                <w:rFonts w:ascii="Times New Roman" w:eastAsia="Times New Roman" w:hAnsi="Times New Roman" w:cs="Times New Roman"/>
                <w:sz w:val="20"/>
                <w:szCs w:val="24"/>
                <w:lang w:eastAsia="en-US"/>
              </w:rPr>
              <w:t xml:space="preserve">English only </w:t>
            </w:r>
          </w:p>
        </w:tc>
      </w:tr>
    </w:tbl>
    <w:p w14:paraId="40E2F943" w14:textId="77777777" w:rsidR="00C04F1F" w:rsidRDefault="00C04F1F" w:rsidP="00C04F1F">
      <w:pPr>
        <w:contextualSpacing/>
        <w:rPr>
          <w:rFonts w:ascii="Times New Roman" w:eastAsia="Times New Roman" w:hAnsi="Times New Roman" w:cs="Times New Roman"/>
          <w:b/>
          <w:bCs/>
          <w:sz w:val="20"/>
          <w:szCs w:val="20"/>
          <w:lang w:val="en-GB"/>
        </w:rPr>
      </w:pPr>
      <w:r w:rsidRPr="00C04F1F">
        <w:rPr>
          <w:rFonts w:ascii="Times New Roman" w:eastAsia="DengXian" w:hAnsi="Times New Roman" w:cs="Times New Roman"/>
          <w:b/>
          <w:bCs/>
          <w:sz w:val="20"/>
          <w:szCs w:val="20"/>
        </w:rPr>
        <w:t xml:space="preserve">Second meeting of the intersessional process considering the Strategic Approach </w:t>
      </w:r>
    </w:p>
    <w:p w14:paraId="63AEF1B4" w14:textId="461F7BF3" w:rsidR="00C04F1F" w:rsidRPr="00CA6CD1" w:rsidRDefault="00C04F1F" w:rsidP="00C04F1F">
      <w:pPr>
        <w:contextualSpacing/>
        <w:rPr>
          <w:rFonts w:ascii="Times New Roman" w:eastAsia="Times New Roman" w:hAnsi="Times New Roman" w:cs="Times New Roman"/>
          <w:b/>
          <w:bCs/>
          <w:sz w:val="20"/>
          <w:szCs w:val="20"/>
          <w:lang w:val="en-GB"/>
        </w:rPr>
      </w:pPr>
      <w:r w:rsidRPr="00CA6CD1">
        <w:rPr>
          <w:rFonts w:ascii="Times New Roman" w:eastAsia="DengXian" w:hAnsi="Times New Roman" w:cs="Times New Roman"/>
          <w:b/>
          <w:bCs/>
          <w:sz w:val="20"/>
          <w:szCs w:val="20"/>
        </w:rPr>
        <w:t>and the sound management of chemicals and waste beyond 2020</w:t>
      </w:r>
    </w:p>
    <w:p w14:paraId="497B6E2B" w14:textId="3B19B53F" w:rsidR="00C04F1F" w:rsidRPr="00CA6CD1" w:rsidRDefault="00C04F1F" w:rsidP="00CA6CD1">
      <w:pPr>
        <w:spacing w:after="60" w:line="240" w:lineRule="auto"/>
        <w:rPr>
          <w:rFonts w:ascii="Times New Roman" w:eastAsia="DengXian" w:hAnsi="Times New Roman" w:cs="Times New Roman"/>
          <w:sz w:val="20"/>
          <w:szCs w:val="20"/>
        </w:rPr>
      </w:pPr>
      <w:r w:rsidRPr="00CA6CD1">
        <w:rPr>
          <w:rFonts w:ascii="Times New Roman" w:eastAsia="DengXian" w:hAnsi="Times New Roman" w:cs="Times New Roman"/>
          <w:sz w:val="20"/>
          <w:szCs w:val="20"/>
        </w:rPr>
        <w:t>Stockholm, Sweden, 13-15 March 201</w:t>
      </w:r>
      <w:r w:rsidR="00CA6CD1" w:rsidRPr="00CA6CD1">
        <w:rPr>
          <w:rFonts w:ascii="Times New Roman" w:eastAsia="DengXian" w:hAnsi="Times New Roman" w:cs="Times New Roman"/>
          <w:sz w:val="20"/>
          <w:szCs w:val="20"/>
        </w:rPr>
        <w:t>8</w:t>
      </w:r>
    </w:p>
    <w:p w14:paraId="1F3E310E" w14:textId="77777777" w:rsidR="00C04F1F" w:rsidRPr="00CA6CD1" w:rsidRDefault="00C04F1F" w:rsidP="00C04F1F">
      <w:pPr>
        <w:tabs>
          <w:tab w:val="left" w:pos="624"/>
          <w:tab w:val="left" w:pos="1247"/>
          <w:tab w:val="left" w:pos="1871"/>
          <w:tab w:val="left" w:pos="2495"/>
          <w:tab w:val="left" w:pos="3119"/>
        </w:tabs>
        <w:spacing w:before="60" w:after="0" w:line="240" w:lineRule="auto"/>
        <w:rPr>
          <w:rFonts w:ascii="Times New Roman" w:eastAsia="DengXian" w:hAnsi="Times New Roman" w:cs="Times New Roman"/>
          <w:bCs/>
          <w:sz w:val="20"/>
          <w:szCs w:val="20"/>
        </w:rPr>
      </w:pPr>
      <w:r w:rsidRPr="00CA6CD1">
        <w:rPr>
          <w:rFonts w:ascii="Times New Roman" w:eastAsia="DengXian" w:hAnsi="Times New Roman" w:cs="Times New Roman"/>
          <w:sz w:val="20"/>
          <w:szCs w:val="20"/>
          <w:lang w:val="en-GB"/>
        </w:rPr>
        <w:t>Item 4 of the provisional agenda</w:t>
      </w:r>
      <w:r w:rsidRPr="00CA6CD1">
        <w:rPr>
          <w:rFonts w:ascii="Times New Roman" w:eastAsia="DengXian" w:hAnsi="Times New Roman" w:cs="Times New Roman"/>
          <w:sz w:val="20"/>
          <w:szCs w:val="20"/>
          <w:lang w:val="en-GB"/>
        </w:rPr>
        <w:footnoteReference w:customMarkFollows="1" w:id="2"/>
        <w:t>*</w:t>
      </w:r>
    </w:p>
    <w:p w14:paraId="2FEC99DD" w14:textId="644AF399" w:rsidR="00C04F1F" w:rsidRPr="00C04F1F" w:rsidRDefault="00CA6CD1" w:rsidP="00CA6CD1">
      <w:pPr>
        <w:tabs>
          <w:tab w:val="left" w:pos="624"/>
          <w:tab w:val="left" w:pos="1247"/>
          <w:tab w:val="left" w:pos="1871"/>
          <w:tab w:val="left" w:pos="2495"/>
          <w:tab w:val="left" w:pos="3119"/>
        </w:tabs>
        <w:spacing w:before="60" w:after="0" w:line="240" w:lineRule="auto"/>
        <w:rPr>
          <w:rFonts w:ascii="Times New Roman" w:eastAsia="DengXian" w:hAnsi="Times New Roman" w:cs="Times New Roman"/>
          <w:b/>
          <w:bCs/>
          <w:sz w:val="20"/>
          <w:szCs w:val="20"/>
        </w:rPr>
      </w:pPr>
      <w:r w:rsidRPr="00CA6CD1">
        <w:rPr>
          <w:rFonts w:ascii="Times New Roman" w:eastAsia="DengXian" w:hAnsi="Times New Roman" w:cs="Times New Roman"/>
          <w:b/>
          <w:bCs/>
          <w:sz w:val="20"/>
          <w:szCs w:val="20"/>
        </w:rPr>
        <w:t>Considerations for beyond 2020</w:t>
      </w:r>
    </w:p>
    <w:p w14:paraId="22D77A78" w14:textId="77777777" w:rsidR="00C04F1F" w:rsidRPr="00C04F1F" w:rsidRDefault="00C04F1F" w:rsidP="00C04F1F">
      <w:pPr>
        <w:tabs>
          <w:tab w:val="left" w:pos="624"/>
          <w:tab w:val="left" w:pos="1247"/>
          <w:tab w:val="left" w:pos="1871"/>
          <w:tab w:val="left" w:pos="2495"/>
          <w:tab w:val="left" w:pos="3119"/>
        </w:tabs>
        <w:spacing w:before="60" w:after="0" w:line="240" w:lineRule="auto"/>
        <w:rPr>
          <w:rFonts w:ascii="Times New Roman" w:eastAsia="DengXian" w:hAnsi="Times New Roman" w:cs="Times New Roman"/>
          <w:b/>
          <w:bCs/>
          <w:sz w:val="24"/>
          <w:szCs w:val="24"/>
          <w:lang w:val="en-GB"/>
        </w:rPr>
      </w:pPr>
    </w:p>
    <w:p w14:paraId="3F821680" w14:textId="77777777" w:rsidR="00C04F1F" w:rsidRPr="00C04F1F" w:rsidRDefault="00C04F1F" w:rsidP="00C04F1F">
      <w:pPr>
        <w:tabs>
          <w:tab w:val="left" w:pos="624"/>
          <w:tab w:val="left" w:pos="1247"/>
          <w:tab w:val="left" w:pos="1871"/>
          <w:tab w:val="left" w:pos="2495"/>
          <w:tab w:val="left" w:pos="3119"/>
        </w:tabs>
        <w:spacing w:before="60" w:after="0" w:line="240" w:lineRule="auto"/>
        <w:rPr>
          <w:rFonts w:ascii="Times New Roman" w:eastAsia="DengXian" w:hAnsi="Times New Roman" w:cs="Times New Roman"/>
          <w:b/>
          <w:bCs/>
          <w:sz w:val="24"/>
          <w:szCs w:val="24"/>
          <w:lang w:val="en-GB"/>
        </w:rPr>
      </w:pPr>
    </w:p>
    <w:p w14:paraId="7CA5FC38" w14:textId="7E988A0B" w:rsidR="00C04F1F" w:rsidRPr="00C04F1F" w:rsidRDefault="00C04F1F" w:rsidP="00DA1FED">
      <w:pPr>
        <w:pStyle w:val="BBTitle"/>
        <w:contextualSpacing/>
        <w:rPr>
          <w:rFonts w:eastAsia="DengXian"/>
          <w:bCs/>
          <w:sz w:val="24"/>
          <w:szCs w:val="24"/>
        </w:rPr>
      </w:pPr>
      <w:r w:rsidRPr="00C04F1F">
        <w:rPr>
          <w:rFonts w:eastAsia="DengXian"/>
          <w:bCs/>
          <w:sz w:val="24"/>
          <w:szCs w:val="24"/>
        </w:rPr>
        <w:t>Co-</w:t>
      </w:r>
      <w:r w:rsidR="00273CBA">
        <w:rPr>
          <w:rFonts w:eastAsia="DengXian"/>
          <w:bCs/>
          <w:sz w:val="24"/>
          <w:szCs w:val="24"/>
        </w:rPr>
        <w:t>c</w:t>
      </w:r>
      <w:r w:rsidRPr="00C04F1F">
        <w:rPr>
          <w:rFonts w:eastAsia="DengXian"/>
          <w:bCs/>
          <w:sz w:val="24"/>
          <w:szCs w:val="24"/>
        </w:rPr>
        <w:t xml:space="preserve">hairs’ </w:t>
      </w:r>
      <w:r w:rsidR="00273CBA">
        <w:rPr>
          <w:rFonts w:eastAsia="DengXian"/>
          <w:bCs/>
          <w:sz w:val="24"/>
          <w:szCs w:val="24"/>
        </w:rPr>
        <w:t>o</w:t>
      </w:r>
      <w:r w:rsidRPr="00C04F1F">
        <w:rPr>
          <w:rFonts w:eastAsia="DengXian"/>
          <w:bCs/>
          <w:sz w:val="24"/>
          <w:szCs w:val="24"/>
        </w:rPr>
        <w:t xml:space="preserve">verview </w:t>
      </w:r>
      <w:r w:rsidR="00273CBA">
        <w:rPr>
          <w:rFonts w:eastAsia="DengXian"/>
          <w:bCs/>
          <w:sz w:val="24"/>
          <w:szCs w:val="24"/>
        </w:rPr>
        <w:t>p</w:t>
      </w:r>
      <w:r w:rsidRPr="00C04F1F">
        <w:rPr>
          <w:rFonts w:eastAsia="DengXian"/>
          <w:bCs/>
          <w:sz w:val="24"/>
          <w:szCs w:val="24"/>
        </w:rPr>
        <w:t xml:space="preserve">aper to </w:t>
      </w:r>
      <w:r w:rsidR="00273CBA">
        <w:rPr>
          <w:rFonts w:eastAsia="DengXian"/>
          <w:bCs/>
          <w:sz w:val="24"/>
          <w:szCs w:val="24"/>
        </w:rPr>
        <w:t>s</w:t>
      </w:r>
      <w:r w:rsidRPr="00C04F1F">
        <w:rPr>
          <w:rFonts w:eastAsia="DengXian"/>
          <w:bCs/>
          <w:sz w:val="24"/>
          <w:szCs w:val="24"/>
        </w:rPr>
        <w:t xml:space="preserve">upport </w:t>
      </w:r>
      <w:r w:rsidR="00273CBA">
        <w:rPr>
          <w:rFonts w:eastAsia="DengXian"/>
          <w:bCs/>
          <w:sz w:val="24"/>
          <w:szCs w:val="24"/>
        </w:rPr>
        <w:t>p</w:t>
      </w:r>
      <w:r w:rsidRPr="00C04F1F">
        <w:rPr>
          <w:rFonts w:eastAsia="DengXian"/>
          <w:bCs/>
          <w:sz w:val="24"/>
          <w:szCs w:val="24"/>
        </w:rPr>
        <w:t>reparation</w:t>
      </w:r>
      <w:bookmarkStart w:id="0" w:name="_GoBack"/>
      <w:bookmarkEnd w:id="0"/>
      <w:r w:rsidRPr="00C04F1F">
        <w:rPr>
          <w:rFonts w:eastAsia="DengXian"/>
          <w:bCs/>
          <w:sz w:val="24"/>
          <w:szCs w:val="24"/>
        </w:rPr>
        <w:t xml:space="preserve">s for the </w:t>
      </w:r>
      <w:r w:rsidR="00273CBA">
        <w:rPr>
          <w:rFonts w:eastAsia="DengXian"/>
          <w:bCs/>
          <w:sz w:val="24"/>
          <w:szCs w:val="24"/>
        </w:rPr>
        <w:t>s</w:t>
      </w:r>
      <w:r w:rsidRPr="00C04F1F">
        <w:rPr>
          <w:rFonts w:eastAsia="DengXian"/>
          <w:bCs/>
          <w:sz w:val="24"/>
          <w:szCs w:val="24"/>
        </w:rPr>
        <w:t xml:space="preserve">econd </w:t>
      </w:r>
      <w:r w:rsidR="00273CBA">
        <w:rPr>
          <w:rFonts w:eastAsia="DengXian"/>
          <w:bCs/>
          <w:sz w:val="24"/>
          <w:szCs w:val="24"/>
        </w:rPr>
        <w:t>i</w:t>
      </w:r>
      <w:r w:rsidRPr="00C04F1F">
        <w:rPr>
          <w:rFonts w:eastAsia="DengXian"/>
          <w:bCs/>
          <w:sz w:val="24"/>
          <w:szCs w:val="24"/>
        </w:rPr>
        <w:t xml:space="preserve">ntersessional </w:t>
      </w:r>
      <w:r w:rsidR="00273CBA">
        <w:rPr>
          <w:rFonts w:eastAsia="DengXian"/>
          <w:bCs/>
          <w:sz w:val="24"/>
          <w:szCs w:val="24"/>
        </w:rPr>
        <w:t>m</w:t>
      </w:r>
      <w:r w:rsidRPr="00BE69E0">
        <w:rPr>
          <w:rFonts w:eastAsia="DengXian"/>
          <w:bCs/>
          <w:sz w:val="24"/>
          <w:szCs w:val="24"/>
        </w:rPr>
        <w:t xml:space="preserve">eeting </w:t>
      </w:r>
      <w:r w:rsidR="00273CBA">
        <w:rPr>
          <w:rFonts w:eastAsia="DengXian"/>
          <w:bCs/>
          <w:sz w:val="24"/>
          <w:szCs w:val="24"/>
        </w:rPr>
        <w:t>c</w:t>
      </w:r>
      <w:r w:rsidRPr="00BE69E0">
        <w:rPr>
          <w:rFonts w:eastAsia="DengXian"/>
          <w:bCs/>
          <w:sz w:val="24"/>
          <w:szCs w:val="24"/>
        </w:rPr>
        <w:t xml:space="preserve">onsidering the </w:t>
      </w:r>
      <w:r w:rsidR="00273CBA">
        <w:rPr>
          <w:rFonts w:eastAsia="DengXian"/>
          <w:bCs/>
          <w:sz w:val="24"/>
          <w:szCs w:val="24"/>
        </w:rPr>
        <w:t>s</w:t>
      </w:r>
      <w:r w:rsidRPr="00BE69E0">
        <w:rPr>
          <w:rFonts w:eastAsia="DengXian"/>
          <w:bCs/>
          <w:sz w:val="24"/>
          <w:szCs w:val="24"/>
        </w:rPr>
        <w:t xml:space="preserve">trategic </w:t>
      </w:r>
      <w:r w:rsidR="00273CBA">
        <w:rPr>
          <w:rFonts w:eastAsia="DengXian"/>
          <w:bCs/>
          <w:sz w:val="24"/>
          <w:szCs w:val="24"/>
        </w:rPr>
        <w:t>a</w:t>
      </w:r>
      <w:r w:rsidRPr="00BE69E0">
        <w:rPr>
          <w:rFonts w:eastAsia="DengXian"/>
          <w:bCs/>
          <w:sz w:val="24"/>
          <w:szCs w:val="24"/>
        </w:rPr>
        <w:t xml:space="preserve">pproach and the </w:t>
      </w:r>
      <w:r w:rsidR="00273CBA">
        <w:rPr>
          <w:rFonts w:eastAsia="DengXian"/>
          <w:bCs/>
          <w:sz w:val="24"/>
          <w:szCs w:val="24"/>
        </w:rPr>
        <w:t>s</w:t>
      </w:r>
      <w:r w:rsidRPr="00BE69E0">
        <w:rPr>
          <w:rFonts w:eastAsia="DengXian"/>
          <w:bCs/>
          <w:sz w:val="24"/>
          <w:szCs w:val="24"/>
        </w:rPr>
        <w:t xml:space="preserve">ound </w:t>
      </w:r>
      <w:r w:rsidR="00273CBA">
        <w:rPr>
          <w:rFonts w:eastAsia="DengXian"/>
          <w:bCs/>
          <w:sz w:val="24"/>
          <w:szCs w:val="24"/>
        </w:rPr>
        <w:t>m</w:t>
      </w:r>
      <w:r w:rsidRPr="00BE69E0">
        <w:rPr>
          <w:rFonts w:eastAsia="DengXian"/>
          <w:bCs/>
          <w:sz w:val="24"/>
          <w:szCs w:val="24"/>
        </w:rPr>
        <w:t xml:space="preserve">anagement of </w:t>
      </w:r>
      <w:r w:rsidR="00273CBA">
        <w:rPr>
          <w:rFonts w:eastAsia="DengXian"/>
          <w:bCs/>
          <w:sz w:val="24"/>
          <w:szCs w:val="24"/>
        </w:rPr>
        <w:t>c</w:t>
      </w:r>
      <w:r w:rsidRPr="00BE69E0">
        <w:rPr>
          <w:rFonts w:eastAsia="DengXian"/>
          <w:bCs/>
          <w:sz w:val="24"/>
          <w:szCs w:val="24"/>
        </w:rPr>
        <w:t xml:space="preserve">hemicals and </w:t>
      </w:r>
      <w:r w:rsidR="00273CBA">
        <w:rPr>
          <w:rFonts w:eastAsia="DengXian"/>
          <w:bCs/>
          <w:sz w:val="24"/>
          <w:szCs w:val="24"/>
        </w:rPr>
        <w:t>w</w:t>
      </w:r>
      <w:r w:rsidRPr="00BE69E0">
        <w:rPr>
          <w:rFonts w:eastAsia="DengXian"/>
          <w:bCs/>
          <w:sz w:val="24"/>
          <w:szCs w:val="24"/>
        </w:rPr>
        <w:t xml:space="preserve">aste </w:t>
      </w:r>
      <w:r w:rsidR="00273CBA">
        <w:rPr>
          <w:rFonts w:eastAsia="DengXian"/>
          <w:bCs/>
          <w:sz w:val="24"/>
          <w:szCs w:val="24"/>
        </w:rPr>
        <w:t>b</w:t>
      </w:r>
      <w:r w:rsidRPr="00BE69E0">
        <w:rPr>
          <w:rFonts w:eastAsia="DengXian"/>
          <w:bCs/>
          <w:sz w:val="24"/>
          <w:szCs w:val="24"/>
        </w:rPr>
        <w:t>eyond 2020</w:t>
      </w:r>
    </w:p>
    <w:p w14:paraId="523D3082" w14:textId="77777777" w:rsidR="00BE69E0" w:rsidRDefault="00BE69E0" w:rsidP="00C04F1F">
      <w:pPr>
        <w:tabs>
          <w:tab w:val="left" w:pos="624"/>
          <w:tab w:val="left" w:pos="1134"/>
          <w:tab w:val="left" w:pos="1871"/>
          <w:tab w:val="left" w:pos="2495"/>
          <w:tab w:val="left" w:pos="3119"/>
        </w:tabs>
        <w:spacing w:after="240" w:line="240" w:lineRule="auto"/>
        <w:ind w:left="1134"/>
        <w:rPr>
          <w:rFonts w:ascii="Times New Roman" w:eastAsia="DengXian" w:hAnsi="Times New Roman" w:cs="Times New Roman"/>
          <w:b/>
          <w:bCs/>
          <w:sz w:val="24"/>
          <w:szCs w:val="24"/>
          <w:lang w:val="en-GB"/>
        </w:rPr>
      </w:pPr>
    </w:p>
    <w:p w14:paraId="06C9FABD" w14:textId="77BE151F" w:rsidR="00C04F1F" w:rsidRPr="00C04F1F" w:rsidRDefault="00C04F1F" w:rsidP="00C04F1F">
      <w:pPr>
        <w:tabs>
          <w:tab w:val="left" w:pos="624"/>
          <w:tab w:val="left" w:pos="1134"/>
          <w:tab w:val="left" w:pos="1871"/>
          <w:tab w:val="left" w:pos="2495"/>
          <w:tab w:val="left" w:pos="3119"/>
        </w:tabs>
        <w:spacing w:after="240" w:line="240" w:lineRule="auto"/>
        <w:ind w:left="1134"/>
        <w:rPr>
          <w:rFonts w:ascii="Times New Roman" w:eastAsia="DengXian" w:hAnsi="Times New Roman" w:cs="Times New Roman"/>
          <w:sz w:val="24"/>
          <w:szCs w:val="24"/>
          <w:lang w:val="en-GB"/>
        </w:rPr>
      </w:pPr>
      <w:r w:rsidRPr="00C04F1F">
        <w:rPr>
          <w:rFonts w:ascii="Times New Roman" w:eastAsia="DengXian" w:hAnsi="Times New Roman" w:cs="Times New Roman"/>
          <w:b/>
          <w:bCs/>
          <w:sz w:val="24"/>
          <w:szCs w:val="24"/>
          <w:lang w:val="en-GB"/>
        </w:rPr>
        <w:t>Note by the secretariat</w:t>
      </w:r>
    </w:p>
    <w:p w14:paraId="1CA9D08B" w14:textId="1B586857" w:rsidR="00273CBA" w:rsidRDefault="00273CBA" w:rsidP="00DA1FED">
      <w:pPr>
        <w:numPr>
          <w:ilvl w:val="0"/>
          <w:numId w:val="37"/>
        </w:numPr>
        <w:tabs>
          <w:tab w:val="left" w:pos="1134"/>
          <w:tab w:val="left" w:pos="1276"/>
          <w:tab w:val="left" w:pos="1701"/>
        </w:tabs>
        <w:spacing w:after="120" w:line="240" w:lineRule="auto"/>
        <w:ind w:left="1134" w:firstLine="0"/>
        <w:contextualSpacing/>
        <w:rPr>
          <w:rFonts w:ascii="Times New Roman" w:eastAsia="Times New Roman" w:hAnsi="Times New Roman" w:cs="Times New Roman"/>
          <w:sz w:val="20"/>
          <w:szCs w:val="20"/>
          <w:lang w:val="x-none" w:eastAsia="x-none"/>
        </w:rPr>
      </w:pPr>
      <w:r w:rsidRPr="00EF73AA">
        <w:rPr>
          <w:rFonts w:ascii="Times New Roman" w:eastAsia="Times New Roman" w:hAnsi="Times New Roman" w:cs="Times New Roman"/>
          <w:sz w:val="20"/>
          <w:szCs w:val="20"/>
          <w:lang w:val="x-none" w:eastAsia="x-none"/>
        </w:rPr>
        <w:t xml:space="preserve">The co-chairs of the intersessional process </w:t>
      </w:r>
      <w:r w:rsidRPr="00EF73AA" w:rsidDel="00BE69E0">
        <w:rPr>
          <w:rFonts w:ascii="Times New Roman" w:eastAsia="Times New Roman" w:hAnsi="Times New Roman" w:cs="Times New Roman"/>
          <w:sz w:val="20"/>
          <w:szCs w:val="20"/>
          <w:lang w:val="x-none" w:eastAsia="x-none"/>
        </w:rPr>
        <w:t>have developed the current ‘Co-</w:t>
      </w:r>
      <w:r w:rsidRPr="00DA1FED">
        <w:rPr>
          <w:rFonts w:ascii="Times New Roman" w:eastAsia="Times New Roman" w:hAnsi="Times New Roman" w:cs="Times New Roman"/>
          <w:sz w:val="20"/>
          <w:szCs w:val="20"/>
          <w:lang w:eastAsia="x-none"/>
        </w:rPr>
        <w:t>c</w:t>
      </w:r>
      <w:r w:rsidRPr="00EF73AA" w:rsidDel="00BE69E0">
        <w:rPr>
          <w:rFonts w:ascii="Times New Roman" w:eastAsia="Times New Roman" w:hAnsi="Times New Roman" w:cs="Times New Roman"/>
          <w:sz w:val="20"/>
          <w:szCs w:val="20"/>
          <w:lang w:val="x-none" w:eastAsia="x-none"/>
        </w:rPr>
        <w:t xml:space="preserve">hairs’ </w:t>
      </w:r>
      <w:r w:rsidRPr="00DA1FED">
        <w:rPr>
          <w:rFonts w:ascii="Times New Roman" w:eastAsia="Times New Roman" w:hAnsi="Times New Roman" w:cs="Times New Roman"/>
          <w:sz w:val="20"/>
          <w:szCs w:val="20"/>
          <w:lang w:eastAsia="x-none"/>
        </w:rPr>
        <w:t>o</w:t>
      </w:r>
      <w:proofErr w:type="spellStart"/>
      <w:r w:rsidRPr="00EF73AA" w:rsidDel="00BE69E0">
        <w:rPr>
          <w:rFonts w:ascii="Times New Roman" w:eastAsia="Times New Roman" w:hAnsi="Times New Roman" w:cs="Times New Roman"/>
          <w:sz w:val="20"/>
          <w:szCs w:val="20"/>
          <w:lang w:val="x-none" w:eastAsia="x-none"/>
        </w:rPr>
        <w:t>verview</w:t>
      </w:r>
      <w:proofErr w:type="spellEnd"/>
      <w:r w:rsidRPr="00EF73AA" w:rsidDel="00BE69E0">
        <w:rPr>
          <w:rFonts w:ascii="Times New Roman" w:eastAsia="Times New Roman" w:hAnsi="Times New Roman" w:cs="Times New Roman"/>
          <w:sz w:val="20"/>
          <w:szCs w:val="20"/>
          <w:lang w:val="x-none" w:eastAsia="x-none"/>
        </w:rPr>
        <w:t xml:space="preserve"> </w:t>
      </w:r>
      <w:r w:rsidRPr="00DA1FED">
        <w:rPr>
          <w:rFonts w:ascii="Times New Roman" w:eastAsia="Times New Roman" w:hAnsi="Times New Roman" w:cs="Times New Roman"/>
          <w:sz w:val="20"/>
          <w:szCs w:val="20"/>
          <w:lang w:eastAsia="x-none"/>
        </w:rPr>
        <w:t>p</w:t>
      </w:r>
      <w:proofErr w:type="spellStart"/>
      <w:r w:rsidRPr="00EF73AA" w:rsidDel="00BE69E0">
        <w:rPr>
          <w:rFonts w:ascii="Times New Roman" w:eastAsia="Times New Roman" w:hAnsi="Times New Roman" w:cs="Times New Roman"/>
          <w:sz w:val="20"/>
          <w:szCs w:val="20"/>
          <w:lang w:val="x-none" w:eastAsia="x-none"/>
        </w:rPr>
        <w:t>aper</w:t>
      </w:r>
      <w:proofErr w:type="spellEnd"/>
      <w:r w:rsidRPr="00EF73AA" w:rsidDel="00BE69E0">
        <w:rPr>
          <w:rFonts w:ascii="Times New Roman" w:eastAsia="Times New Roman" w:hAnsi="Times New Roman" w:cs="Times New Roman"/>
          <w:sz w:val="20"/>
          <w:szCs w:val="20"/>
          <w:lang w:val="x-none" w:eastAsia="x-none"/>
        </w:rPr>
        <w:t xml:space="preserve">’ to support the discussions at the second meeting in the intersessional process.  </w:t>
      </w:r>
    </w:p>
    <w:p w14:paraId="29A7908C" w14:textId="77777777" w:rsidR="00273CBA" w:rsidRPr="00EF73AA" w:rsidRDefault="00273CBA" w:rsidP="00DA1FED">
      <w:pPr>
        <w:tabs>
          <w:tab w:val="left" w:pos="1134"/>
          <w:tab w:val="left" w:pos="1276"/>
          <w:tab w:val="left" w:pos="1701"/>
        </w:tabs>
        <w:spacing w:after="120" w:line="240" w:lineRule="auto"/>
        <w:ind w:left="1134"/>
        <w:contextualSpacing/>
        <w:rPr>
          <w:rFonts w:ascii="Times New Roman" w:eastAsia="Times New Roman" w:hAnsi="Times New Roman" w:cs="Times New Roman"/>
          <w:sz w:val="20"/>
          <w:szCs w:val="20"/>
          <w:lang w:val="x-none" w:eastAsia="x-none"/>
        </w:rPr>
      </w:pPr>
    </w:p>
    <w:p w14:paraId="23163470" w14:textId="4FF5D5FE" w:rsidR="00273CBA" w:rsidRDefault="00273CBA" w:rsidP="00F07656">
      <w:pPr>
        <w:numPr>
          <w:ilvl w:val="0"/>
          <w:numId w:val="37"/>
        </w:numPr>
        <w:tabs>
          <w:tab w:val="left" w:pos="1134"/>
          <w:tab w:val="left" w:pos="1276"/>
          <w:tab w:val="left" w:pos="1701"/>
        </w:tabs>
        <w:spacing w:after="120" w:line="240" w:lineRule="auto"/>
        <w:ind w:left="1134" w:firstLine="0"/>
        <w:contextualSpacing/>
        <w:rPr>
          <w:rFonts w:ascii="Times New Roman" w:eastAsia="Times New Roman" w:hAnsi="Times New Roman" w:cs="Times New Roman"/>
          <w:sz w:val="20"/>
          <w:szCs w:val="20"/>
          <w:lang w:val="x-none" w:eastAsia="x-none"/>
        </w:rPr>
      </w:pPr>
      <w:r w:rsidRPr="00BF69A4" w:rsidDel="00BE69E0">
        <w:rPr>
          <w:rFonts w:ascii="Times New Roman" w:eastAsia="Times New Roman" w:hAnsi="Times New Roman" w:cs="Times New Roman"/>
          <w:sz w:val="20"/>
          <w:szCs w:val="20"/>
          <w:lang w:val="x-none" w:eastAsia="x-none"/>
        </w:rPr>
        <w:t xml:space="preserve">The </w:t>
      </w:r>
      <w:r w:rsidRPr="00EF73AA" w:rsidDel="00BE69E0">
        <w:rPr>
          <w:rFonts w:ascii="Times New Roman" w:eastAsia="Times New Roman" w:hAnsi="Times New Roman" w:cs="Times New Roman"/>
          <w:sz w:val="20"/>
          <w:szCs w:val="20"/>
          <w:lang w:val="x-none" w:eastAsia="x-none"/>
        </w:rPr>
        <w:t>‘Co-</w:t>
      </w:r>
      <w:r w:rsidRPr="00B0655C">
        <w:rPr>
          <w:rFonts w:ascii="Times New Roman" w:eastAsia="Times New Roman" w:hAnsi="Times New Roman" w:cs="Times New Roman"/>
          <w:sz w:val="20"/>
          <w:szCs w:val="20"/>
          <w:lang w:eastAsia="x-none"/>
        </w:rPr>
        <w:t>c</w:t>
      </w:r>
      <w:r w:rsidRPr="00EF73AA" w:rsidDel="00BE69E0">
        <w:rPr>
          <w:rFonts w:ascii="Times New Roman" w:eastAsia="Times New Roman" w:hAnsi="Times New Roman" w:cs="Times New Roman"/>
          <w:sz w:val="20"/>
          <w:szCs w:val="20"/>
          <w:lang w:val="x-none" w:eastAsia="x-none"/>
        </w:rPr>
        <w:t xml:space="preserve">hairs’ </w:t>
      </w:r>
      <w:r w:rsidRPr="00B0655C">
        <w:rPr>
          <w:rFonts w:ascii="Times New Roman" w:eastAsia="Times New Roman" w:hAnsi="Times New Roman" w:cs="Times New Roman"/>
          <w:sz w:val="20"/>
          <w:szCs w:val="20"/>
          <w:lang w:eastAsia="x-none"/>
        </w:rPr>
        <w:t>o</w:t>
      </w:r>
      <w:proofErr w:type="spellStart"/>
      <w:r w:rsidRPr="00EF73AA" w:rsidDel="00BE69E0">
        <w:rPr>
          <w:rFonts w:ascii="Times New Roman" w:eastAsia="Times New Roman" w:hAnsi="Times New Roman" w:cs="Times New Roman"/>
          <w:sz w:val="20"/>
          <w:szCs w:val="20"/>
          <w:lang w:val="x-none" w:eastAsia="x-none"/>
        </w:rPr>
        <w:t>verview</w:t>
      </w:r>
      <w:proofErr w:type="spellEnd"/>
      <w:r w:rsidRPr="00EF73AA" w:rsidDel="00BE69E0">
        <w:rPr>
          <w:rFonts w:ascii="Times New Roman" w:eastAsia="Times New Roman" w:hAnsi="Times New Roman" w:cs="Times New Roman"/>
          <w:sz w:val="20"/>
          <w:szCs w:val="20"/>
          <w:lang w:val="x-none" w:eastAsia="x-none"/>
        </w:rPr>
        <w:t xml:space="preserve"> </w:t>
      </w:r>
      <w:r w:rsidRPr="00B0655C">
        <w:rPr>
          <w:rFonts w:ascii="Times New Roman" w:eastAsia="Times New Roman" w:hAnsi="Times New Roman" w:cs="Times New Roman"/>
          <w:sz w:val="20"/>
          <w:szCs w:val="20"/>
          <w:lang w:eastAsia="x-none"/>
        </w:rPr>
        <w:t>p</w:t>
      </w:r>
      <w:proofErr w:type="spellStart"/>
      <w:r w:rsidRPr="00EF73AA" w:rsidDel="00BE69E0">
        <w:rPr>
          <w:rFonts w:ascii="Times New Roman" w:eastAsia="Times New Roman" w:hAnsi="Times New Roman" w:cs="Times New Roman"/>
          <w:sz w:val="20"/>
          <w:szCs w:val="20"/>
          <w:lang w:val="x-none" w:eastAsia="x-none"/>
        </w:rPr>
        <w:t>aper</w:t>
      </w:r>
      <w:proofErr w:type="spellEnd"/>
      <w:r w:rsidRPr="00EF73AA" w:rsidDel="00BE69E0">
        <w:rPr>
          <w:rFonts w:ascii="Times New Roman" w:eastAsia="Times New Roman" w:hAnsi="Times New Roman" w:cs="Times New Roman"/>
          <w:sz w:val="20"/>
          <w:szCs w:val="20"/>
          <w:lang w:val="x-none" w:eastAsia="x-none"/>
        </w:rPr>
        <w:t>’</w:t>
      </w:r>
      <w:r w:rsidRPr="00DA1FED">
        <w:rPr>
          <w:rFonts w:ascii="Times New Roman" w:eastAsia="Times New Roman" w:hAnsi="Times New Roman" w:cs="Times New Roman"/>
          <w:sz w:val="20"/>
          <w:szCs w:val="20"/>
          <w:lang w:eastAsia="x-none"/>
        </w:rPr>
        <w:t xml:space="preserve"> </w:t>
      </w:r>
      <w:r w:rsidRPr="00BF69A4" w:rsidDel="00BE69E0">
        <w:rPr>
          <w:rFonts w:ascii="Times New Roman" w:eastAsia="Times New Roman" w:hAnsi="Times New Roman" w:cs="Times New Roman"/>
          <w:sz w:val="20"/>
          <w:szCs w:val="20"/>
          <w:lang w:val="x-none" w:eastAsia="x-none"/>
        </w:rPr>
        <w:t xml:space="preserve">is based on </w:t>
      </w:r>
      <w:r w:rsidRPr="00BF69A4">
        <w:rPr>
          <w:rFonts w:ascii="Times New Roman" w:eastAsia="Times New Roman" w:hAnsi="Times New Roman" w:cs="Times New Roman"/>
          <w:sz w:val="20"/>
          <w:szCs w:val="20"/>
          <w:lang w:val="x-none" w:eastAsia="x-none"/>
        </w:rPr>
        <w:t xml:space="preserve">the </w:t>
      </w:r>
      <w:r w:rsidR="00F07656" w:rsidRPr="000F66FC">
        <w:rPr>
          <w:rFonts w:ascii="Times New Roman" w:eastAsia="Times New Roman" w:hAnsi="Times New Roman" w:cs="Times New Roman"/>
          <w:sz w:val="20"/>
          <w:szCs w:val="20"/>
          <w:lang w:eastAsia="x-none"/>
        </w:rPr>
        <w:t>c</w:t>
      </w:r>
      <w:r w:rsidRPr="00BF69A4" w:rsidDel="00BE69E0">
        <w:rPr>
          <w:rFonts w:ascii="Times New Roman" w:eastAsia="Times New Roman" w:hAnsi="Times New Roman" w:cs="Times New Roman"/>
          <w:sz w:val="20"/>
          <w:szCs w:val="20"/>
          <w:lang w:val="x-none" w:eastAsia="x-none"/>
        </w:rPr>
        <w:t>o-</w:t>
      </w:r>
      <w:r w:rsidRPr="00DA1FED">
        <w:rPr>
          <w:rFonts w:ascii="Times New Roman" w:eastAsia="Times New Roman" w:hAnsi="Times New Roman" w:cs="Times New Roman"/>
          <w:sz w:val="20"/>
          <w:szCs w:val="20"/>
          <w:lang w:eastAsia="x-none"/>
        </w:rPr>
        <w:t>c</w:t>
      </w:r>
      <w:r w:rsidRPr="00BF69A4" w:rsidDel="00BE69E0">
        <w:rPr>
          <w:rFonts w:ascii="Times New Roman" w:eastAsia="Times New Roman" w:hAnsi="Times New Roman" w:cs="Times New Roman"/>
          <w:sz w:val="20"/>
          <w:szCs w:val="20"/>
          <w:lang w:val="x-none" w:eastAsia="x-none"/>
        </w:rPr>
        <w:t>hairs’ summary developed at the first intersessional meeting and the subsequent input received from Strategic Approach stakeholders</w:t>
      </w:r>
      <w:r w:rsidRPr="00BF69A4">
        <w:rPr>
          <w:rFonts w:ascii="Times New Roman" w:eastAsia="Times New Roman" w:hAnsi="Times New Roman" w:cs="Times New Roman"/>
          <w:sz w:val="20"/>
          <w:szCs w:val="20"/>
          <w:lang w:eastAsia="x-none"/>
        </w:rPr>
        <w:t xml:space="preserve"> </w:t>
      </w:r>
      <w:r>
        <w:rPr>
          <w:rFonts w:ascii="Times New Roman" w:eastAsia="Times New Roman" w:hAnsi="Times New Roman" w:cs="Times New Roman"/>
          <w:sz w:val="20"/>
          <w:szCs w:val="20"/>
          <w:lang w:eastAsia="x-none"/>
        </w:rPr>
        <w:t xml:space="preserve">between April and July 2017.  </w:t>
      </w:r>
      <w:r w:rsidRPr="00BF69A4" w:rsidDel="00BE69E0">
        <w:rPr>
          <w:rFonts w:ascii="Times New Roman" w:eastAsia="Times New Roman" w:hAnsi="Times New Roman" w:cs="Times New Roman"/>
          <w:sz w:val="20"/>
          <w:szCs w:val="20"/>
          <w:lang w:val="x-none" w:eastAsia="x-none"/>
        </w:rPr>
        <w:t xml:space="preserve"> </w:t>
      </w:r>
    </w:p>
    <w:p w14:paraId="67F75443" w14:textId="77777777" w:rsidR="00273CBA" w:rsidRPr="00DA1FED" w:rsidRDefault="00273CBA" w:rsidP="00DA1FED">
      <w:pPr>
        <w:tabs>
          <w:tab w:val="left" w:pos="1134"/>
          <w:tab w:val="left" w:pos="1276"/>
          <w:tab w:val="left" w:pos="1701"/>
        </w:tabs>
        <w:spacing w:after="120" w:line="240" w:lineRule="auto"/>
        <w:ind w:left="1134"/>
        <w:contextualSpacing/>
        <w:rPr>
          <w:rFonts w:ascii="Times New Roman" w:eastAsia="Times New Roman" w:hAnsi="Times New Roman" w:cs="Times New Roman"/>
          <w:sz w:val="20"/>
          <w:szCs w:val="20"/>
          <w:lang w:val="x-none" w:eastAsia="x-none"/>
        </w:rPr>
      </w:pPr>
    </w:p>
    <w:p w14:paraId="657A3379" w14:textId="251F4173" w:rsidR="00DA1FED" w:rsidRPr="00DA1FED" w:rsidRDefault="00273CBA" w:rsidP="000F66FC">
      <w:pPr>
        <w:numPr>
          <w:ilvl w:val="0"/>
          <w:numId w:val="37"/>
        </w:numPr>
        <w:tabs>
          <w:tab w:val="left" w:pos="1134"/>
          <w:tab w:val="left" w:pos="1276"/>
          <w:tab w:val="left" w:pos="1701"/>
        </w:tabs>
        <w:spacing w:after="120" w:line="240" w:lineRule="auto"/>
        <w:ind w:left="1134" w:firstLine="0"/>
        <w:contextualSpacing/>
        <w:rPr>
          <w:rFonts w:ascii="Times New Roman" w:eastAsia="Times New Roman" w:hAnsi="Times New Roman" w:cs="Times New Roman"/>
          <w:sz w:val="20"/>
          <w:szCs w:val="20"/>
          <w:lang w:val="x-none" w:eastAsia="x-none"/>
        </w:rPr>
      </w:pPr>
      <w:r w:rsidRPr="00DA1FED">
        <w:rPr>
          <w:rFonts w:ascii="Times New Roman" w:eastAsia="Times New Roman" w:hAnsi="Times New Roman" w:cs="Times New Roman"/>
          <w:sz w:val="20"/>
          <w:szCs w:val="20"/>
          <w:lang w:eastAsia="x-none"/>
        </w:rPr>
        <w:t xml:space="preserve">The co-chairs consulted with the Bureau of the fifth session of the International Conference on Chemicals Management in the development of this </w:t>
      </w:r>
      <w:r>
        <w:rPr>
          <w:rFonts w:ascii="Times New Roman" w:eastAsia="Times New Roman" w:hAnsi="Times New Roman" w:cs="Times New Roman"/>
          <w:sz w:val="20"/>
          <w:szCs w:val="20"/>
          <w:lang w:eastAsia="x-none"/>
        </w:rPr>
        <w:t xml:space="preserve">document. In addition, </w:t>
      </w:r>
      <w:r w:rsidR="00DA1FED">
        <w:rPr>
          <w:rFonts w:ascii="Times New Roman" w:eastAsia="Times New Roman" w:hAnsi="Times New Roman" w:cs="Times New Roman"/>
          <w:sz w:val="20"/>
          <w:szCs w:val="20"/>
          <w:lang w:eastAsia="x-none"/>
        </w:rPr>
        <w:t xml:space="preserve">the secretariat </w:t>
      </w:r>
      <w:r>
        <w:rPr>
          <w:rFonts w:ascii="Times New Roman" w:eastAsia="Times New Roman" w:hAnsi="Times New Roman" w:cs="Times New Roman"/>
          <w:sz w:val="20"/>
          <w:szCs w:val="20"/>
          <w:lang w:eastAsia="x-none"/>
        </w:rPr>
        <w:t xml:space="preserve">circulated </w:t>
      </w:r>
      <w:r w:rsidR="00DA1FED">
        <w:rPr>
          <w:rFonts w:ascii="Times New Roman" w:eastAsia="Times New Roman" w:hAnsi="Times New Roman" w:cs="Times New Roman"/>
          <w:sz w:val="20"/>
          <w:szCs w:val="20"/>
          <w:lang w:eastAsia="x-none"/>
        </w:rPr>
        <w:t xml:space="preserve">the document </w:t>
      </w:r>
      <w:r>
        <w:rPr>
          <w:rFonts w:ascii="Times New Roman" w:eastAsia="Times New Roman" w:hAnsi="Times New Roman" w:cs="Times New Roman"/>
          <w:sz w:val="20"/>
          <w:szCs w:val="20"/>
          <w:lang w:eastAsia="x-none"/>
        </w:rPr>
        <w:t xml:space="preserve">to all Strategic Approach stakeholders </w:t>
      </w:r>
      <w:r w:rsidR="00DA1FED">
        <w:rPr>
          <w:rFonts w:ascii="Times New Roman" w:eastAsia="Times New Roman" w:hAnsi="Times New Roman" w:cs="Times New Roman"/>
          <w:sz w:val="20"/>
          <w:szCs w:val="20"/>
          <w:lang w:eastAsia="x-none"/>
        </w:rPr>
        <w:t xml:space="preserve">inviting </w:t>
      </w:r>
      <w:r>
        <w:rPr>
          <w:rFonts w:ascii="Times New Roman" w:eastAsia="Times New Roman" w:hAnsi="Times New Roman" w:cs="Times New Roman"/>
          <w:sz w:val="20"/>
          <w:szCs w:val="20"/>
          <w:lang w:eastAsia="x-none"/>
        </w:rPr>
        <w:t>input</w:t>
      </w:r>
      <w:r w:rsidR="00DA1FED">
        <w:rPr>
          <w:rFonts w:ascii="Times New Roman" w:eastAsia="Times New Roman" w:hAnsi="Times New Roman" w:cs="Times New Roman"/>
          <w:sz w:val="20"/>
          <w:szCs w:val="20"/>
          <w:lang w:eastAsia="x-none"/>
        </w:rPr>
        <w:t xml:space="preserve">s. Input received has been </w:t>
      </w:r>
      <w:r w:rsidR="00CA6CD1">
        <w:rPr>
          <w:rFonts w:ascii="Times New Roman" w:eastAsia="Times New Roman" w:hAnsi="Times New Roman" w:cs="Times New Roman"/>
          <w:sz w:val="20"/>
          <w:szCs w:val="20"/>
          <w:lang w:eastAsia="x-none"/>
        </w:rPr>
        <w:t xml:space="preserve">considered in the finalization of this </w:t>
      </w:r>
      <w:r w:rsidR="00DA1FED">
        <w:rPr>
          <w:rFonts w:ascii="Times New Roman" w:eastAsia="Times New Roman" w:hAnsi="Times New Roman" w:cs="Times New Roman"/>
          <w:sz w:val="20"/>
          <w:szCs w:val="20"/>
          <w:lang w:eastAsia="x-none"/>
        </w:rPr>
        <w:t>document.</w:t>
      </w:r>
    </w:p>
    <w:p w14:paraId="6D14DA62" w14:textId="77777777" w:rsidR="00273CBA" w:rsidRPr="00DA1FED" w:rsidDel="00BE69E0" w:rsidRDefault="00273CBA" w:rsidP="00DA1FED">
      <w:pPr>
        <w:tabs>
          <w:tab w:val="left" w:pos="1134"/>
          <w:tab w:val="left" w:pos="1276"/>
          <w:tab w:val="left" w:pos="1701"/>
        </w:tabs>
        <w:spacing w:after="120" w:line="240" w:lineRule="auto"/>
        <w:ind w:left="1134"/>
        <w:contextualSpacing/>
        <w:rPr>
          <w:rFonts w:ascii="Times New Roman" w:eastAsia="Times New Roman" w:hAnsi="Times New Roman" w:cs="Times New Roman"/>
          <w:sz w:val="20"/>
          <w:szCs w:val="20"/>
          <w:lang w:val="x-none" w:eastAsia="x-none"/>
        </w:rPr>
      </w:pPr>
    </w:p>
    <w:p w14:paraId="74F0C1FB" w14:textId="2B501103" w:rsidR="00BE69E0" w:rsidRDefault="00BE69E0" w:rsidP="00DA1FED">
      <w:pPr>
        <w:numPr>
          <w:ilvl w:val="0"/>
          <w:numId w:val="37"/>
        </w:numPr>
        <w:tabs>
          <w:tab w:val="left" w:pos="1134"/>
          <w:tab w:val="left" w:pos="1276"/>
          <w:tab w:val="left" w:pos="1701"/>
        </w:tabs>
        <w:spacing w:after="120" w:line="240" w:lineRule="auto"/>
        <w:ind w:left="1134" w:firstLine="0"/>
        <w:contextualSpacing/>
        <w:rPr>
          <w:rFonts w:ascii="Times New Roman" w:eastAsia="Times New Roman" w:hAnsi="Times New Roman" w:cs="Times New Roman"/>
          <w:sz w:val="20"/>
          <w:szCs w:val="20"/>
          <w:lang w:val="x-none" w:eastAsia="x-none"/>
        </w:rPr>
      </w:pPr>
      <w:r w:rsidRPr="00C04F1F">
        <w:rPr>
          <w:rFonts w:ascii="Times New Roman" w:eastAsia="Times New Roman" w:hAnsi="Times New Roman" w:cs="Times New Roman"/>
          <w:sz w:val="20"/>
          <w:szCs w:val="20"/>
          <w:lang w:val="x-none" w:eastAsia="x-none"/>
        </w:rPr>
        <w:t xml:space="preserve">The secretariat has the </w:t>
      </w:r>
      <w:proofErr w:type="spellStart"/>
      <w:r w:rsidRPr="00C04F1F">
        <w:rPr>
          <w:rFonts w:ascii="Times New Roman" w:eastAsia="Times New Roman" w:hAnsi="Times New Roman" w:cs="Times New Roman"/>
          <w:sz w:val="20"/>
          <w:szCs w:val="20"/>
          <w:lang w:val="x-none" w:eastAsia="x-none"/>
        </w:rPr>
        <w:t>honour</w:t>
      </w:r>
      <w:proofErr w:type="spellEnd"/>
      <w:r w:rsidRPr="00C04F1F">
        <w:rPr>
          <w:rFonts w:ascii="Times New Roman" w:eastAsia="Times New Roman" w:hAnsi="Times New Roman" w:cs="Times New Roman"/>
          <w:sz w:val="20"/>
          <w:szCs w:val="20"/>
          <w:lang w:val="x-none" w:eastAsia="x-none"/>
        </w:rPr>
        <w:t xml:space="preserve"> to provide, in the annex to the present note, </w:t>
      </w:r>
      <w:r w:rsidRPr="00DA1FED">
        <w:rPr>
          <w:rFonts w:ascii="Times New Roman" w:eastAsia="Times New Roman" w:hAnsi="Times New Roman" w:cs="Times New Roman"/>
          <w:sz w:val="20"/>
          <w:szCs w:val="20"/>
          <w:lang w:val="x-none" w:eastAsia="x-none"/>
        </w:rPr>
        <w:t>the document as developed by the co-chairs</w:t>
      </w:r>
      <w:r w:rsidRPr="00C04F1F">
        <w:rPr>
          <w:rFonts w:ascii="Times New Roman" w:eastAsia="Times New Roman" w:hAnsi="Times New Roman" w:cs="Times New Roman"/>
          <w:sz w:val="20"/>
          <w:szCs w:val="20"/>
          <w:lang w:val="x-none" w:eastAsia="x-none"/>
        </w:rPr>
        <w:t>. It is presented</w:t>
      </w:r>
      <w:r w:rsidRPr="00DA1FED">
        <w:rPr>
          <w:rFonts w:ascii="Times New Roman" w:eastAsia="Times New Roman" w:hAnsi="Times New Roman" w:cs="Times New Roman"/>
          <w:sz w:val="20"/>
          <w:szCs w:val="20"/>
          <w:lang w:val="x-none" w:eastAsia="x-none"/>
        </w:rPr>
        <w:t xml:space="preserve"> </w:t>
      </w:r>
      <w:r w:rsidRPr="00C04F1F">
        <w:rPr>
          <w:rFonts w:ascii="Times New Roman" w:eastAsia="Times New Roman" w:hAnsi="Times New Roman" w:cs="Times New Roman"/>
          <w:sz w:val="20"/>
          <w:szCs w:val="20"/>
          <w:lang w:val="x-none" w:eastAsia="x-none"/>
        </w:rPr>
        <w:t>without formal editing.</w:t>
      </w:r>
    </w:p>
    <w:p w14:paraId="6E3FE6B6" w14:textId="77777777" w:rsidR="00BE69E0" w:rsidRDefault="00BE69E0" w:rsidP="00DA1FED">
      <w:pPr>
        <w:tabs>
          <w:tab w:val="left" w:pos="1134"/>
          <w:tab w:val="left" w:pos="1276"/>
          <w:tab w:val="left" w:pos="1701"/>
        </w:tabs>
        <w:spacing w:after="120" w:line="240" w:lineRule="auto"/>
        <w:ind w:left="1134"/>
        <w:contextualSpacing/>
        <w:rPr>
          <w:rFonts w:ascii="Times New Roman" w:eastAsia="Times New Roman" w:hAnsi="Times New Roman" w:cs="Times New Roman"/>
          <w:sz w:val="20"/>
          <w:szCs w:val="20"/>
          <w:lang w:val="x-none" w:eastAsia="x-none"/>
        </w:rPr>
      </w:pPr>
    </w:p>
    <w:p w14:paraId="3C6AAAC4" w14:textId="1D9A1AE6" w:rsidR="00BE69E0" w:rsidRPr="00DA1FED" w:rsidDel="00BE69E0" w:rsidRDefault="00BE69E0" w:rsidP="00DA1FED">
      <w:pPr>
        <w:tabs>
          <w:tab w:val="left" w:pos="1134"/>
          <w:tab w:val="left" w:pos="1276"/>
          <w:tab w:val="left" w:pos="1701"/>
        </w:tabs>
        <w:spacing w:after="120" w:line="240" w:lineRule="auto"/>
        <w:ind w:left="1134"/>
        <w:contextualSpacing/>
        <w:rPr>
          <w:rFonts w:ascii="Times New Roman" w:eastAsia="Times New Roman" w:hAnsi="Times New Roman" w:cs="Times New Roman"/>
          <w:sz w:val="20"/>
          <w:szCs w:val="20"/>
          <w:lang w:val="x-none" w:eastAsia="x-none"/>
        </w:rPr>
      </w:pPr>
    </w:p>
    <w:p w14:paraId="67442995" w14:textId="77777777" w:rsidR="00C04F1F" w:rsidRPr="00C04F1F" w:rsidRDefault="00C04F1F" w:rsidP="00C04F1F">
      <w:pPr>
        <w:tabs>
          <w:tab w:val="left" w:pos="1134"/>
          <w:tab w:val="left" w:pos="1276"/>
          <w:tab w:val="left" w:pos="1701"/>
        </w:tabs>
        <w:spacing w:after="120" w:line="240" w:lineRule="auto"/>
        <w:contextualSpacing/>
        <w:rPr>
          <w:rFonts w:ascii="Times New Roman" w:eastAsia="Times New Roman" w:hAnsi="Times New Roman" w:cs="Times New Roman"/>
          <w:sz w:val="20"/>
          <w:szCs w:val="20"/>
          <w:lang w:val="x-none" w:eastAsia="x-none"/>
        </w:rPr>
      </w:pPr>
    </w:p>
    <w:p w14:paraId="1823575F" w14:textId="77777777" w:rsidR="00C04F1F" w:rsidRDefault="00C04F1F">
      <w:pPr>
        <w:spacing w:after="0" w:line="240" w:lineRule="auto"/>
        <w:rPr>
          <w:rFonts w:ascii="Times New Roman" w:eastAsia="Calibri" w:hAnsi="Times New Roman" w:cs="Times New Roman"/>
          <w:b/>
          <w:sz w:val="28"/>
          <w:szCs w:val="28"/>
          <w:lang w:val="en-GB" w:eastAsia="en-US"/>
        </w:rPr>
      </w:pPr>
      <w:r>
        <w:rPr>
          <w:rFonts w:eastAsia="Calibri"/>
        </w:rPr>
        <w:br w:type="page"/>
      </w:r>
    </w:p>
    <w:p w14:paraId="49196CEC" w14:textId="77777777" w:rsidR="00DA1FED" w:rsidRDefault="00DA1FED" w:rsidP="00BE69E0">
      <w:pPr>
        <w:pStyle w:val="BBTitle"/>
        <w:ind w:left="0"/>
        <w:contextualSpacing/>
        <w:rPr>
          <w:rFonts w:eastAsia="Calibri"/>
        </w:rPr>
      </w:pPr>
    </w:p>
    <w:p w14:paraId="199AB27F" w14:textId="77777777" w:rsidR="00DA1FED" w:rsidRDefault="00DA1FED" w:rsidP="00BE69E0">
      <w:pPr>
        <w:pStyle w:val="BBTitle"/>
        <w:ind w:left="0"/>
        <w:contextualSpacing/>
        <w:rPr>
          <w:rFonts w:eastAsia="Calibri"/>
        </w:rPr>
      </w:pPr>
    </w:p>
    <w:p w14:paraId="665923CC" w14:textId="1D2117CC" w:rsidR="00C04F1F" w:rsidRDefault="00C04F1F" w:rsidP="00BE69E0">
      <w:pPr>
        <w:pStyle w:val="BBTitle"/>
        <w:ind w:left="0"/>
        <w:contextualSpacing/>
        <w:rPr>
          <w:rFonts w:eastAsia="Calibri"/>
        </w:rPr>
      </w:pPr>
      <w:r>
        <w:rPr>
          <w:rFonts w:eastAsia="Calibri"/>
        </w:rPr>
        <w:t xml:space="preserve">Annex </w:t>
      </w:r>
    </w:p>
    <w:p w14:paraId="24D724AB" w14:textId="10E117D4" w:rsidR="00C04F1F" w:rsidRDefault="00C04F1F" w:rsidP="00BE69E0">
      <w:pPr>
        <w:pStyle w:val="BBTitle"/>
        <w:ind w:left="0"/>
        <w:contextualSpacing/>
        <w:rPr>
          <w:rFonts w:eastAsia="Calibri"/>
        </w:rPr>
      </w:pPr>
    </w:p>
    <w:p w14:paraId="265BE660" w14:textId="1A07C283" w:rsidR="00DA1FED" w:rsidRDefault="00DA1FED" w:rsidP="00BE69E0">
      <w:pPr>
        <w:pStyle w:val="BBTitle"/>
        <w:ind w:left="0"/>
        <w:contextualSpacing/>
        <w:rPr>
          <w:rFonts w:eastAsia="Calibri"/>
        </w:rPr>
      </w:pPr>
    </w:p>
    <w:p w14:paraId="36BDCDB8" w14:textId="67F44660" w:rsidR="00DA1FED" w:rsidRDefault="00DA1FED" w:rsidP="00BE69E0">
      <w:pPr>
        <w:pStyle w:val="BBTitle"/>
        <w:ind w:left="0"/>
        <w:contextualSpacing/>
        <w:rPr>
          <w:rFonts w:eastAsia="Calibri"/>
        </w:rPr>
      </w:pPr>
    </w:p>
    <w:p w14:paraId="213CBE92" w14:textId="044D9675" w:rsidR="00DA1FED" w:rsidRDefault="00DA1FED" w:rsidP="00BE69E0">
      <w:pPr>
        <w:pStyle w:val="BBTitle"/>
        <w:ind w:left="0"/>
        <w:contextualSpacing/>
        <w:rPr>
          <w:rFonts w:eastAsia="Calibri"/>
        </w:rPr>
      </w:pPr>
    </w:p>
    <w:p w14:paraId="2F91AE84" w14:textId="747DAB75" w:rsidR="00DA1FED" w:rsidRDefault="00DA1FED" w:rsidP="00BE69E0">
      <w:pPr>
        <w:pStyle w:val="BBTitle"/>
        <w:ind w:left="0"/>
        <w:contextualSpacing/>
        <w:rPr>
          <w:rFonts w:eastAsia="Calibri"/>
        </w:rPr>
      </w:pPr>
    </w:p>
    <w:p w14:paraId="14279EA5" w14:textId="6C30127F" w:rsidR="00DA1FED" w:rsidRDefault="00DA1FED" w:rsidP="00BE69E0">
      <w:pPr>
        <w:pStyle w:val="BBTitle"/>
        <w:ind w:left="0"/>
        <w:contextualSpacing/>
        <w:rPr>
          <w:rFonts w:eastAsia="Calibri"/>
        </w:rPr>
      </w:pPr>
    </w:p>
    <w:p w14:paraId="0B4295F0" w14:textId="5564B66D" w:rsidR="00DA1FED" w:rsidRDefault="00DA1FED" w:rsidP="00BE69E0">
      <w:pPr>
        <w:pStyle w:val="BBTitle"/>
        <w:ind w:left="0"/>
        <w:contextualSpacing/>
        <w:rPr>
          <w:rFonts w:eastAsia="Calibri"/>
        </w:rPr>
      </w:pPr>
    </w:p>
    <w:p w14:paraId="13B74D24" w14:textId="77777777" w:rsidR="00DA1FED" w:rsidRDefault="00DA1FED" w:rsidP="00BE69E0">
      <w:pPr>
        <w:pStyle w:val="BBTitle"/>
        <w:ind w:left="0"/>
        <w:contextualSpacing/>
        <w:rPr>
          <w:rFonts w:eastAsia="Calibri"/>
        </w:rPr>
      </w:pPr>
    </w:p>
    <w:p w14:paraId="00EE20DC" w14:textId="77777777" w:rsidR="00DA1FED" w:rsidRDefault="00DA1FED" w:rsidP="00BE69E0">
      <w:pPr>
        <w:pStyle w:val="BBTitle"/>
        <w:ind w:left="0"/>
        <w:contextualSpacing/>
        <w:rPr>
          <w:rFonts w:eastAsia="Calibri"/>
        </w:rPr>
      </w:pPr>
    </w:p>
    <w:p w14:paraId="2A6C21CD" w14:textId="0BE8B075" w:rsidR="00DA1FED" w:rsidRDefault="00DA1FED" w:rsidP="00BE69E0">
      <w:pPr>
        <w:pStyle w:val="BBTitle"/>
        <w:ind w:left="0"/>
        <w:contextualSpacing/>
        <w:rPr>
          <w:rFonts w:eastAsia="Calibri"/>
        </w:rPr>
      </w:pPr>
    </w:p>
    <w:p w14:paraId="78C634E5" w14:textId="77777777" w:rsidR="00DA1FED" w:rsidRDefault="00DA1FED" w:rsidP="00BE69E0">
      <w:pPr>
        <w:pStyle w:val="BBTitle"/>
        <w:ind w:left="0"/>
        <w:contextualSpacing/>
        <w:rPr>
          <w:rFonts w:eastAsia="Calibri"/>
        </w:rPr>
      </w:pPr>
    </w:p>
    <w:p w14:paraId="670E7ADB" w14:textId="62A58D53" w:rsidR="00C617CB" w:rsidRDefault="00557E31" w:rsidP="00CA6CD1">
      <w:pPr>
        <w:pStyle w:val="BBTitle"/>
        <w:ind w:left="0"/>
        <w:contextualSpacing/>
        <w:jc w:val="center"/>
        <w:rPr>
          <w:rFonts w:eastAsia="Calibri"/>
        </w:rPr>
      </w:pPr>
      <w:r>
        <w:rPr>
          <w:rFonts w:eastAsia="Calibri"/>
        </w:rPr>
        <w:t>Co-Chairs</w:t>
      </w:r>
      <w:r w:rsidR="0035769D">
        <w:rPr>
          <w:rFonts w:eastAsia="Calibri"/>
        </w:rPr>
        <w:t>’</w:t>
      </w:r>
      <w:r w:rsidR="00BC488B">
        <w:rPr>
          <w:rFonts w:eastAsia="Calibri"/>
        </w:rPr>
        <w:t xml:space="preserve"> </w:t>
      </w:r>
      <w:r w:rsidR="00CA6CD1">
        <w:rPr>
          <w:rFonts w:eastAsia="Calibri"/>
        </w:rPr>
        <w:t>o</w:t>
      </w:r>
      <w:r w:rsidR="00C617CB">
        <w:rPr>
          <w:rFonts w:eastAsia="Calibri"/>
        </w:rPr>
        <w:t xml:space="preserve">verview </w:t>
      </w:r>
      <w:r w:rsidR="00CA6CD1">
        <w:rPr>
          <w:rFonts w:eastAsia="Calibri"/>
        </w:rPr>
        <w:t>p</w:t>
      </w:r>
      <w:r w:rsidR="00280A83">
        <w:rPr>
          <w:rFonts w:eastAsia="Calibri"/>
        </w:rPr>
        <w:t xml:space="preserve">aper </w:t>
      </w:r>
      <w:r w:rsidR="00BC488B">
        <w:rPr>
          <w:rFonts w:eastAsia="Calibri"/>
        </w:rPr>
        <w:t xml:space="preserve">to </w:t>
      </w:r>
      <w:r w:rsidR="00CA6CD1">
        <w:rPr>
          <w:rFonts w:eastAsia="Calibri"/>
        </w:rPr>
        <w:t>s</w:t>
      </w:r>
      <w:r w:rsidR="00BC488B">
        <w:rPr>
          <w:rFonts w:eastAsia="Calibri"/>
        </w:rPr>
        <w:t xml:space="preserve">upport </w:t>
      </w:r>
      <w:r w:rsidR="00CA6CD1">
        <w:rPr>
          <w:rFonts w:eastAsia="Calibri"/>
        </w:rPr>
        <w:t>p</w:t>
      </w:r>
      <w:r w:rsidR="00BC488B">
        <w:rPr>
          <w:rFonts w:eastAsia="Calibri"/>
        </w:rPr>
        <w:t>repa</w:t>
      </w:r>
      <w:r w:rsidR="00157EA8">
        <w:rPr>
          <w:rFonts w:eastAsia="Calibri"/>
        </w:rPr>
        <w:t>r</w:t>
      </w:r>
      <w:r w:rsidR="00BC488B">
        <w:rPr>
          <w:rFonts w:eastAsia="Calibri"/>
        </w:rPr>
        <w:t xml:space="preserve">ations for the </w:t>
      </w:r>
      <w:r w:rsidR="00CA6CD1">
        <w:rPr>
          <w:rFonts w:eastAsia="Calibri"/>
        </w:rPr>
        <w:t>s</w:t>
      </w:r>
      <w:r w:rsidR="00BC488B">
        <w:rPr>
          <w:rFonts w:eastAsia="Calibri"/>
        </w:rPr>
        <w:t xml:space="preserve">econd </w:t>
      </w:r>
      <w:r w:rsidR="00CA6CD1">
        <w:rPr>
          <w:rFonts w:eastAsia="Calibri"/>
        </w:rPr>
        <w:t>i</w:t>
      </w:r>
      <w:r w:rsidR="00BC488B">
        <w:rPr>
          <w:rFonts w:eastAsia="Calibri"/>
        </w:rPr>
        <w:t xml:space="preserve">ntersessional </w:t>
      </w:r>
      <w:r w:rsidR="00CA6CD1">
        <w:rPr>
          <w:rFonts w:eastAsia="Calibri"/>
        </w:rPr>
        <w:t>m</w:t>
      </w:r>
      <w:r w:rsidR="00BC488B">
        <w:rPr>
          <w:rFonts w:eastAsia="Calibri"/>
        </w:rPr>
        <w:t xml:space="preserve">eeting </w:t>
      </w:r>
      <w:r w:rsidR="00CA6CD1">
        <w:rPr>
          <w:rFonts w:eastAsia="Calibri"/>
        </w:rPr>
        <w:t>c</w:t>
      </w:r>
      <w:r w:rsidR="00BC488B">
        <w:rPr>
          <w:rFonts w:eastAsia="Calibri"/>
        </w:rPr>
        <w:t xml:space="preserve">onsidering the Strategic Approach and </w:t>
      </w:r>
      <w:r w:rsidR="00C617CB">
        <w:rPr>
          <w:rFonts w:eastAsia="Calibri"/>
        </w:rPr>
        <w:t xml:space="preserve">the </w:t>
      </w:r>
    </w:p>
    <w:p w14:paraId="5FCF6559" w14:textId="08DE1652" w:rsidR="00E866E3" w:rsidRDefault="00CA6CD1" w:rsidP="00CA6CD1">
      <w:pPr>
        <w:pStyle w:val="BBTitle"/>
        <w:ind w:left="0"/>
        <w:contextualSpacing/>
        <w:jc w:val="center"/>
        <w:rPr>
          <w:rFonts w:eastAsia="Calibri"/>
        </w:rPr>
      </w:pPr>
      <w:r>
        <w:rPr>
          <w:rFonts w:eastAsia="Calibri"/>
        </w:rPr>
        <w:t>s</w:t>
      </w:r>
      <w:r w:rsidR="00C617CB">
        <w:rPr>
          <w:rFonts w:eastAsia="Calibri"/>
        </w:rPr>
        <w:t xml:space="preserve">ound </w:t>
      </w:r>
      <w:r>
        <w:rPr>
          <w:rFonts w:eastAsia="Calibri"/>
        </w:rPr>
        <w:t>m</w:t>
      </w:r>
      <w:r w:rsidR="00C617CB">
        <w:rPr>
          <w:rFonts w:eastAsia="Calibri"/>
        </w:rPr>
        <w:t xml:space="preserve">anagement of </w:t>
      </w:r>
      <w:r>
        <w:rPr>
          <w:rFonts w:eastAsia="Calibri"/>
        </w:rPr>
        <w:t>c</w:t>
      </w:r>
      <w:r w:rsidR="00C617CB">
        <w:rPr>
          <w:rFonts w:eastAsia="Calibri"/>
        </w:rPr>
        <w:t xml:space="preserve">hemicals and </w:t>
      </w:r>
      <w:r>
        <w:rPr>
          <w:rFonts w:eastAsia="Calibri"/>
        </w:rPr>
        <w:t>w</w:t>
      </w:r>
      <w:r w:rsidR="00C617CB">
        <w:rPr>
          <w:rFonts w:eastAsia="Calibri"/>
        </w:rPr>
        <w:t xml:space="preserve">aste </w:t>
      </w:r>
      <w:r>
        <w:rPr>
          <w:rFonts w:eastAsia="Calibri"/>
        </w:rPr>
        <w:t>b</w:t>
      </w:r>
      <w:r w:rsidR="00AE2695">
        <w:rPr>
          <w:rFonts w:eastAsia="Calibri"/>
        </w:rPr>
        <w:t>eyond 2020</w:t>
      </w:r>
      <w:r w:rsidR="00A21B0D">
        <w:rPr>
          <w:rFonts w:eastAsia="Calibri"/>
        </w:rPr>
        <w:t xml:space="preserve"> </w:t>
      </w:r>
    </w:p>
    <w:p w14:paraId="3D8501F0" w14:textId="585D0A87" w:rsidR="00DA1FED" w:rsidRDefault="00DA1FED" w:rsidP="00DA1FED">
      <w:pPr>
        <w:pStyle w:val="BBTitle"/>
        <w:ind w:left="0"/>
        <w:contextualSpacing/>
        <w:jc w:val="center"/>
        <w:rPr>
          <w:rFonts w:eastAsia="Calibri"/>
        </w:rPr>
      </w:pPr>
    </w:p>
    <w:p w14:paraId="3ABB4580" w14:textId="3FE43CCE" w:rsidR="00DA1FED" w:rsidRDefault="00DA1FED">
      <w:pPr>
        <w:spacing w:after="0" w:line="240" w:lineRule="auto"/>
        <w:rPr>
          <w:rFonts w:ascii="Times New Roman" w:eastAsia="Times New Roman" w:hAnsi="Times New Roman" w:cs="Times New Roman"/>
          <w:b/>
          <w:sz w:val="28"/>
          <w:szCs w:val="28"/>
          <w:lang w:val="en-GB" w:eastAsia="en-US"/>
        </w:rPr>
      </w:pPr>
      <w:r>
        <w:br w:type="page"/>
      </w:r>
    </w:p>
    <w:p w14:paraId="322F9C98" w14:textId="2F1128CC" w:rsidR="00FF7503" w:rsidRPr="00FF7503" w:rsidRDefault="00FF7503" w:rsidP="00DA31C5">
      <w:pPr>
        <w:pStyle w:val="CH1"/>
        <w:numPr>
          <w:ilvl w:val="0"/>
          <w:numId w:val="27"/>
        </w:numPr>
        <w:ind w:hanging="720"/>
      </w:pPr>
      <w:r w:rsidRPr="00FF7503">
        <w:lastRenderedPageBreak/>
        <w:t>Introduction</w:t>
      </w:r>
    </w:p>
    <w:p w14:paraId="67974F3B" w14:textId="1D55CF7B" w:rsidR="00FF7503" w:rsidRPr="00FF7503" w:rsidRDefault="003B4A35" w:rsidP="00E866E3">
      <w:pPr>
        <w:pStyle w:val="Normal-pool"/>
        <w:tabs>
          <w:tab w:val="clear" w:pos="1247"/>
          <w:tab w:val="clear" w:pos="1814"/>
          <w:tab w:val="clear" w:pos="2381"/>
          <w:tab w:val="clear" w:pos="2948"/>
          <w:tab w:val="clear" w:pos="3515"/>
          <w:tab w:val="clear" w:pos="4082"/>
          <w:tab w:val="left" w:pos="624"/>
        </w:tabs>
        <w:spacing w:after="120"/>
        <w:rPr>
          <w:lang w:val="en-US"/>
        </w:rPr>
      </w:pPr>
      <w:r>
        <w:t>At its</w:t>
      </w:r>
      <w:r w:rsidRPr="00FF7503">
        <w:t xml:space="preserve"> </w:t>
      </w:r>
      <w:r w:rsidR="00FF7503" w:rsidRPr="00FF7503">
        <w:t>fourth session</w:t>
      </w:r>
      <w:r w:rsidR="00A31FB2">
        <w:t>,</w:t>
      </w:r>
      <w:r w:rsidR="00FF7503" w:rsidRPr="00FF7503">
        <w:t xml:space="preserve"> the International Conference on Chemicals Management</w:t>
      </w:r>
      <w:r w:rsidR="00A8404C">
        <w:t xml:space="preserve"> (ICCM4)</w:t>
      </w:r>
      <w:r w:rsidR="00FF7503" w:rsidRPr="00FF7503">
        <w:t xml:space="preserve">, through </w:t>
      </w:r>
      <w:r>
        <w:t>its</w:t>
      </w:r>
      <w:r w:rsidRPr="00FF7503">
        <w:t xml:space="preserve"> </w:t>
      </w:r>
      <w:r w:rsidR="00FF7503" w:rsidRPr="00FF7503">
        <w:t xml:space="preserve">resolution IV/4, launched an intersessional process </w:t>
      </w:r>
      <w:r>
        <w:t>for</w:t>
      </w:r>
      <w:r w:rsidRPr="00FF7503">
        <w:t xml:space="preserve"> </w:t>
      </w:r>
      <w:r w:rsidR="00FF7503" w:rsidRPr="00FF7503">
        <w:t>provid</w:t>
      </w:r>
      <w:r>
        <w:t>ing</w:t>
      </w:r>
      <w:r w:rsidR="00FF7503" w:rsidRPr="00FF7503">
        <w:t xml:space="preserve"> recommendations</w:t>
      </w:r>
      <w:r w:rsidR="00DB3181">
        <w:t xml:space="preserve">, </w:t>
      </w:r>
      <w:r w:rsidR="00DB3181" w:rsidRPr="00FF7503">
        <w:t xml:space="preserve">for consideration at </w:t>
      </w:r>
      <w:r w:rsidR="00DB3181">
        <w:t>its fifth session</w:t>
      </w:r>
      <w:r w:rsidR="00A31FB2">
        <w:t xml:space="preserve"> in 2020</w:t>
      </w:r>
      <w:r w:rsidR="00DB3181">
        <w:t>,</w:t>
      </w:r>
      <w:r w:rsidR="00FF7503" w:rsidRPr="00FF7503">
        <w:t xml:space="preserve"> on the Strategic Approach to International Chemicals Management and the sound management of chemicals and waste beyond 2020. </w:t>
      </w:r>
    </w:p>
    <w:p w14:paraId="4D013D36" w14:textId="49E76F9F" w:rsidR="003F14EF" w:rsidRDefault="003B4A35" w:rsidP="00625DD8">
      <w:pPr>
        <w:pStyle w:val="Normal-pool"/>
        <w:tabs>
          <w:tab w:val="clear" w:pos="1247"/>
          <w:tab w:val="clear" w:pos="1814"/>
          <w:tab w:val="clear" w:pos="2381"/>
          <w:tab w:val="clear" w:pos="2948"/>
          <w:tab w:val="clear" w:pos="3515"/>
          <w:tab w:val="clear" w:pos="4082"/>
          <w:tab w:val="left" w:pos="624"/>
        </w:tabs>
        <w:spacing w:after="120"/>
        <w:rPr>
          <w:color w:val="000000"/>
        </w:rPr>
      </w:pPr>
      <w:r>
        <w:rPr>
          <w:color w:val="000000"/>
        </w:rPr>
        <w:t>R</w:t>
      </w:r>
      <w:r w:rsidR="00FF7503" w:rsidRPr="00FF7503">
        <w:rPr>
          <w:color w:val="000000"/>
        </w:rPr>
        <w:t>esolution IV/4 specifies that the work of the intersessional process is to be informed by the 2030 Agenda for Sustainable Development</w:t>
      </w:r>
      <w:r w:rsidR="00DE5131">
        <w:rPr>
          <w:rStyle w:val="FootnoteReference"/>
        </w:rPr>
        <w:footnoteReference w:id="3"/>
      </w:r>
      <w:r w:rsidR="00FF7503" w:rsidRPr="00FF7503">
        <w:rPr>
          <w:color w:val="000000"/>
        </w:rPr>
        <w:t xml:space="preserve">, resolution 1/5 of the United Nations Environment Assembly </w:t>
      </w:r>
      <w:r w:rsidR="009973B5">
        <w:rPr>
          <w:color w:val="000000"/>
        </w:rPr>
        <w:t xml:space="preserve">of the United Nations Environment Programme </w:t>
      </w:r>
      <w:r w:rsidR="00FF7503" w:rsidRPr="00FF7503">
        <w:rPr>
          <w:color w:val="000000"/>
        </w:rPr>
        <w:t xml:space="preserve">and the outcome document </w:t>
      </w:r>
      <w:r w:rsidR="009973B5">
        <w:rPr>
          <w:color w:val="000000"/>
        </w:rPr>
        <w:t xml:space="preserve">from the first session of the Environment Assembly entitled </w:t>
      </w:r>
      <w:r w:rsidR="00FF7503" w:rsidRPr="00FF7503">
        <w:rPr>
          <w:color w:val="000000"/>
        </w:rPr>
        <w:t>"Strengthening the sound management of chemicals and wastes in the long term".</w:t>
      </w:r>
      <w:r w:rsidR="00C617CB">
        <w:rPr>
          <w:color w:val="000000"/>
        </w:rPr>
        <w:t xml:space="preserve"> </w:t>
      </w:r>
      <w:r w:rsidR="001604D8">
        <w:rPr>
          <w:color w:val="000000"/>
        </w:rPr>
        <w:t xml:space="preserve">Furthermore, other </w:t>
      </w:r>
      <w:r w:rsidR="00A8404C" w:rsidRPr="00A8404C">
        <w:rPr>
          <w:color w:val="000000"/>
        </w:rPr>
        <w:t>relevant available documents</w:t>
      </w:r>
      <w:r w:rsidR="001604D8">
        <w:rPr>
          <w:color w:val="000000"/>
        </w:rPr>
        <w:t xml:space="preserve"> should also be considered</w:t>
      </w:r>
      <w:r w:rsidR="00625DD8">
        <w:rPr>
          <w:color w:val="000000"/>
        </w:rPr>
        <w:t xml:space="preserve">.  </w:t>
      </w:r>
    </w:p>
    <w:p w14:paraId="14F68D4D" w14:textId="21B6E60E" w:rsidR="00B85F20" w:rsidRDefault="00C617CB" w:rsidP="00444EDD">
      <w:pPr>
        <w:tabs>
          <w:tab w:val="left" w:pos="1247"/>
        </w:tabs>
        <w:spacing w:after="120" w:line="240" w:lineRule="auto"/>
        <w:rPr>
          <w:rFonts w:ascii="Times New Roman" w:eastAsia="Times New Roman" w:hAnsi="Times New Roman" w:cs="Times New Roman"/>
          <w:color w:val="000000"/>
          <w:sz w:val="20"/>
          <w:szCs w:val="20"/>
          <w:lang w:val="en-GB" w:eastAsia="en-US"/>
        </w:rPr>
      </w:pPr>
      <w:r>
        <w:rPr>
          <w:rFonts w:ascii="Times New Roman" w:eastAsia="Times New Roman" w:hAnsi="Times New Roman" w:cs="Times New Roman"/>
          <w:color w:val="000000"/>
          <w:sz w:val="20"/>
          <w:szCs w:val="20"/>
          <w:lang w:val="en-GB" w:eastAsia="en-US"/>
        </w:rPr>
        <w:t xml:space="preserve">This paper includes </w:t>
      </w:r>
      <w:r w:rsidRPr="00AE2695">
        <w:rPr>
          <w:rFonts w:ascii="Times New Roman" w:eastAsia="Times New Roman" w:hAnsi="Times New Roman" w:cs="Times New Roman"/>
          <w:color w:val="000000"/>
          <w:sz w:val="20"/>
          <w:szCs w:val="20"/>
          <w:lang w:val="en-GB" w:eastAsia="en-US"/>
        </w:rPr>
        <w:t>the</w:t>
      </w:r>
      <w:r w:rsidR="00A21B0D" w:rsidRPr="00AE2695">
        <w:rPr>
          <w:rFonts w:ascii="Times New Roman" w:eastAsia="Times New Roman" w:hAnsi="Times New Roman" w:cs="Times New Roman"/>
          <w:color w:val="000000"/>
          <w:sz w:val="20"/>
          <w:szCs w:val="20"/>
          <w:lang w:val="en-GB" w:eastAsia="en-US"/>
        </w:rPr>
        <w:t xml:space="preserve"> elements </w:t>
      </w:r>
      <w:r w:rsidRPr="00AE2695">
        <w:rPr>
          <w:rFonts w:ascii="Times New Roman" w:eastAsia="Times New Roman" w:hAnsi="Times New Roman" w:cs="Times New Roman"/>
          <w:color w:val="000000"/>
          <w:sz w:val="20"/>
          <w:szCs w:val="20"/>
          <w:lang w:val="en-GB" w:eastAsia="en-US"/>
        </w:rPr>
        <w:t>brought forward at the first meeting of the intersessional process and via the subsequent call for input from stakeholders</w:t>
      </w:r>
      <w:r w:rsidR="00B85F20">
        <w:rPr>
          <w:rStyle w:val="FootnoteReference"/>
          <w:rFonts w:eastAsia="Times New Roman" w:cs="Times New Roman"/>
          <w:lang w:val="en-GB" w:eastAsia="en-US"/>
        </w:rPr>
        <w:footnoteReference w:id="4"/>
      </w:r>
      <w:r w:rsidRPr="00AE2695">
        <w:rPr>
          <w:rFonts w:ascii="Times New Roman" w:eastAsia="Times New Roman" w:hAnsi="Times New Roman" w:cs="Times New Roman"/>
          <w:color w:val="000000"/>
          <w:sz w:val="20"/>
          <w:szCs w:val="20"/>
          <w:lang w:val="en-GB" w:eastAsia="en-US"/>
        </w:rPr>
        <w:t xml:space="preserve">.  </w:t>
      </w:r>
      <w:r w:rsidR="00A21B0D" w:rsidRPr="00AE2695">
        <w:rPr>
          <w:rFonts w:ascii="Times New Roman" w:eastAsia="Times New Roman" w:hAnsi="Times New Roman" w:cs="Times New Roman"/>
          <w:color w:val="000000"/>
          <w:sz w:val="20"/>
          <w:szCs w:val="20"/>
          <w:lang w:val="en-GB" w:eastAsia="en-US"/>
        </w:rPr>
        <w:t xml:space="preserve">The </w:t>
      </w:r>
      <w:r w:rsidR="00090B47">
        <w:rPr>
          <w:rFonts w:ascii="Times New Roman" w:eastAsia="Times New Roman" w:hAnsi="Times New Roman" w:cs="Times New Roman"/>
          <w:color w:val="000000"/>
          <w:sz w:val="20"/>
          <w:szCs w:val="20"/>
          <w:lang w:val="en-GB" w:eastAsia="en-US"/>
        </w:rPr>
        <w:t>paper</w:t>
      </w:r>
      <w:r w:rsidR="00A21B0D" w:rsidRPr="00AE2695">
        <w:rPr>
          <w:rFonts w:ascii="Times New Roman" w:eastAsia="Times New Roman" w:hAnsi="Times New Roman" w:cs="Times New Roman"/>
          <w:color w:val="000000"/>
          <w:sz w:val="20"/>
          <w:szCs w:val="20"/>
          <w:lang w:val="en-GB" w:eastAsia="en-US"/>
        </w:rPr>
        <w:t xml:space="preserve"> is </w:t>
      </w:r>
      <w:r w:rsidR="00AE2695" w:rsidRPr="00AE2695">
        <w:rPr>
          <w:rFonts w:ascii="Times New Roman" w:eastAsia="Times New Roman" w:hAnsi="Times New Roman" w:cs="Times New Roman"/>
          <w:color w:val="000000"/>
          <w:sz w:val="20"/>
          <w:szCs w:val="20"/>
          <w:lang w:val="en-GB" w:eastAsia="en-US"/>
        </w:rPr>
        <w:t xml:space="preserve">not intended to limit future discussions, but rather </w:t>
      </w:r>
      <w:r w:rsidR="00090B47">
        <w:rPr>
          <w:rFonts w:ascii="Times New Roman" w:eastAsia="Times New Roman" w:hAnsi="Times New Roman" w:cs="Times New Roman"/>
          <w:color w:val="000000"/>
          <w:sz w:val="20"/>
          <w:szCs w:val="20"/>
          <w:lang w:val="en-GB" w:eastAsia="en-US"/>
        </w:rPr>
        <w:t xml:space="preserve">to </w:t>
      </w:r>
      <w:r w:rsidR="00AE2695" w:rsidRPr="00AE2695">
        <w:rPr>
          <w:rFonts w:ascii="Times New Roman" w:eastAsia="Times New Roman" w:hAnsi="Times New Roman" w:cs="Times New Roman"/>
          <w:color w:val="000000"/>
          <w:sz w:val="20"/>
          <w:szCs w:val="20"/>
          <w:lang w:val="en-GB" w:eastAsia="en-US"/>
        </w:rPr>
        <w:t xml:space="preserve">provide </w:t>
      </w:r>
      <w:r w:rsidR="00BB3056">
        <w:rPr>
          <w:rFonts w:ascii="Times New Roman" w:eastAsia="Times New Roman" w:hAnsi="Times New Roman" w:cs="Times New Roman"/>
          <w:color w:val="000000"/>
          <w:sz w:val="20"/>
          <w:szCs w:val="20"/>
          <w:lang w:val="en-GB" w:eastAsia="en-US"/>
        </w:rPr>
        <w:t xml:space="preserve">an outline to support </w:t>
      </w:r>
      <w:r w:rsidR="00A665AD">
        <w:rPr>
          <w:rFonts w:ascii="Times New Roman" w:eastAsia="Times New Roman" w:hAnsi="Times New Roman" w:cs="Times New Roman"/>
          <w:color w:val="000000"/>
          <w:sz w:val="20"/>
          <w:szCs w:val="20"/>
          <w:lang w:val="en-GB" w:eastAsia="en-US"/>
        </w:rPr>
        <w:t>upcoming</w:t>
      </w:r>
      <w:r w:rsidR="00FA081D">
        <w:rPr>
          <w:rFonts w:ascii="Times New Roman" w:eastAsia="Times New Roman" w:hAnsi="Times New Roman" w:cs="Times New Roman"/>
          <w:color w:val="000000"/>
          <w:sz w:val="20"/>
          <w:szCs w:val="20"/>
          <w:lang w:val="en-GB" w:eastAsia="en-US"/>
        </w:rPr>
        <w:t xml:space="preserve"> </w:t>
      </w:r>
      <w:r w:rsidR="00AE2695" w:rsidRPr="00AE2695">
        <w:rPr>
          <w:rFonts w:ascii="Times New Roman" w:eastAsia="Times New Roman" w:hAnsi="Times New Roman" w:cs="Times New Roman"/>
          <w:color w:val="000000"/>
          <w:sz w:val="20"/>
          <w:szCs w:val="20"/>
          <w:lang w:val="en-GB" w:eastAsia="en-US"/>
        </w:rPr>
        <w:t>discussions</w:t>
      </w:r>
      <w:r w:rsidR="00A665AD">
        <w:rPr>
          <w:rFonts w:ascii="Times New Roman" w:eastAsia="Times New Roman" w:hAnsi="Times New Roman" w:cs="Times New Roman"/>
          <w:color w:val="000000"/>
          <w:sz w:val="20"/>
          <w:szCs w:val="20"/>
          <w:lang w:val="en-GB" w:eastAsia="en-US"/>
        </w:rPr>
        <w:t xml:space="preserve"> at regional meetings and the second intersessional process meeting</w:t>
      </w:r>
      <w:r w:rsidR="00AE2695" w:rsidRPr="00AE2695">
        <w:rPr>
          <w:rFonts w:ascii="Times New Roman" w:eastAsia="Times New Roman" w:hAnsi="Times New Roman" w:cs="Times New Roman"/>
          <w:color w:val="000000"/>
          <w:sz w:val="20"/>
          <w:szCs w:val="20"/>
          <w:lang w:val="en-GB" w:eastAsia="en-US"/>
        </w:rPr>
        <w:t xml:space="preserve">.  </w:t>
      </w:r>
      <w:r w:rsidR="00123803">
        <w:rPr>
          <w:rFonts w:ascii="Times New Roman" w:eastAsia="Times New Roman" w:hAnsi="Times New Roman" w:cs="Times New Roman"/>
          <w:color w:val="000000"/>
          <w:sz w:val="20"/>
          <w:szCs w:val="20"/>
          <w:lang w:val="en-GB" w:eastAsia="en-US"/>
        </w:rPr>
        <w:t xml:space="preserve">It does not replace the </w:t>
      </w:r>
      <w:r w:rsidR="00557E31">
        <w:rPr>
          <w:rFonts w:ascii="Times New Roman" w:eastAsia="Times New Roman" w:hAnsi="Times New Roman" w:cs="Times New Roman"/>
          <w:color w:val="000000"/>
          <w:sz w:val="20"/>
          <w:szCs w:val="20"/>
          <w:lang w:val="en-GB" w:eastAsia="en-US"/>
        </w:rPr>
        <w:t>Co-Chairs</w:t>
      </w:r>
      <w:r w:rsidR="0035769D">
        <w:rPr>
          <w:rFonts w:ascii="Times New Roman" w:eastAsia="Times New Roman" w:hAnsi="Times New Roman" w:cs="Times New Roman"/>
          <w:color w:val="000000"/>
          <w:sz w:val="20"/>
          <w:szCs w:val="20"/>
          <w:lang w:val="en-GB" w:eastAsia="en-US"/>
        </w:rPr>
        <w:t>’</w:t>
      </w:r>
      <w:r w:rsidR="00123803">
        <w:rPr>
          <w:rFonts w:ascii="Times New Roman" w:eastAsia="Times New Roman" w:hAnsi="Times New Roman" w:cs="Times New Roman"/>
          <w:color w:val="000000"/>
          <w:sz w:val="20"/>
          <w:szCs w:val="20"/>
          <w:lang w:val="en-GB" w:eastAsia="en-US"/>
        </w:rPr>
        <w:t xml:space="preserve"> summary paper.  </w:t>
      </w:r>
    </w:p>
    <w:p w14:paraId="18985F1B" w14:textId="02916A81" w:rsidR="00C171E1" w:rsidRPr="00625DD8" w:rsidRDefault="00090B47" w:rsidP="00D80100">
      <w:pPr>
        <w:pStyle w:val="Normal-pool"/>
        <w:tabs>
          <w:tab w:val="clear" w:pos="1247"/>
          <w:tab w:val="clear" w:pos="1814"/>
          <w:tab w:val="clear" w:pos="2381"/>
          <w:tab w:val="clear" w:pos="2948"/>
          <w:tab w:val="clear" w:pos="3515"/>
          <w:tab w:val="clear" w:pos="4082"/>
          <w:tab w:val="left" w:pos="624"/>
        </w:tabs>
        <w:spacing w:after="120"/>
      </w:pPr>
      <w:r>
        <w:t>T</w:t>
      </w:r>
      <w:r w:rsidR="008F554F" w:rsidRPr="006E4608">
        <w:t xml:space="preserve">he </w:t>
      </w:r>
      <w:r w:rsidR="00090613">
        <w:t xml:space="preserve">second meeting of the intersessional process will also </w:t>
      </w:r>
      <w:r w:rsidR="008F554F" w:rsidRPr="006E4608">
        <w:t xml:space="preserve">be informed by the </w:t>
      </w:r>
      <w:r w:rsidR="00090613">
        <w:t xml:space="preserve">draft </w:t>
      </w:r>
      <w:r w:rsidR="008F554F" w:rsidRPr="006E4608">
        <w:t>independent evaluation</w:t>
      </w:r>
      <w:r w:rsidR="00090613">
        <w:t xml:space="preserve"> and the secretariat </w:t>
      </w:r>
      <w:r w:rsidR="00060D14">
        <w:t xml:space="preserve">information </w:t>
      </w:r>
      <w:r w:rsidR="00090613">
        <w:t xml:space="preserve">papers </w:t>
      </w:r>
      <w:r w:rsidR="00D80100">
        <w:t xml:space="preserve">developed for the second meeting of </w:t>
      </w:r>
      <w:r w:rsidR="00090613">
        <w:t xml:space="preserve">the intersessional meeting.  </w:t>
      </w:r>
      <w:r w:rsidR="00A31FB2">
        <w:t xml:space="preserve">In addition, </w:t>
      </w:r>
      <w:r w:rsidR="003E7624">
        <w:t>the</w:t>
      </w:r>
      <w:r w:rsidR="00A31FB2">
        <w:t xml:space="preserve"> Second</w:t>
      </w:r>
      <w:r w:rsidR="003E7624">
        <w:t xml:space="preserve"> Global Chemicals Outlook </w:t>
      </w:r>
      <w:r w:rsidR="00A31FB2">
        <w:t>report</w:t>
      </w:r>
      <w:r w:rsidR="004254D3">
        <w:rPr>
          <w:rStyle w:val="FootnoteReference"/>
        </w:rPr>
        <w:footnoteReference w:id="5"/>
      </w:r>
      <w:r w:rsidR="00A31FB2">
        <w:t xml:space="preserve"> (GCO-II) </w:t>
      </w:r>
      <w:r w:rsidR="00625DD8">
        <w:t xml:space="preserve">is under development.  </w:t>
      </w:r>
    </w:p>
    <w:p w14:paraId="689DA401" w14:textId="67D3BDBD" w:rsidR="000F66FC" w:rsidRPr="004471BD" w:rsidRDefault="00C171E1" w:rsidP="000F66FC">
      <w:pPr>
        <w:pStyle w:val="Normal-pool"/>
        <w:tabs>
          <w:tab w:val="clear" w:pos="1247"/>
          <w:tab w:val="clear" w:pos="1814"/>
          <w:tab w:val="clear" w:pos="2381"/>
          <w:tab w:val="clear" w:pos="2948"/>
          <w:tab w:val="clear" w:pos="3515"/>
          <w:tab w:val="clear" w:pos="4082"/>
          <w:tab w:val="left" w:pos="624"/>
        </w:tabs>
        <w:spacing w:after="120"/>
      </w:pPr>
      <w:r w:rsidRPr="00C171E1">
        <w:t xml:space="preserve">The timeline for meetings </w:t>
      </w:r>
      <w:r w:rsidR="00060D14">
        <w:t xml:space="preserve">before </w:t>
      </w:r>
      <w:r w:rsidR="00444EDD">
        <w:t xml:space="preserve">the fifth session of the International Conference </w:t>
      </w:r>
      <w:r w:rsidRPr="00C171E1">
        <w:t xml:space="preserve">is </w:t>
      </w:r>
      <w:r>
        <w:t>limited</w:t>
      </w:r>
      <w:r w:rsidR="00444EDD">
        <w:t>.  T</w:t>
      </w:r>
      <w:r>
        <w:t xml:space="preserve">he regional meetings provide a further opportunity for </w:t>
      </w:r>
      <w:r w:rsidRPr="00C171E1">
        <w:t xml:space="preserve">discussions </w:t>
      </w:r>
      <w:r>
        <w:t>in preparation for the second intersessional meeting in March</w:t>
      </w:r>
      <w:r w:rsidR="00444EDD">
        <w:t xml:space="preserve"> 2018 and</w:t>
      </w:r>
      <w:r>
        <w:t xml:space="preserve"> </w:t>
      </w:r>
      <w:r w:rsidRPr="00C171E1">
        <w:t xml:space="preserve">at the </w:t>
      </w:r>
      <w:r w:rsidR="00444EDD">
        <w:t xml:space="preserve">third meeting of the Open-ended Working Group </w:t>
      </w:r>
      <w:r w:rsidR="00D80100">
        <w:t>(</w:t>
      </w:r>
      <w:r w:rsidRPr="00C171E1">
        <w:t>OEWG</w:t>
      </w:r>
      <w:r w:rsidR="00D80100">
        <w:t>3)</w:t>
      </w:r>
      <w:r w:rsidRPr="00C171E1">
        <w:t xml:space="preserve"> </w:t>
      </w:r>
      <w:r w:rsidR="00444EDD">
        <w:t xml:space="preserve">and </w:t>
      </w:r>
      <w:r w:rsidR="00060D14">
        <w:t xml:space="preserve">the </w:t>
      </w:r>
      <w:r w:rsidR="00444EDD" w:rsidRPr="00C171E1">
        <w:t>remaining intersessional meeting</w:t>
      </w:r>
      <w:r w:rsidR="00444EDD">
        <w:t xml:space="preserve">.  </w:t>
      </w:r>
    </w:p>
    <w:p w14:paraId="3EBEA91B" w14:textId="7A94966C" w:rsidR="005A1223" w:rsidRPr="005A1223" w:rsidRDefault="00DA31C5" w:rsidP="00DA31C5">
      <w:pPr>
        <w:pStyle w:val="CH1"/>
        <w:numPr>
          <w:ilvl w:val="0"/>
          <w:numId w:val="27"/>
        </w:numPr>
        <w:ind w:hanging="720"/>
      </w:pPr>
      <w:r>
        <w:t xml:space="preserve">Structuring </w:t>
      </w:r>
      <w:r w:rsidR="005A1223" w:rsidRPr="005A1223">
        <w:t>the future approach</w:t>
      </w:r>
    </w:p>
    <w:p w14:paraId="0D46F60B" w14:textId="398864E4" w:rsidR="00FF7CA2" w:rsidRDefault="00E57D74" w:rsidP="004266FC">
      <w:pPr>
        <w:tabs>
          <w:tab w:val="left" w:pos="624"/>
          <w:tab w:val="left" w:pos="1247"/>
        </w:tabs>
        <w:spacing w:after="120" w:line="240" w:lineRule="auto"/>
        <w:rPr>
          <w:rFonts w:ascii="Times New Roman" w:eastAsia="Times New Roman" w:hAnsi="Times New Roman" w:cs="Times New Roman"/>
          <w:color w:val="000000"/>
          <w:sz w:val="20"/>
          <w:szCs w:val="20"/>
          <w:lang w:val="en-GB" w:eastAsia="en-US"/>
        </w:rPr>
      </w:pPr>
      <w:r w:rsidRPr="005A1223">
        <w:rPr>
          <w:rFonts w:ascii="Times New Roman" w:eastAsia="Times New Roman" w:hAnsi="Times New Roman" w:cs="Times New Roman"/>
          <w:color w:val="000000"/>
          <w:sz w:val="20"/>
          <w:szCs w:val="20"/>
          <w:lang w:val="en-GB" w:eastAsia="en-US"/>
        </w:rPr>
        <w:t>Th</w:t>
      </w:r>
      <w:r w:rsidR="00843D6B">
        <w:rPr>
          <w:rFonts w:ascii="Times New Roman" w:eastAsia="Times New Roman" w:hAnsi="Times New Roman" w:cs="Times New Roman"/>
          <w:color w:val="000000"/>
          <w:sz w:val="20"/>
          <w:szCs w:val="20"/>
          <w:lang w:val="en-GB" w:eastAsia="en-US"/>
        </w:rPr>
        <w:t>is</w:t>
      </w:r>
      <w:r w:rsidRPr="005A1223">
        <w:rPr>
          <w:rFonts w:ascii="Times New Roman" w:eastAsia="Times New Roman" w:hAnsi="Times New Roman" w:cs="Times New Roman"/>
          <w:color w:val="000000"/>
          <w:sz w:val="20"/>
          <w:szCs w:val="20"/>
          <w:lang w:val="en-GB" w:eastAsia="en-US"/>
        </w:rPr>
        <w:t xml:space="preserve"> </w:t>
      </w:r>
      <w:r w:rsidR="00843D6B">
        <w:rPr>
          <w:rFonts w:ascii="Times New Roman" w:eastAsia="Times New Roman" w:hAnsi="Times New Roman" w:cs="Times New Roman"/>
          <w:color w:val="000000"/>
          <w:sz w:val="20"/>
          <w:szCs w:val="20"/>
          <w:lang w:val="en-GB" w:eastAsia="en-US"/>
        </w:rPr>
        <w:t xml:space="preserve">overview </w:t>
      </w:r>
      <w:r w:rsidR="00BB3056">
        <w:rPr>
          <w:rFonts w:ascii="Times New Roman" w:eastAsia="Times New Roman" w:hAnsi="Times New Roman" w:cs="Times New Roman"/>
          <w:color w:val="000000"/>
          <w:sz w:val="20"/>
          <w:szCs w:val="20"/>
          <w:lang w:val="en-GB" w:eastAsia="en-US"/>
        </w:rPr>
        <w:t xml:space="preserve">is aimed at assisting stakeholders’ preparation for, and discussions at, the second intersessional meeting.  </w:t>
      </w:r>
      <w:r w:rsidR="004266FC">
        <w:rPr>
          <w:rFonts w:ascii="Times New Roman" w:eastAsia="Times New Roman" w:hAnsi="Times New Roman" w:cs="Times New Roman"/>
          <w:color w:val="000000"/>
          <w:sz w:val="20"/>
          <w:szCs w:val="20"/>
          <w:lang w:val="en-GB" w:eastAsia="en-US"/>
        </w:rPr>
        <w:t>F</w:t>
      </w:r>
      <w:r w:rsidR="00DA31C5">
        <w:rPr>
          <w:rFonts w:ascii="Times New Roman" w:eastAsia="Times New Roman" w:hAnsi="Times New Roman" w:cs="Times New Roman"/>
          <w:color w:val="000000"/>
          <w:sz w:val="20"/>
          <w:szCs w:val="20"/>
          <w:lang w:val="en-GB" w:eastAsia="en-US"/>
        </w:rPr>
        <w:t xml:space="preserve">igure </w:t>
      </w:r>
      <w:r w:rsidR="004266FC">
        <w:rPr>
          <w:rFonts w:ascii="Times New Roman" w:eastAsia="Times New Roman" w:hAnsi="Times New Roman" w:cs="Times New Roman"/>
          <w:color w:val="000000"/>
          <w:sz w:val="20"/>
          <w:szCs w:val="20"/>
          <w:lang w:val="en-GB" w:eastAsia="en-US"/>
        </w:rPr>
        <w:t>1</w:t>
      </w:r>
      <w:r w:rsidR="00DA31C5">
        <w:rPr>
          <w:rFonts w:ascii="Times New Roman" w:eastAsia="Times New Roman" w:hAnsi="Times New Roman" w:cs="Times New Roman"/>
          <w:color w:val="000000"/>
          <w:sz w:val="20"/>
          <w:szCs w:val="20"/>
          <w:lang w:val="en-GB" w:eastAsia="en-US"/>
        </w:rPr>
        <w:t xml:space="preserve"> sets out a proposed structure for developing the future approach. </w:t>
      </w:r>
      <w:r w:rsidR="00BB3056">
        <w:rPr>
          <w:rFonts w:ascii="Times New Roman" w:eastAsia="Times New Roman" w:hAnsi="Times New Roman" w:cs="Times New Roman"/>
          <w:color w:val="000000"/>
          <w:sz w:val="20"/>
          <w:szCs w:val="20"/>
          <w:lang w:val="en-GB" w:eastAsia="en-US"/>
        </w:rPr>
        <w:t xml:space="preserve">It </w:t>
      </w:r>
      <w:r w:rsidR="00DA31C5">
        <w:rPr>
          <w:rFonts w:ascii="Times New Roman" w:eastAsia="Times New Roman" w:hAnsi="Times New Roman" w:cs="Times New Roman"/>
          <w:color w:val="000000"/>
          <w:sz w:val="20"/>
          <w:szCs w:val="20"/>
          <w:lang w:val="en-GB" w:eastAsia="en-US"/>
        </w:rPr>
        <w:t>considers</w:t>
      </w:r>
      <w:r w:rsidR="00BB3056">
        <w:rPr>
          <w:rFonts w:ascii="Times New Roman" w:eastAsia="Times New Roman" w:hAnsi="Times New Roman" w:cs="Times New Roman"/>
          <w:color w:val="000000"/>
          <w:sz w:val="20"/>
          <w:szCs w:val="20"/>
          <w:lang w:val="en-GB" w:eastAsia="en-US"/>
        </w:rPr>
        <w:t xml:space="preserve">:  </w:t>
      </w:r>
      <w:r w:rsidR="00FD3A9E">
        <w:rPr>
          <w:rFonts w:ascii="Times New Roman" w:eastAsia="Times New Roman" w:hAnsi="Times New Roman" w:cs="Times New Roman"/>
          <w:color w:val="000000"/>
          <w:sz w:val="20"/>
          <w:szCs w:val="20"/>
          <w:lang w:val="en-GB" w:eastAsia="en-US"/>
        </w:rPr>
        <w:t xml:space="preserve">  </w:t>
      </w:r>
    </w:p>
    <w:p w14:paraId="0E68C263" w14:textId="0C913613" w:rsidR="00F07C15" w:rsidRDefault="00DA31C5" w:rsidP="004471BD">
      <w:pPr>
        <w:pStyle w:val="ListParagraph"/>
        <w:numPr>
          <w:ilvl w:val="0"/>
          <w:numId w:val="44"/>
        </w:numPr>
        <w:tabs>
          <w:tab w:val="left" w:pos="624"/>
          <w:tab w:val="left" w:pos="1247"/>
        </w:tabs>
        <w:spacing w:after="120" w:line="240" w:lineRule="auto"/>
        <w:contextualSpacing w:val="0"/>
        <w:rPr>
          <w:rFonts w:ascii="Times New Roman" w:eastAsia="Times New Roman" w:hAnsi="Times New Roman" w:cs="Times New Roman"/>
          <w:color w:val="000000"/>
          <w:sz w:val="20"/>
          <w:szCs w:val="20"/>
          <w:lang w:val="en-GB" w:eastAsia="en-US"/>
        </w:rPr>
      </w:pPr>
      <w:r>
        <w:rPr>
          <w:rFonts w:ascii="Times New Roman" w:eastAsia="Times New Roman" w:hAnsi="Times New Roman" w:cs="Times New Roman"/>
          <w:color w:val="000000"/>
          <w:sz w:val="20"/>
          <w:szCs w:val="20"/>
          <w:lang w:val="en-GB" w:eastAsia="en-US"/>
        </w:rPr>
        <w:t>W</w:t>
      </w:r>
      <w:r w:rsidR="00FF7CA2" w:rsidRPr="00FF7CA2">
        <w:rPr>
          <w:rFonts w:ascii="Times New Roman" w:eastAsia="Times New Roman" w:hAnsi="Times New Roman" w:cs="Times New Roman"/>
          <w:color w:val="000000"/>
          <w:sz w:val="20"/>
          <w:szCs w:val="20"/>
          <w:lang w:val="en-GB" w:eastAsia="en-US"/>
        </w:rPr>
        <w:t xml:space="preserve">hat </w:t>
      </w:r>
      <w:r w:rsidR="00F07C15">
        <w:rPr>
          <w:rFonts w:ascii="Times New Roman" w:eastAsia="Times New Roman" w:hAnsi="Times New Roman" w:cs="Times New Roman"/>
          <w:color w:val="000000"/>
          <w:sz w:val="20"/>
          <w:szCs w:val="20"/>
          <w:lang w:val="en-GB" w:eastAsia="en-US"/>
        </w:rPr>
        <w:t xml:space="preserve">will be addressed beyond 2020, including </w:t>
      </w:r>
      <w:r w:rsidR="00FD3A9E">
        <w:rPr>
          <w:rFonts w:ascii="Times New Roman" w:eastAsia="Times New Roman" w:hAnsi="Times New Roman" w:cs="Times New Roman"/>
          <w:color w:val="000000"/>
          <w:sz w:val="20"/>
          <w:szCs w:val="20"/>
          <w:lang w:val="en-GB" w:eastAsia="en-US"/>
        </w:rPr>
        <w:t xml:space="preserve">the need for </w:t>
      </w:r>
      <w:r w:rsidR="00F07C15">
        <w:rPr>
          <w:rFonts w:ascii="Times New Roman" w:eastAsia="Times New Roman" w:hAnsi="Times New Roman" w:cs="Times New Roman"/>
          <w:color w:val="000000"/>
          <w:sz w:val="20"/>
          <w:szCs w:val="20"/>
          <w:lang w:val="en-GB" w:eastAsia="en-US"/>
        </w:rPr>
        <w:t>a statement of the overall vision</w:t>
      </w:r>
      <w:r w:rsidR="00056093">
        <w:rPr>
          <w:rFonts w:ascii="Times New Roman" w:eastAsia="Times New Roman" w:hAnsi="Times New Roman" w:cs="Times New Roman"/>
          <w:color w:val="000000"/>
          <w:sz w:val="20"/>
          <w:szCs w:val="20"/>
          <w:lang w:val="en-GB" w:eastAsia="en-US"/>
        </w:rPr>
        <w:t xml:space="preserve">, policy </w:t>
      </w:r>
      <w:r w:rsidR="004B2B86">
        <w:rPr>
          <w:rFonts w:ascii="Times New Roman" w:eastAsia="Times New Roman" w:hAnsi="Times New Roman" w:cs="Times New Roman"/>
          <w:color w:val="000000"/>
          <w:sz w:val="20"/>
          <w:szCs w:val="20"/>
          <w:lang w:val="en-GB" w:eastAsia="en-US"/>
        </w:rPr>
        <w:t xml:space="preserve">principles </w:t>
      </w:r>
      <w:r w:rsidR="00F07C15">
        <w:rPr>
          <w:rFonts w:ascii="Times New Roman" w:eastAsia="Times New Roman" w:hAnsi="Times New Roman" w:cs="Times New Roman"/>
          <w:color w:val="000000"/>
          <w:sz w:val="20"/>
          <w:szCs w:val="20"/>
          <w:lang w:val="en-GB" w:eastAsia="en-US"/>
        </w:rPr>
        <w:t>and a list of objectives</w:t>
      </w:r>
      <w:r w:rsidR="00F07371">
        <w:rPr>
          <w:rFonts w:ascii="Times New Roman" w:eastAsia="Times New Roman" w:hAnsi="Times New Roman" w:cs="Times New Roman"/>
          <w:color w:val="000000"/>
          <w:sz w:val="20"/>
          <w:szCs w:val="20"/>
          <w:lang w:val="en-GB" w:eastAsia="en-US"/>
        </w:rPr>
        <w:t xml:space="preserve"> with related milestones</w:t>
      </w:r>
      <w:r w:rsidR="00C171E1">
        <w:rPr>
          <w:rFonts w:ascii="Times New Roman" w:eastAsia="Times New Roman" w:hAnsi="Times New Roman" w:cs="Times New Roman"/>
          <w:color w:val="000000"/>
          <w:sz w:val="20"/>
          <w:szCs w:val="20"/>
          <w:lang w:val="en-GB" w:eastAsia="en-US"/>
        </w:rPr>
        <w:t xml:space="preserve"> and possible</w:t>
      </w:r>
      <w:r w:rsidR="002C0546">
        <w:rPr>
          <w:rFonts w:ascii="Times New Roman" w:eastAsia="Times New Roman" w:hAnsi="Times New Roman" w:cs="Times New Roman"/>
          <w:color w:val="000000"/>
          <w:sz w:val="20"/>
          <w:szCs w:val="20"/>
          <w:lang w:val="en-GB" w:eastAsia="en-US"/>
        </w:rPr>
        <w:t xml:space="preserve"> targets</w:t>
      </w:r>
      <w:r w:rsidR="00F07C15">
        <w:rPr>
          <w:rFonts w:ascii="Times New Roman" w:eastAsia="Times New Roman" w:hAnsi="Times New Roman" w:cs="Times New Roman"/>
          <w:color w:val="000000"/>
          <w:sz w:val="20"/>
          <w:szCs w:val="20"/>
          <w:lang w:val="en-GB" w:eastAsia="en-US"/>
        </w:rPr>
        <w:t xml:space="preserve">; </w:t>
      </w:r>
      <w:r w:rsidR="00FF7CA2" w:rsidRPr="00FF7CA2">
        <w:rPr>
          <w:rFonts w:ascii="Times New Roman" w:eastAsia="Times New Roman" w:hAnsi="Times New Roman" w:cs="Times New Roman"/>
          <w:color w:val="000000"/>
          <w:sz w:val="20"/>
          <w:szCs w:val="20"/>
          <w:lang w:val="en-GB" w:eastAsia="en-US"/>
        </w:rPr>
        <w:t xml:space="preserve"> </w:t>
      </w:r>
    </w:p>
    <w:p w14:paraId="16FB27D7" w14:textId="749077FD" w:rsidR="007C535E" w:rsidRDefault="007C535E" w:rsidP="007C535E">
      <w:pPr>
        <w:pStyle w:val="ListParagraph"/>
        <w:numPr>
          <w:ilvl w:val="0"/>
          <w:numId w:val="44"/>
        </w:numPr>
        <w:tabs>
          <w:tab w:val="left" w:pos="624"/>
          <w:tab w:val="left" w:pos="1247"/>
        </w:tabs>
        <w:spacing w:after="120" w:line="240" w:lineRule="auto"/>
        <w:contextualSpacing w:val="0"/>
        <w:rPr>
          <w:rFonts w:ascii="Times New Roman" w:eastAsia="Times New Roman" w:hAnsi="Times New Roman" w:cs="Times New Roman"/>
          <w:color w:val="000000"/>
          <w:sz w:val="20"/>
          <w:szCs w:val="20"/>
          <w:lang w:val="en-GB" w:eastAsia="en-US"/>
        </w:rPr>
      </w:pPr>
      <w:r w:rsidRPr="007C535E">
        <w:rPr>
          <w:rFonts w:ascii="Times New Roman" w:hAnsi="Times New Roman" w:cs="Times New Roman"/>
          <w:color w:val="000000"/>
          <w:sz w:val="20"/>
          <w:szCs w:val="20"/>
          <w:lang w:val="en-GB" w:eastAsia="en-US"/>
        </w:rPr>
        <w:t xml:space="preserve">How to identify key stakeholders and </w:t>
      </w:r>
      <w:r>
        <w:rPr>
          <w:rFonts w:ascii="Times New Roman" w:hAnsi="Times New Roman" w:cs="Times New Roman"/>
          <w:color w:val="000000"/>
          <w:sz w:val="20"/>
          <w:szCs w:val="20"/>
          <w:lang w:val="en-GB" w:eastAsia="en-US"/>
        </w:rPr>
        <w:t>h</w:t>
      </w:r>
      <w:r w:rsidR="001252F9">
        <w:rPr>
          <w:rFonts w:ascii="Times New Roman" w:eastAsia="Times New Roman" w:hAnsi="Times New Roman" w:cs="Times New Roman"/>
          <w:color w:val="000000"/>
          <w:sz w:val="20"/>
          <w:szCs w:val="20"/>
          <w:lang w:val="en-GB" w:eastAsia="en-US"/>
        </w:rPr>
        <w:t xml:space="preserve">ow </w:t>
      </w:r>
      <w:r w:rsidR="005A1223" w:rsidRPr="00F07C15">
        <w:rPr>
          <w:rFonts w:ascii="Times New Roman" w:eastAsia="Times New Roman" w:hAnsi="Times New Roman" w:cs="Times New Roman"/>
          <w:color w:val="000000"/>
          <w:sz w:val="20"/>
          <w:szCs w:val="20"/>
          <w:lang w:val="en-GB" w:eastAsia="en-US"/>
        </w:rPr>
        <w:t xml:space="preserve">stakeholders </w:t>
      </w:r>
      <w:r w:rsidR="001252F9">
        <w:rPr>
          <w:rFonts w:ascii="Times New Roman" w:eastAsia="Times New Roman" w:hAnsi="Times New Roman" w:cs="Times New Roman"/>
          <w:color w:val="000000"/>
          <w:sz w:val="20"/>
          <w:szCs w:val="20"/>
          <w:lang w:val="en-GB" w:eastAsia="en-US"/>
        </w:rPr>
        <w:t xml:space="preserve">will </w:t>
      </w:r>
      <w:r w:rsidR="005A1223" w:rsidRPr="00F07C15">
        <w:rPr>
          <w:rFonts w:ascii="Times New Roman" w:eastAsia="Times New Roman" w:hAnsi="Times New Roman" w:cs="Times New Roman"/>
          <w:color w:val="000000"/>
          <w:sz w:val="20"/>
          <w:szCs w:val="20"/>
          <w:lang w:val="en-GB" w:eastAsia="en-US"/>
        </w:rPr>
        <w:t>work together to confront the</w:t>
      </w:r>
      <w:r w:rsidR="00F07C15" w:rsidRPr="00F07C15">
        <w:rPr>
          <w:rFonts w:ascii="Times New Roman" w:eastAsia="Times New Roman" w:hAnsi="Times New Roman" w:cs="Times New Roman"/>
          <w:color w:val="000000"/>
          <w:sz w:val="20"/>
          <w:szCs w:val="20"/>
          <w:lang w:val="en-GB" w:eastAsia="en-US"/>
        </w:rPr>
        <w:t>se</w:t>
      </w:r>
      <w:r w:rsidR="005A1223" w:rsidRPr="00F07C15">
        <w:rPr>
          <w:rFonts w:ascii="Times New Roman" w:eastAsia="Times New Roman" w:hAnsi="Times New Roman" w:cs="Times New Roman"/>
          <w:color w:val="000000"/>
          <w:sz w:val="20"/>
          <w:szCs w:val="20"/>
          <w:lang w:val="en-GB" w:eastAsia="en-US"/>
        </w:rPr>
        <w:t xml:space="preserve"> </w:t>
      </w:r>
      <w:r w:rsidR="00F07C15" w:rsidRPr="00F07C15">
        <w:rPr>
          <w:rFonts w:ascii="Times New Roman" w:eastAsia="Times New Roman" w:hAnsi="Times New Roman" w:cs="Times New Roman"/>
          <w:color w:val="000000"/>
          <w:sz w:val="20"/>
          <w:szCs w:val="20"/>
          <w:lang w:val="en-GB" w:eastAsia="en-US"/>
        </w:rPr>
        <w:t>issues</w:t>
      </w:r>
      <w:r w:rsidR="005A1223" w:rsidRPr="00F07C15">
        <w:rPr>
          <w:rFonts w:ascii="Times New Roman" w:eastAsia="Times New Roman" w:hAnsi="Times New Roman" w:cs="Times New Roman"/>
          <w:color w:val="000000"/>
          <w:sz w:val="20"/>
          <w:szCs w:val="20"/>
          <w:lang w:val="en-GB" w:eastAsia="en-US"/>
        </w:rPr>
        <w:t>, including</w:t>
      </w:r>
      <w:r w:rsidR="00562025" w:rsidRPr="00F07C15">
        <w:rPr>
          <w:rFonts w:ascii="Times New Roman" w:eastAsia="Times New Roman" w:hAnsi="Times New Roman" w:cs="Times New Roman"/>
          <w:color w:val="000000"/>
          <w:sz w:val="20"/>
          <w:szCs w:val="20"/>
          <w:lang w:val="en-GB" w:eastAsia="en-US"/>
        </w:rPr>
        <w:t xml:space="preserve"> the need for</w:t>
      </w:r>
      <w:r w:rsidR="00F07C15" w:rsidRPr="00F07C15">
        <w:rPr>
          <w:rFonts w:ascii="Times New Roman" w:eastAsia="Times New Roman" w:hAnsi="Times New Roman" w:cs="Times New Roman"/>
          <w:color w:val="000000"/>
          <w:sz w:val="20"/>
          <w:szCs w:val="20"/>
          <w:lang w:val="en-GB" w:eastAsia="en-US"/>
        </w:rPr>
        <w:t xml:space="preserve"> </w:t>
      </w:r>
      <w:r w:rsidR="00DF287B" w:rsidRPr="00F07C15">
        <w:rPr>
          <w:rFonts w:ascii="Times New Roman" w:eastAsia="Times New Roman" w:hAnsi="Times New Roman" w:cs="Times New Roman"/>
          <w:color w:val="000000"/>
          <w:sz w:val="20"/>
          <w:szCs w:val="20"/>
          <w:lang w:val="en-GB" w:eastAsia="en-US"/>
        </w:rPr>
        <w:t>implementation</w:t>
      </w:r>
      <w:r w:rsidR="00DA31C5">
        <w:rPr>
          <w:rFonts w:ascii="Times New Roman" w:eastAsia="Times New Roman" w:hAnsi="Times New Roman" w:cs="Times New Roman"/>
          <w:color w:val="000000"/>
          <w:sz w:val="20"/>
          <w:szCs w:val="20"/>
          <w:lang w:val="en-GB" w:eastAsia="en-US"/>
        </w:rPr>
        <w:t xml:space="preserve"> and governance a</w:t>
      </w:r>
      <w:r w:rsidR="00F07C15">
        <w:rPr>
          <w:rFonts w:ascii="Times New Roman" w:eastAsia="Times New Roman" w:hAnsi="Times New Roman" w:cs="Times New Roman"/>
          <w:color w:val="000000"/>
          <w:sz w:val="20"/>
          <w:szCs w:val="20"/>
          <w:lang w:val="en-GB" w:eastAsia="en-US"/>
        </w:rPr>
        <w:t>rrangements</w:t>
      </w:r>
      <w:r>
        <w:rPr>
          <w:rFonts w:ascii="Times New Roman" w:eastAsia="Times New Roman" w:hAnsi="Times New Roman" w:cs="Times New Roman"/>
          <w:color w:val="000000"/>
          <w:sz w:val="20"/>
          <w:szCs w:val="20"/>
          <w:lang w:val="en-GB" w:eastAsia="en-US"/>
        </w:rPr>
        <w:t>;</w:t>
      </w:r>
    </w:p>
    <w:p w14:paraId="025EF631" w14:textId="1DAECFA4" w:rsidR="00843D6B" w:rsidRDefault="007C535E" w:rsidP="007C535E">
      <w:pPr>
        <w:pStyle w:val="ListParagraph"/>
        <w:numPr>
          <w:ilvl w:val="0"/>
          <w:numId w:val="44"/>
        </w:numPr>
        <w:tabs>
          <w:tab w:val="left" w:pos="624"/>
          <w:tab w:val="left" w:pos="1247"/>
        </w:tabs>
        <w:spacing w:after="120" w:line="240" w:lineRule="auto"/>
        <w:contextualSpacing w:val="0"/>
        <w:rPr>
          <w:rFonts w:ascii="Times New Roman" w:eastAsia="Times New Roman" w:hAnsi="Times New Roman" w:cs="Times New Roman"/>
          <w:color w:val="000000"/>
          <w:sz w:val="20"/>
          <w:szCs w:val="20"/>
          <w:lang w:val="en-GB" w:eastAsia="en-US"/>
        </w:rPr>
      </w:pPr>
      <w:r>
        <w:rPr>
          <w:rFonts w:ascii="Times New Roman" w:hAnsi="Times New Roman" w:cs="Times New Roman"/>
          <w:color w:val="000000"/>
          <w:sz w:val="20"/>
          <w:szCs w:val="20"/>
          <w:lang w:val="en-GB" w:eastAsia="en-US"/>
        </w:rPr>
        <w:t xml:space="preserve">How </w:t>
      </w:r>
      <w:r w:rsidR="00157EA8">
        <w:rPr>
          <w:rFonts w:ascii="Times New Roman" w:eastAsia="Times New Roman" w:hAnsi="Times New Roman" w:cs="Times New Roman"/>
          <w:color w:val="000000"/>
          <w:sz w:val="20"/>
          <w:szCs w:val="20"/>
          <w:lang w:val="en-GB" w:eastAsia="en-US"/>
        </w:rPr>
        <w:t xml:space="preserve">to </w:t>
      </w:r>
      <w:r w:rsidR="004E4B83">
        <w:rPr>
          <w:rFonts w:ascii="Times New Roman" w:eastAsia="Times New Roman" w:hAnsi="Times New Roman" w:cs="Times New Roman"/>
          <w:color w:val="000000"/>
          <w:sz w:val="20"/>
          <w:szCs w:val="20"/>
          <w:lang w:val="en-GB" w:eastAsia="en-US"/>
        </w:rPr>
        <w:t>obtain the necessary</w:t>
      </w:r>
      <w:r w:rsidR="00DA31C5" w:rsidRPr="00F07C15">
        <w:rPr>
          <w:rFonts w:ascii="Times New Roman" w:eastAsia="Times New Roman" w:hAnsi="Times New Roman" w:cs="Times New Roman"/>
          <w:color w:val="000000"/>
          <w:sz w:val="20"/>
          <w:szCs w:val="20"/>
          <w:lang w:val="en-GB" w:eastAsia="en-US"/>
        </w:rPr>
        <w:t xml:space="preserve"> expression of high-level political commitment</w:t>
      </w:r>
      <w:r w:rsidR="00DA31C5">
        <w:rPr>
          <w:rFonts w:ascii="Times New Roman" w:eastAsia="Times New Roman" w:hAnsi="Times New Roman" w:cs="Times New Roman"/>
          <w:color w:val="000000"/>
          <w:sz w:val="20"/>
          <w:szCs w:val="20"/>
          <w:lang w:val="en-GB" w:eastAsia="en-US"/>
        </w:rPr>
        <w:t xml:space="preserve"> to underpin the process. </w:t>
      </w:r>
      <w:r w:rsidR="00F07C15">
        <w:rPr>
          <w:rFonts w:ascii="Times New Roman" w:eastAsia="Times New Roman" w:hAnsi="Times New Roman" w:cs="Times New Roman"/>
          <w:color w:val="000000"/>
          <w:sz w:val="20"/>
          <w:szCs w:val="20"/>
          <w:lang w:val="en-GB" w:eastAsia="en-US"/>
        </w:rPr>
        <w:t xml:space="preserve">  </w:t>
      </w:r>
    </w:p>
    <w:p w14:paraId="06808F5A" w14:textId="77777777" w:rsidR="004471BD" w:rsidRDefault="004266FC" w:rsidP="004471BD">
      <w:pPr>
        <w:tabs>
          <w:tab w:val="left" w:pos="624"/>
          <w:tab w:val="left" w:pos="1247"/>
        </w:tabs>
        <w:spacing w:after="120" w:line="240" w:lineRule="auto"/>
        <w:rPr>
          <w:rFonts w:ascii="Times New Roman" w:eastAsia="Times New Roman" w:hAnsi="Times New Roman" w:cs="Times New Roman"/>
          <w:color w:val="000000"/>
          <w:sz w:val="20"/>
          <w:szCs w:val="20"/>
          <w:lang w:val="en-GB" w:eastAsia="en-US"/>
        </w:rPr>
      </w:pPr>
      <w:r w:rsidRPr="00196051">
        <w:rPr>
          <w:rFonts w:ascii="Times New Roman" w:eastAsia="Times New Roman" w:hAnsi="Times New Roman" w:cs="Times New Roman"/>
          <w:color w:val="000000"/>
          <w:sz w:val="20"/>
          <w:szCs w:val="20"/>
          <w:lang w:val="en-GB" w:eastAsia="en-US"/>
        </w:rPr>
        <w:t>This overview paper discusses each layer of the proposed structure, starting at the top of the pyramid.</w:t>
      </w:r>
    </w:p>
    <w:p w14:paraId="5F7759C1" w14:textId="75950A82" w:rsidR="004471BD" w:rsidRDefault="00112D3F" w:rsidP="004471BD">
      <w:pPr>
        <w:tabs>
          <w:tab w:val="left" w:pos="624"/>
          <w:tab w:val="left" w:pos="1247"/>
        </w:tabs>
        <w:spacing w:after="120" w:line="240" w:lineRule="auto"/>
        <w:rPr>
          <w:rFonts w:ascii="Times New Roman" w:eastAsia="Times New Roman" w:hAnsi="Times New Roman" w:cs="Times New Roman"/>
          <w:b/>
          <w:bCs/>
          <w:color w:val="000000"/>
          <w:sz w:val="20"/>
          <w:szCs w:val="20"/>
          <w:lang w:val="en-GB" w:eastAsia="en-US"/>
        </w:rPr>
      </w:pPr>
      <w:r w:rsidRPr="00F03FB0">
        <w:rPr>
          <w:rFonts w:ascii="Times New Roman" w:eastAsia="Times New Roman" w:hAnsi="Times New Roman" w:cs="Times New Roman"/>
          <w:b/>
          <w:bCs/>
          <w:color w:val="000000"/>
          <w:sz w:val="20"/>
          <w:szCs w:val="20"/>
          <w:lang w:val="en-GB" w:eastAsia="en-US"/>
        </w:rPr>
        <w:t xml:space="preserve">Figure 1:  </w:t>
      </w:r>
      <w:r w:rsidR="001E4C25" w:rsidRPr="00F03FB0">
        <w:rPr>
          <w:rFonts w:ascii="Times New Roman" w:eastAsia="Times New Roman" w:hAnsi="Times New Roman" w:cs="Times New Roman"/>
          <w:b/>
          <w:bCs/>
          <w:color w:val="000000"/>
          <w:sz w:val="20"/>
          <w:szCs w:val="20"/>
          <w:lang w:val="en-GB" w:eastAsia="en-US"/>
        </w:rPr>
        <w:t xml:space="preserve">Proposed </w:t>
      </w:r>
      <w:r w:rsidR="00DF51B9" w:rsidRPr="00F03FB0">
        <w:rPr>
          <w:rFonts w:ascii="Times New Roman" w:eastAsia="Times New Roman" w:hAnsi="Times New Roman" w:cs="Times New Roman"/>
          <w:b/>
          <w:bCs/>
          <w:color w:val="000000"/>
          <w:sz w:val="20"/>
          <w:szCs w:val="20"/>
          <w:lang w:val="en-GB" w:eastAsia="en-US"/>
        </w:rPr>
        <w:t>structure for developing t</w:t>
      </w:r>
      <w:r w:rsidRPr="00F03FB0">
        <w:rPr>
          <w:rFonts w:ascii="Times New Roman" w:eastAsia="Times New Roman" w:hAnsi="Times New Roman" w:cs="Times New Roman"/>
          <w:b/>
          <w:bCs/>
          <w:color w:val="000000"/>
          <w:sz w:val="20"/>
          <w:szCs w:val="20"/>
          <w:lang w:val="en-GB" w:eastAsia="en-US"/>
        </w:rPr>
        <w:t xml:space="preserve">he </w:t>
      </w:r>
      <w:r w:rsidR="001E4C25" w:rsidRPr="00F03FB0">
        <w:rPr>
          <w:rFonts w:ascii="Times New Roman" w:eastAsia="Times New Roman" w:hAnsi="Times New Roman" w:cs="Times New Roman"/>
          <w:b/>
          <w:bCs/>
          <w:color w:val="000000"/>
          <w:sz w:val="20"/>
          <w:szCs w:val="20"/>
          <w:lang w:val="en-GB" w:eastAsia="en-US"/>
        </w:rPr>
        <w:t>future approach</w:t>
      </w:r>
    </w:p>
    <w:p w14:paraId="71C1085F" w14:textId="77777777" w:rsidR="004471BD" w:rsidRDefault="004471BD" w:rsidP="004471BD">
      <w:pPr>
        <w:tabs>
          <w:tab w:val="left" w:pos="624"/>
          <w:tab w:val="left" w:pos="1247"/>
        </w:tabs>
        <w:spacing w:after="120" w:line="240" w:lineRule="auto"/>
        <w:jc w:val="center"/>
        <w:rPr>
          <w:rFonts w:ascii="Times New Roman" w:eastAsia="Times New Roman" w:hAnsi="Times New Roman" w:cs="Times New Roman"/>
          <w:b/>
          <w:bCs/>
          <w:color w:val="000000"/>
          <w:sz w:val="20"/>
          <w:szCs w:val="20"/>
          <w:lang w:val="en-GB" w:eastAsia="en-US"/>
        </w:rPr>
      </w:pPr>
    </w:p>
    <w:p w14:paraId="1F9DBFA6" w14:textId="6D84DA19" w:rsidR="004471BD" w:rsidRDefault="00DA1FED" w:rsidP="004471BD">
      <w:pPr>
        <w:tabs>
          <w:tab w:val="left" w:pos="624"/>
          <w:tab w:val="left" w:pos="1247"/>
        </w:tabs>
        <w:spacing w:after="120" w:line="240" w:lineRule="auto"/>
        <w:jc w:val="center"/>
        <w:rPr>
          <w:rFonts w:ascii="Times New Roman" w:eastAsia="Times New Roman" w:hAnsi="Times New Roman" w:cs="Times New Roman"/>
          <w:b/>
          <w:bCs/>
          <w:color w:val="000000"/>
          <w:sz w:val="20"/>
          <w:szCs w:val="20"/>
          <w:lang w:val="en-GB" w:eastAsia="en-US"/>
        </w:rPr>
      </w:pPr>
      <w:r>
        <w:rPr>
          <w:noProof/>
        </w:rPr>
        <w:drawing>
          <wp:inline distT="0" distB="0" distL="0" distR="0" wp14:anchorId="4ABF901A" wp14:editId="1008F62D">
            <wp:extent cx="4111340" cy="230505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48558" cy="2325917"/>
                    </a:xfrm>
                    <a:prstGeom prst="rect">
                      <a:avLst/>
                    </a:prstGeom>
                  </pic:spPr>
                </pic:pic>
              </a:graphicData>
            </a:graphic>
          </wp:inline>
        </w:drawing>
      </w:r>
    </w:p>
    <w:p w14:paraId="13BABBB7" w14:textId="1C3CC60D" w:rsidR="00F07C15" w:rsidRPr="004471BD" w:rsidRDefault="00F07C15" w:rsidP="004471BD">
      <w:pPr>
        <w:pStyle w:val="CH1"/>
        <w:ind w:left="1871"/>
      </w:pPr>
      <w:r>
        <w:lastRenderedPageBreak/>
        <w:t>(</w:t>
      </w:r>
      <w:r w:rsidR="00A35DA0">
        <w:t>I</w:t>
      </w:r>
      <w:r>
        <w:t xml:space="preserve">) </w:t>
      </w:r>
      <w:r w:rsidR="005E5A50">
        <w:t>V</w:t>
      </w:r>
      <w:r>
        <w:t>ision</w:t>
      </w:r>
    </w:p>
    <w:p w14:paraId="7F608A04" w14:textId="3DDBDB94" w:rsidR="00060D14" w:rsidRPr="00006118" w:rsidRDefault="00196051" w:rsidP="005E5A50">
      <w:pPr>
        <w:pStyle w:val="Normal-pool"/>
        <w:tabs>
          <w:tab w:val="clear" w:pos="1247"/>
          <w:tab w:val="clear" w:pos="1814"/>
          <w:tab w:val="clear" w:pos="2381"/>
          <w:tab w:val="clear" w:pos="2948"/>
          <w:tab w:val="clear" w:pos="3515"/>
          <w:tab w:val="clear" w:pos="4082"/>
          <w:tab w:val="left" w:pos="624"/>
        </w:tabs>
        <w:spacing w:after="120"/>
        <w:rPr>
          <w:color w:val="7030A0"/>
        </w:rPr>
      </w:pPr>
      <w:r>
        <w:t xml:space="preserve">The </w:t>
      </w:r>
      <w:r w:rsidR="005E5A50">
        <w:t xml:space="preserve">overall </w:t>
      </w:r>
      <w:r>
        <w:t>vision will set the direction and inspire action.</w:t>
      </w:r>
      <w:r w:rsidR="00090B47">
        <w:t xml:space="preserve"> </w:t>
      </w:r>
      <w:r w:rsidR="00B82E2A" w:rsidRPr="00AB0849">
        <w:t>The vision should be aspirational and long-term and it should also be easily linked to measurable objectives and practical targeted actions, including qualitative and quantitative elements and milestones.</w:t>
      </w:r>
      <w:r w:rsidR="00006118">
        <w:t xml:space="preserve"> </w:t>
      </w:r>
    </w:p>
    <w:p w14:paraId="7DC004C3" w14:textId="3528F58A" w:rsidR="00F07C15" w:rsidRPr="004B5021" w:rsidRDefault="0021287E" w:rsidP="005E5A50">
      <w:pPr>
        <w:pStyle w:val="Normal-pool"/>
        <w:tabs>
          <w:tab w:val="clear" w:pos="1247"/>
          <w:tab w:val="clear" w:pos="1814"/>
          <w:tab w:val="clear" w:pos="2381"/>
          <w:tab w:val="clear" w:pos="2948"/>
          <w:tab w:val="clear" w:pos="3515"/>
          <w:tab w:val="clear" w:pos="4082"/>
          <w:tab w:val="left" w:pos="624"/>
        </w:tabs>
        <w:spacing w:after="120"/>
      </w:pPr>
      <w:r>
        <w:t>Participants at the first meeting of the intersessional process suggested that t</w:t>
      </w:r>
      <w:r w:rsidR="00090B47">
        <w:t>he vision</w:t>
      </w:r>
      <w:r w:rsidR="00F07C15" w:rsidRPr="00FF7503">
        <w:t xml:space="preserve"> </w:t>
      </w:r>
      <w:r w:rsidR="00112D3F">
        <w:t>c</w:t>
      </w:r>
      <w:r w:rsidR="00F07C15" w:rsidRPr="00FF7503">
        <w:t xml:space="preserve">ould be built </w:t>
      </w:r>
      <w:r w:rsidR="00600D9D">
        <w:t>up</w:t>
      </w:r>
      <w:r w:rsidR="00F07C15" w:rsidRPr="00FF7503">
        <w:t xml:space="preserve">on </w:t>
      </w:r>
      <w:r w:rsidR="00A31FB2">
        <w:t>that</w:t>
      </w:r>
      <w:r w:rsidR="00F07C15" w:rsidRPr="00FF7503">
        <w:t xml:space="preserve"> set out in </w:t>
      </w:r>
      <w:r w:rsidR="00F07C15">
        <w:t>resolution 1</w:t>
      </w:r>
      <w:r w:rsidR="00F07C15" w:rsidRPr="00FF7503">
        <w:t>/5</w:t>
      </w:r>
      <w:r w:rsidR="00F07C15">
        <w:t xml:space="preserve"> of the United Nations Environment Assembly</w:t>
      </w:r>
      <w:r w:rsidR="00A31FB2">
        <w:t>,</w:t>
      </w:r>
      <w:r w:rsidR="00F07C15" w:rsidRPr="00FF7503">
        <w:t xml:space="preserve"> and refer</w:t>
      </w:r>
      <w:r w:rsidR="00F07C15">
        <w:t>red to</w:t>
      </w:r>
      <w:r w:rsidR="00F07C15" w:rsidRPr="00FF7503">
        <w:t xml:space="preserve"> in resolution IV/4</w:t>
      </w:r>
      <w:r w:rsidR="00F07C15">
        <w:t xml:space="preserve"> of the International Conference on Chemicals Management</w:t>
      </w:r>
      <w:r w:rsidR="00F07C15" w:rsidRPr="00FF7503">
        <w:t>, namely</w:t>
      </w:r>
      <w:r w:rsidR="00F07C15">
        <w:t>,</w:t>
      </w:r>
      <w:r w:rsidR="00F07C15" w:rsidRPr="00FF7503">
        <w:t xml:space="preserve"> “</w:t>
      </w:r>
      <w:r w:rsidR="00F07C15">
        <w:t>t</w:t>
      </w:r>
      <w:r w:rsidR="00F07C15" w:rsidRPr="00FF7503">
        <w:t>o achieve the sound management of chemicals throughout their life cycle and of hazardous wastes in ways that lead to the prevention or minimization of significant adverse effects on human health and the environment, as an essential contribution to the three dimensions of sustainable development</w:t>
      </w:r>
      <w:r w:rsidR="00600D9D">
        <w:t>”.</w:t>
      </w:r>
      <w:r w:rsidR="00F07C15" w:rsidRPr="00FF7503">
        <w:rPr>
          <w:vertAlign w:val="superscript"/>
        </w:rPr>
        <w:t xml:space="preserve"> </w:t>
      </w:r>
      <w:r w:rsidR="005E5A50" w:rsidRPr="00FF7503">
        <w:rPr>
          <w:vertAlign w:val="superscript"/>
        </w:rPr>
        <w:footnoteReference w:id="6"/>
      </w:r>
      <w:r w:rsidR="00F07C15" w:rsidRPr="00FF7503">
        <w:rPr>
          <w:vertAlign w:val="superscript"/>
        </w:rPr>
        <w:t xml:space="preserve"> </w:t>
      </w:r>
    </w:p>
    <w:p w14:paraId="678C2C04" w14:textId="561ACE5B" w:rsidR="000150A0" w:rsidRPr="0055183D" w:rsidRDefault="000150A0" w:rsidP="007C535E">
      <w:pPr>
        <w:pStyle w:val="Normal-pool"/>
        <w:tabs>
          <w:tab w:val="clear" w:pos="1247"/>
          <w:tab w:val="clear" w:pos="1814"/>
          <w:tab w:val="clear" w:pos="2381"/>
          <w:tab w:val="clear" w:pos="2948"/>
          <w:tab w:val="clear" w:pos="3515"/>
          <w:tab w:val="clear" w:pos="4082"/>
          <w:tab w:val="left" w:pos="624"/>
        </w:tabs>
        <w:spacing w:after="120"/>
        <w:rPr>
          <w:rFonts w:ascii="Calibri" w:hAnsi="Calibri"/>
          <w:color w:val="FF0000"/>
          <w:sz w:val="22"/>
          <w:szCs w:val="22"/>
        </w:rPr>
      </w:pPr>
      <w:r>
        <w:t xml:space="preserve">In addition, the </w:t>
      </w:r>
      <w:r w:rsidR="00F722D5">
        <w:t xml:space="preserve">2030 </w:t>
      </w:r>
      <w:r>
        <w:t xml:space="preserve">Agenda </w:t>
      </w:r>
      <w:r w:rsidR="00F722D5">
        <w:t>for Sustainable Development</w:t>
      </w:r>
      <w:r>
        <w:t xml:space="preserve"> </w:t>
      </w:r>
      <w:r w:rsidR="004B5021">
        <w:t xml:space="preserve">contains </w:t>
      </w:r>
      <w:r w:rsidR="00BE5DE0">
        <w:t>a</w:t>
      </w:r>
      <w:r w:rsidR="004B5021">
        <w:t xml:space="preserve"> high level political commitment</w:t>
      </w:r>
      <w:r w:rsidR="00B82E2A">
        <w:t xml:space="preserve"> within target 12.4</w:t>
      </w:r>
      <w:r w:rsidR="004B5021">
        <w:t xml:space="preserve"> to, "by 2020, achieve the environmentally sound management of chemicals and all wastes throughout their life cycle, in accordance with agreed international frameworks, and significantly reduce their release to air, water and soil in order to minimise their adverse impact</w:t>
      </w:r>
      <w:r w:rsidR="00BE5DE0">
        <w:t>s on human health and the environment".</w:t>
      </w:r>
      <w:r w:rsidR="000D0EFE">
        <w:t xml:space="preserve">  This should be taken into consideration in developing the vision.</w:t>
      </w:r>
      <w:r w:rsidR="00006118">
        <w:t xml:space="preserve"> </w:t>
      </w:r>
    </w:p>
    <w:p w14:paraId="6F472039" w14:textId="09446A41" w:rsidR="0055183D" w:rsidRDefault="00AB0849" w:rsidP="007C535E">
      <w:pPr>
        <w:pStyle w:val="Normal-pool"/>
        <w:tabs>
          <w:tab w:val="clear" w:pos="1247"/>
          <w:tab w:val="clear" w:pos="1814"/>
          <w:tab w:val="clear" w:pos="2381"/>
          <w:tab w:val="clear" w:pos="2948"/>
          <w:tab w:val="clear" w:pos="3515"/>
          <w:tab w:val="clear" w:pos="4082"/>
          <w:tab w:val="left" w:pos="624"/>
        </w:tabs>
        <w:spacing w:after="120"/>
      </w:pPr>
      <w:r w:rsidRPr="00AB0849">
        <w:t>While t</w:t>
      </w:r>
      <w:r w:rsidR="00545619" w:rsidRPr="00AB0849">
        <w:t xml:space="preserve">he </w:t>
      </w:r>
      <w:r w:rsidR="00112D3F" w:rsidRPr="00AB0849">
        <w:t xml:space="preserve">initial </w:t>
      </w:r>
      <w:r w:rsidR="00545619" w:rsidRPr="00AB0849">
        <w:t>milestone could be 2030</w:t>
      </w:r>
      <w:r w:rsidR="00A35DA0" w:rsidRPr="00AB0849">
        <w:t>,</w:t>
      </w:r>
      <w:r w:rsidR="00545619" w:rsidRPr="00AB0849">
        <w:t xml:space="preserve"> to take advantage of the momentum </w:t>
      </w:r>
      <w:r w:rsidR="009332C4" w:rsidRPr="00AB0849">
        <w:t xml:space="preserve">and awareness </w:t>
      </w:r>
      <w:r w:rsidR="00545619" w:rsidRPr="00AB0849">
        <w:t>created by the 2030 Agenda for Sustainable Development</w:t>
      </w:r>
      <w:r w:rsidRPr="00AB0849">
        <w:t>, the vision may also be timeless (not limited to 2030)</w:t>
      </w:r>
      <w:r w:rsidR="002E7FEE">
        <w:t>, measurable</w:t>
      </w:r>
      <w:r w:rsidRPr="00AB0849">
        <w:t xml:space="preserve"> and aspirational.</w:t>
      </w:r>
      <w:r w:rsidR="000F69EB">
        <w:t xml:space="preserve"> </w:t>
      </w:r>
    </w:p>
    <w:p w14:paraId="5CDF7A6F" w14:textId="26900CDE" w:rsidR="001252F9" w:rsidRPr="009C3A66" w:rsidRDefault="001252F9" w:rsidP="00CA04C9">
      <w:pPr>
        <w:pStyle w:val="Normal-pool"/>
        <w:tabs>
          <w:tab w:val="clear" w:pos="1247"/>
          <w:tab w:val="clear" w:pos="1814"/>
          <w:tab w:val="clear" w:pos="2381"/>
          <w:tab w:val="clear" w:pos="2948"/>
          <w:tab w:val="clear" w:pos="3515"/>
          <w:tab w:val="clear" w:pos="4082"/>
          <w:tab w:val="left" w:pos="624"/>
        </w:tabs>
        <w:spacing w:after="120"/>
      </w:pPr>
      <w:r w:rsidRPr="009C3A66">
        <w:t>The vision</w:t>
      </w:r>
      <w:r w:rsidR="00B17289" w:rsidRPr="009C3A66">
        <w:t>,</w:t>
      </w:r>
      <w:r w:rsidRPr="009C3A66">
        <w:t xml:space="preserve"> and the objectives and milestones to be attained</w:t>
      </w:r>
      <w:r w:rsidR="00B17289" w:rsidRPr="009C3A66">
        <w:t>,</w:t>
      </w:r>
      <w:r w:rsidRPr="009C3A66">
        <w:t xml:space="preserve"> </w:t>
      </w:r>
      <w:r w:rsidR="00C37523" w:rsidRPr="009C3A66">
        <w:t xml:space="preserve">will </w:t>
      </w:r>
      <w:r w:rsidRPr="009C3A66">
        <w:t xml:space="preserve">benefit from a simple and direct narrative to </w:t>
      </w:r>
      <w:r w:rsidR="00CA04C9">
        <w:t xml:space="preserve">promote a healthier world for all, </w:t>
      </w:r>
      <w:r w:rsidRPr="009C3A66">
        <w:t>facilitate communication and increase public and political awareness.</w:t>
      </w:r>
      <w:r w:rsidR="00CA04C9">
        <w:t xml:space="preserve">  </w:t>
      </w:r>
    </w:p>
    <w:p w14:paraId="2552791D" w14:textId="0F5D39ED" w:rsidR="00DF287B" w:rsidRDefault="00F12AB1" w:rsidP="00D07FDC">
      <w:pPr>
        <w:pStyle w:val="CH1"/>
        <w:ind w:left="1871"/>
      </w:pPr>
      <w:r>
        <w:tab/>
      </w:r>
      <w:r w:rsidR="00DF287B" w:rsidRPr="00445967">
        <w:t>(</w:t>
      </w:r>
      <w:r w:rsidR="00A35DA0" w:rsidRPr="00445967">
        <w:t>II</w:t>
      </w:r>
      <w:r w:rsidR="00DF287B" w:rsidRPr="00445967">
        <w:t>)</w:t>
      </w:r>
      <w:r w:rsidR="00533631" w:rsidRPr="004266FC">
        <w:t xml:space="preserve"> </w:t>
      </w:r>
      <w:r w:rsidR="00ED50C1">
        <w:t>P</w:t>
      </w:r>
      <w:r w:rsidR="0029784F">
        <w:t>olicy p</w:t>
      </w:r>
      <w:r w:rsidR="00ED50C1">
        <w:t xml:space="preserve">rinciples </w:t>
      </w:r>
    </w:p>
    <w:p w14:paraId="65870BD5" w14:textId="7C0F9E5A" w:rsidR="003F2380" w:rsidRDefault="003F2380" w:rsidP="00F00260">
      <w:pPr>
        <w:pStyle w:val="Normal-pool"/>
        <w:tabs>
          <w:tab w:val="clear" w:pos="1247"/>
          <w:tab w:val="clear" w:pos="1814"/>
          <w:tab w:val="clear" w:pos="2381"/>
          <w:tab w:val="clear" w:pos="2948"/>
          <w:tab w:val="clear" w:pos="3515"/>
          <w:tab w:val="clear" w:pos="4082"/>
          <w:tab w:val="left" w:pos="624"/>
        </w:tabs>
        <w:spacing w:after="120"/>
      </w:pPr>
      <w:r>
        <w:t>T</w:t>
      </w:r>
      <w:r w:rsidRPr="00123803">
        <w:t xml:space="preserve">he Strategic Approach Overarching Policy Strategy </w:t>
      </w:r>
      <w:r>
        <w:t xml:space="preserve">currently </w:t>
      </w:r>
      <w:r w:rsidRPr="00123803">
        <w:t xml:space="preserve">provides </w:t>
      </w:r>
      <w:r>
        <w:t xml:space="preserve">broad </w:t>
      </w:r>
      <w:r w:rsidRPr="00123803">
        <w:t xml:space="preserve">policy guidance </w:t>
      </w:r>
      <w:r w:rsidR="00F00260">
        <w:t xml:space="preserve">for the implementation of </w:t>
      </w:r>
      <w:r>
        <w:t xml:space="preserve">SAICM.  It is structured around five overarching policy strategy objectives related to: risk reduction; knowledge and information; governance; capacity-building and technical cooperation; and illegal international traffic. The Overarching Policy Strategy also covers financial considerations, implementation and taking stock of </w:t>
      </w:r>
      <w:r w:rsidRPr="001B64B2">
        <w:t>progress</w:t>
      </w:r>
      <w:r>
        <w:t>.</w:t>
      </w:r>
    </w:p>
    <w:p w14:paraId="54DEA00B" w14:textId="424BD51E" w:rsidR="000B27FA" w:rsidRDefault="00312931" w:rsidP="00157E77">
      <w:pPr>
        <w:pStyle w:val="Normal-pool"/>
        <w:tabs>
          <w:tab w:val="clear" w:pos="1247"/>
          <w:tab w:val="clear" w:pos="1814"/>
          <w:tab w:val="clear" w:pos="2381"/>
          <w:tab w:val="clear" w:pos="2948"/>
          <w:tab w:val="clear" w:pos="3515"/>
          <w:tab w:val="clear" w:pos="4082"/>
          <w:tab w:val="left" w:pos="624"/>
        </w:tabs>
        <w:spacing w:after="120"/>
      </w:pPr>
      <w:r>
        <w:t xml:space="preserve">Stakeholders may wish to </w:t>
      </w:r>
      <w:r w:rsidRPr="00312931">
        <w:t xml:space="preserve">define a set of </w:t>
      </w:r>
      <w:r>
        <w:t xml:space="preserve">limited </w:t>
      </w:r>
      <w:r w:rsidRPr="00312931">
        <w:t xml:space="preserve">core principles that guide </w:t>
      </w:r>
      <w:r>
        <w:t xml:space="preserve">all future </w:t>
      </w:r>
      <w:r w:rsidRPr="00312931">
        <w:t>efforts</w:t>
      </w:r>
      <w:r>
        <w:t>, taking into account current guidance</w:t>
      </w:r>
      <w:r w:rsidR="003F2380">
        <w:t xml:space="preserve"> set out in the Overarching Policy Strategy</w:t>
      </w:r>
      <w:r>
        <w:t>, the 2030 Agenda for Sustainable Development and other aspects such as the 11 b</w:t>
      </w:r>
      <w:r w:rsidRPr="00667E03">
        <w:t>asic elements</w:t>
      </w:r>
      <w:r>
        <w:rPr>
          <w:rStyle w:val="FootnoteReference"/>
        </w:rPr>
        <w:footnoteReference w:id="7"/>
      </w:r>
      <w:r w:rsidR="003F2380">
        <w:t xml:space="preserve">.  </w:t>
      </w:r>
      <w:r w:rsidR="00157E77">
        <w:t>Furthermore, s</w:t>
      </w:r>
      <w:r w:rsidR="003F2380">
        <w:t>takeholders may also wish to reflect upon the l</w:t>
      </w:r>
      <w:r w:rsidR="003F2380" w:rsidRPr="00667E03">
        <w:t xml:space="preserve">ong-term policy elements identified in the outcome document ‘Strengthening the sound management of chemicals and wastes in the long term’ </w:t>
      </w:r>
      <w:r w:rsidR="003F2380">
        <w:t>(</w:t>
      </w:r>
      <w:r w:rsidR="003F2380" w:rsidRPr="00667E03">
        <w:t>UNEA resolution 1/5</w:t>
      </w:r>
      <w:r w:rsidR="003F2380">
        <w:t xml:space="preserve"> annex),</w:t>
      </w:r>
    </w:p>
    <w:p w14:paraId="22C263CB" w14:textId="161A43E8" w:rsidR="00312931" w:rsidRDefault="003F2380" w:rsidP="003F2380">
      <w:pPr>
        <w:pStyle w:val="Normal-pool"/>
        <w:tabs>
          <w:tab w:val="clear" w:pos="1247"/>
          <w:tab w:val="clear" w:pos="1814"/>
          <w:tab w:val="clear" w:pos="2381"/>
          <w:tab w:val="clear" w:pos="2948"/>
          <w:tab w:val="clear" w:pos="3515"/>
          <w:tab w:val="clear" w:pos="4082"/>
          <w:tab w:val="left" w:pos="624"/>
        </w:tabs>
        <w:spacing w:after="120"/>
      </w:pPr>
      <w:r>
        <w:t>The development of clear policy principles will guide stakeholder efforts in achieving the vision for chemicals and waste</w:t>
      </w:r>
      <w:r w:rsidRPr="008663CD">
        <w:t xml:space="preserve"> management</w:t>
      </w:r>
      <w:r>
        <w:t xml:space="preserve"> beyond 2020. </w:t>
      </w:r>
      <w:r w:rsidR="00312931">
        <w:t>This will serve to highlight</w:t>
      </w:r>
      <w:r w:rsidR="00312931" w:rsidRPr="00C83A68">
        <w:t xml:space="preserve"> </w:t>
      </w:r>
      <w:r w:rsidR="00312931">
        <w:t>both the importance of</w:t>
      </w:r>
      <w:r w:rsidR="00312931" w:rsidRPr="00C83A68">
        <w:t xml:space="preserve"> the sound management of chemicals and waste for sustainable development </w:t>
      </w:r>
      <w:r w:rsidR="00312931">
        <w:t>as well as</w:t>
      </w:r>
      <w:r w:rsidR="00312931" w:rsidRPr="00C83A68">
        <w:t xml:space="preserve"> the integrated nature of the Sustainable Development Goals</w:t>
      </w:r>
      <w:r w:rsidR="00312931">
        <w:t xml:space="preserve"> at large</w:t>
      </w:r>
      <w:r w:rsidR="00312931" w:rsidRPr="00C83A68">
        <w:t xml:space="preserve">. </w:t>
      </w:r>
    </w:p>
    <w:p w14:paraId="70360F5C" w14:textId="1AC59BA4" w:rsidR="00533631" w:rsidRDefault="00D80100" w:rsidP="00533631">
      <w:pPr>
        <w:pStyle w:val="CH1"/>
        <w:ind w:left="624" w:firstLine="0"/>
      </w:pPr>
      <w:r w:rsidRPr="00667E03" w:rsidDel="00D80100">
        <w:t xml:space="preserve"> </w:t>
      </w:r>
      <w:r w:rsidR="00533631">
        <w:t>(III)</w:t>
      </w:r>
      <w:r w:rsidR="00304F87">
        <w:t xml:space="preserve"> </w:t>
      </w:r>
      <w:r w:rsidR="00533631">
        <w:t>Objectives</w:t>
      </w:r>
      <w:r w:rsidR="000B47AF">
        <w:t xml:space="preserve"> </w:t>
      </w:r>
      <w:r w:rsidR="00533631">
        <w:t>and milestones</w:t>
      </w:r>
    </w:p>
    <w:p w14:paraId="229F336C" w14:textId="009F51C3" w:rsidR="00533631" w:rsidRDefault="00533631" w:rsidP="001D355B">
      <w:pPr>
        <w:spacing w:after="120" w:line="240" w:lineRule="auto"/>
        <w:rPr>
          <w:rFonts w:ascii="Times New Roman" w:eastAsia="Times New Roman" w:hAnsi="Times New Roman" w:cs="Times New Roman"/>
          <w:bCs/>
          <w:sz w:val="20"/>
          <w:szCs w:val="20"/>
          <w:lang w:val="en-GB" w:eastAsia="en-US"/>
        </w:rPr>
      </w:pPr>
      <w:r w:rsidRPr="00F11142">
        <w:rPr>
          <w:rFonts w:ascii="Times New Roman" w:eastAsia="Times New Roman" w:hAnsi="Times New Roman" w:cs="Times New Roman"/>
          <w:bCs/>
          <w:sz w:val="20"/>
          <w:szCs w:val="20"/>
          <w:lang w:val="en-GB" w:eastAsia="en-US"/>
        </w:rPr>
        <w:t>In line with paragraph 10 of resolution IV/4</w:t>
      </w:r>
      <w:r>
        <w:rPr>
          <w:rFonts w:ascii="Times New Roman" w:eastAsia="Times New Roman" w:hAnsi="Times New Roman" w:cs="Times New Roman"/>
          <w:bCs/>
          <w:sz w:val="20"/>
          <w:szCs w:val="20"/>
          <w:lang w:val="en-GB" w:eastAsia="en-US"/>
        </w:rPr>
        <w:t>,</w:t>
      </w:r>
      <w:r w:rsidRPr="00F11142">
        <w:rPr>
          <w:rFonts w:ascii="Times New Roman" w:eastAsia="Times New Roman" w:hAnsi="Times New Roman" w:cs="Times New Roman"/>
          <w:bCs/>
          <w:sz w:val="20"/>
          <w:szCs w:val="20"/>
          <w:lang w:val="en-GB" w:eastAsia="en-US"/>
        </w:rPr>
        <w:t xml:space="preserve"> and in consultation with relevant stakeholders</w:t>
      </w:r>
      <w:r>
        <w:rPr>
          <w:rFonts w:ascii="Times New Roman" w:eastAsia="Times New Roman" w:hAnsi="Times New Roman" w:cs="Times New Roman"/>
          <w:bCs/>
          <w:sz w:val="20"/>
          <w:szCs w:val="20"/>
          <w:lang w:val="en-GB" w:eastAsia="en-US"/>
        </w:rPr>
        <w:t xml:space="preserve">, the secretariat has been requested to develop </w:t>
      </w:r>
      <w:r w:rsidRPr="00F11142">
        <w:rPr>
          <w:rFonts w:ascii="Times New Roman" w:eastAsia="Times New Roman" w:hAnsi="Times New Roman" w:cs="Times New Roman"/>
          <w:bCs/>
          <w:sz w:val="20"/>
          <w:szCs w:val="20"/>
          <w:lang w:val="en-GB" w:eastAsia="en-US"/>
        </w:rPr>
        <w:t xml:space="preserve">a proposal </w:t>
      </w:r>
      <w:r>
        <w:rPr>
          <w:rFonts w:ascii="Times New Roman" w:eastAsia="Times New Roman" w:hAnsi="Times New Roman" w:cs="Times New Roman"/>
          <w:bCs/>
          <w:sz w:val="20"/>
          <w:szCs w:val="20"/>
          <w:lang w:val="en-GB" w:eastAsia="en-US"/>
        </w:rPr>
        <w:t>for</w:t>
      </w:r>
      <w:r w:rsidRPr="00F11142">
        <w:rPr>
          <w:rFonts w:ascii="Times New Roman" w:eastAsia="Times New Roman" w:hAnsi="Times New Roman" w:cs="Times New Roman"/>
          <w:bCs/>
          <w:sz w:val="20"/>
          <w:szCs w:val="20"/>
          <w:lang w:val="en-GB" w:eastAsia="en-US"/>
        </w:rPr>
        <w:t xml:space="preserve"> objectives in support of the 2030 Agenda and related milestones, with the </w:t>
      </w:r>
      <w:r w:rsidR="002365C0">
        <w:rPr>
          <w:rFonts w:ascii="Times New Roman" w:eastAsia="Times New Roman" w:hAnsi="Times New Roman" w:cs="Times New Roman"/>
          <w:bCs/>
          <w:sz w:val="20"/>
          <w:szCs w:val="20"/>
          <w:lang w:val="en-GB" w:eastAsia="en-US"/>
        </w:rPr>
        <w:t>vision</w:t>
      </w:r>
      <w:r w:rsidRPr="00F11142">
        <w:rPr>
          <w:rFonts w:ascii="Times New Roman" w:eastAsia="Times New Roman" w:hAnsi="Times New Roman" w:cs="Times New Roman"/>
          <w:bCs/>
          <w:sz w:val="20"/>
          <w:szCs w:val="20"/>
          <w:lang w:val="en-GB" w:eastAsia="en-US"/>
        </w:rPr>
        <w:t xml:space="preserve"> to be aspirational in nature, </w:t>
      </w:r>
      <w:r w:rsidR="002365C0">
        <w:rPr>
          <w:rFonts w:ascii="Times New Roman" w:eastAsia="Times New Roman" w:hAnsi="Times New Roman" w:cs="Times New Roman"/>
          <w:bCs/>
          <w:sz w:val="20"/>
          <w:szCs w:val="20"/>
          <w:lang w:val="en-GB" w:eastAsia="en-US"/>
        </w:rPr>
        <w:t>obj</w:t>
      </w:r>
      <w:r w:rsidR="00FE384E">
        <w:rPr>
          <w:rFonts w:ascii="Times New Roman" w:eastAsia="Times New Roman" w:hAnsi="Times New Roman" w:cs="Times New Roman"/>
          <w:bCs/>
          <w:sz w:val="20"/>
          <w:szCs w:val="20"/>
          <w:lang w:val="en-GB" w:eastAsia="en-US"/>
        </w:rPr>
        <w:t>e</w:t>
      </w:r>
      <w:r w:rsidR="002365C0">
        <w:rPr>
          <w:rFonts w:ascii="Times New Roman" w:eastAsia="Times New Roman" w:hAnsi="Times New Roman" w:cs="Times New Roman"/>
          <w:bCs/>
          <w:sz w:val="20"/>
          <w:szCs w:val="20"/>
          <w:lang w:val="en-GB" w:eastAsia="en-US"/>
        </w:rPr>
        <w:t xml:space="preserve">ctives </w:t>
      </w:r>
      <w:r w:rsidRPr="00F11142">
        <w:rPr>
          <w:rFonts w:ascii="Times New Roman" w:eastAsia="Times New Roman" w:hAnsi="Times New Roman" w:cs="Times New Roman"/>
          <w:bCs/>
          <w:sz w:val="20"/>
          <w:szCs w:val="20"/>
          <w:lang w:val="en-GB" w:eastAsia="en-US"/>
        </w:rPr>
        <w:t xml:space="preserve">limited in number and </w:t>
      </w:r>
      <w:r w:rsidR="002365C0">
        <w:rPr>
          <w:rFonts w:ascii="Times New Roman" w:eastAsia="Times New Roman" w:hAnsi="Times New Roman" w:cs="Times New Roman"/>
          <w:bCs/>
          <w:sz w:val="20"/>
          <w:szCs w:val="20"/>
          <w:lang w:val="en-GB" w:eastAsia="en-US"/>
        </w:rPr>
        <w:t xml:space="preserve">achievable and measurable milestones </w:t>
      </w:r>
      <w:r w:rsidRPr="00F11142">
        <w:rPr>
          <w:rFonts w:ascii="Times New Roman" w:eastAsia="Times New Roman" w:hAnsi="Times New Roman" w:cs="Times New Roman"/>
          <w:bCs/>
          <w:sz w:val="20"/>
          <w:szCs w:val="20"/>
          <w:lang w:val="en-GB" w:eastAsia="en-US"/>
        </w:rPr>
        <w:t>centred on the 11 elements of the Overall Orientation and Guidance and the paper to be developed through an intersessional working group open to all stakeholders</w:t>
      </w:r>
      <w:r>
        <w:rPr>
          <w:rFonts w:ascii="Times New Roman" w:eastAsia="Times New Roman" w:hAnsi="Times New Roman" w:cs="Times New Roman"/>
          <w:bCs/>
          <w:sz w:val="20"/>
          <w:szCs w:val="20"/>
          <w:lang w:val="en-GB" w:eastAsia="en-US"/>
        </w:rPr>
        <w:t>. This document</w:t>
      </w:r>
      <w:r w:rsidR="00AA2C51">
        <w:rPr>
          <w:rStyle w:val="FootnoteReference"/>
          <w:rFonts w:eastAsia="Times New Roman" w:cs="Times New Roman"/>
          <w:bCs/>
          <w:lang w:val="en-GB" w:eastAsia="en-US"/>
        </w:rPr>
        <w:footnoteReference w:id="8"/>
      </w:r>
      <w:r>
        <w:rPr>
          <w:rFonts w:ascii="Times New Roman" w:eastAsia="Times New Roman" w:hAnsi="Times New Roman" w:cs="Times New Roman"/>
          <w:bCs/>
          <w:sz w:val="20"/>
          <w:szCs w:val="20"/>
          <w:lang w:val="en-GB" w:eastAsia="en-US"/>
        </w:rPr>
        <w:t xml:space="preserve"> </w:t>
      </w:r>
      <w:r w:rsidR="001D355B">
        <w:rPr>
          <w:rFonts w:ascii="Times New Roman" w:eastAsia="Times New Roman" w:hAnsi="Times New Roman" w:cs="Times New Roman"/>
          <w:bCs/>
          <w:sz w:val="20"/>
          <w:szCs w:val="20"/>
          <w:lang w:val="en-GB" w:eastAsia="en-US"/>
        </w:rPr>
        <w:t xml:space="preserve">is available to stakeholders </w:t>
      </w:r>
      <w:r w:rsidR="00CC6E33">
        <w:rPr>
          <w:rFonts w:ascii="Times New Roman" w:eastAsia="Times New Roman" w:hAnsi="Times New Roman" w:cs="Times New Roman"/>
          <w:bCs/>
          <w:sz w:val="20"/>
          <w:szCs w:val="20"/>
          <w:lang w:val="en-GB" w:eastAsia="en-US"/>
        </w:rPr>
        <w:t xml:space="preserve">and will be </w:t>
      </w:r>
      <w:r>
        <w:rPr>
          <w:rFonts w:ascii="Times New Roman" w:eastAsia="Times New Roman" w:hAnsi="Times New Roman" w:cs="Times New Roman"/>
          <w:bCs/>
          <w:sz w:val="20"/>
          <w:szCs w:val="20"/>
          <w:lang w:val="en-GB" w:eastAsia="en-US"/>
        </w:rPr>
        <w:t xml:space="preserve">a helpful starting point.   </w:t>
      </w:r>
    </w:p>
    <w:p w14:paraId="5C7D5B51" w14:textId="77777777" w:rsidR="001D355B" w:rsidRDefault="00834AB0" w:rsidP="00414D81">
      <w:pPr>
        <w:spacing w:after="120" w:line="240" w:lineRule="auto"/>
        <w:rPr>
          <w:rFonts w:ascii="Times New Roman" w:eastAsia="Times New Roman" w:hAnsi="Times New Roman" w:cs="Times New Roman"/>
          <w:bCs/>
          <w:sz w:val="20"/>
          <w:szCs w:val="20"/>
          <w:lang w:val="en-GB" w:eastAsia="en-US"/>
        </w:rPr>
      </w:pPr>
      <w:r w:rsidRPr="00E94BCD">
        <w:rPr>
          <w:rFonts w:ascii="Times New Roman" w:eastAsia="Times New Roman" w:hAnsi="Times New Roman" w:cs="Times New Roman"/>
          <w:bCs/>
          <w:sz w:val="20"/>
          <w:szCs w:val="20"/>
          <w:lang w:val="en-GB" w:eastAsia="en-US"/>
        </w:rPr>
        <w:t>Regardless of the form of the future approach, measurable objectives</w:t>
      </w:r>
      <w:r>
        <w:rPr>
          <w:rFonts w:ascii="Times New Roman" w:eastAsia="Times New Roman" w:hAnsi="Times New Roman" w:cs="Times New Roman"/>
          <w:bCs/>
          <w:sz w:val="20"/>
          <w:szCs w:val="20"/>
          <w:lang w:val="en-GB" w:eastAsia="en-US"/>
        </w:rPr>
        <w:t xml:space="preserve"> will be needed.  </w:t>
      </w:r>
      <w:r w:rsidRPr="00E94BCD">
        <w:rPr>
          <w:rFonts w:ascii="Times New Roman" w:eastAsia="Times New Roman" w:hAnsi="Times New Roman" w:cs="Times New Roman"/>
          <w:bCs/>
          <w:sz w:val="20"/>
          <w:szCs w:val="20"/>
          <w:lang w:val="en-GB" w:eastAsia="en-US"/>
        </w:rPr>
        <w:t>It is important to provide a practical program of work that is measurable, to make and track progress toward</w:t>
      </w:r>
      <w:r>
        <w:rPr>
          <w:rFonts w:ascii="Times New Roman" w:eastAsia="Times New Roman" w:hAnsi="Times New Roman" w:cs="Times New Roman"/>
          <w:bCs/>
          <w:sz w:val="20"/>
          <w:szCs w:val="20"/>
          <w:lang w:val="en-GB" w:eastAsia="en-US"/>
        </w:rPr>
        <w:t xml:space="preserve"> achieving</w:t>
      </w:r>
      <w:r w:rsidRPr="00E94BCD">
        <w:rPr>
          <w:rFonts w:ascii="Times New Roman" w:eastAsia="Times New Roman" w:hAnsi="Times New Roman" w:cs="Times New Roman"/>
          <w:bCs/>
          <w:sz w:val="20"/>
          <w:szCs w:val="20"/>
          <w:lang w:val="en-GB" w:eastAsia="en-US"/>
        </w:rPr>
        <w:t xml:space="preserve"> the vision, noting that not all countries and stakeholders are </w:t>
      </w:r>
      <w:r>
        <w:rPr>
          <w:rFonts w:ascii="Times New Roman" w:eastAsia="Times New Roman" w:hAnsi="Times New Roman" w:cs="Times New Roman"/>
          <w:bCs/>
          <w:sz w:val="20"/>
          <w:szCs w:val="20"/>
          <w:lang w:val="en-GB" w:eastAsia="en-US"/>
        </w:rPr>
        <w:t xml:space="preserve">starting </w:t>
      </w:r>
      <w:r w:rsidRPr="00E94BCD">
        <w:rPr>
          <w:rFonts w:ascii="Times New Roman" w:eastAsia="Times New Roman" w:hAnsi="Times New Roman" w:cs="Times New Roman"/>
          <w:bCs/>
          <w:sz w:val="20"/>
          <w:szCs w:val="20"/>
          <w:lang w:val="en-GB" w:eastAsia="en-US"/>
        </w:rPr>
        <w:t xml:space="preserve">at the same level. </w:t>
      </w:r>
    </w:p>
    <w:p w14:paraId="14CEABAF" w14:textId="063862F4" w:rsidR="00834AB0" w:rsidRPr="0053603E" w:rsidRDefault="00834AB0" w:rsidP="001D355B">
      <w:pPr>
        <w:spacing w:after="120" w:line="240" w:lineRule="auto"/>
        <w:rPr>
          <w:rFonts w:ascii="Times New Roman" w:eastAsia="Times New Roman" w:hAnsi="Times New Roman" w:cs="Times New Roman"/>
          <w:bCs/>
          <w:color w:val="7030A0"/>
          <w:sz w:val="20"/>
          <w:szCs w:val="20"/>
          <w:lang w:val="en-GB" w:eastAsia="en-US"/>
        </w:rPr>
      </w:pPr>
      <w:r>
        <w:rPr>
          <w:rFonts w:ascii="Times New Roman" w:eastAsia="Times New Roman" w:hAnsi="Times New Roman" w:cs="Times New Roman"/>
          <w:bCs/>
          <w:sz w:val="20"/>
          <w:szCs w:val="20"/>
          <w:lang w:val="en-GB" w:eastAsia="en-US"/>
        </w:rPr>
        <w:t>T</w:t>
      </w:r>
      <w:r w:rsidRPr="00E94BCD">
        <w:rPr>
          <w:rFonts w:ascii="Times New Roman" w:eastAsia="Times New Roman" w:hAnsi="Times New Roman" w:cs="Times New Roman"/>
          <w:bCs/>
          <w:sz w:val="20"/>
          <w:szCs w:val="20"/>
          <w:lang w:val="en-GB" w:eastAsia="en-US"/>
        </w:rPr>
        <w:t xml:space="preserve">he Aichi </w:t>
      </w:r>
      <w:r>
        <w:rPr>
          <w:rFonts w:ascii="Times New Roman" w:eastAsia="Times New Roman" w:hAnsi="Times New Roman" w:cs="Times New Roman"/>
          <w:bCs/>
          <w:sz w:val="20"/>
          <w:szCs w:val="20"/>
          <w:lang w:val="en-GB" w:eastAsia="en-US"/>
        </w:rPr>
        <w:t>t</w:t>
      </w:r>
      <w:r w:rsidRPr="00E94BCD">
        <w:rPr>
          <w:rFonts w:ascii="Times New Roman" w:eastAsia="Times New Roman" w:hAnsi="Times New Roman" w:cs="Times New Roman"/>
          <w:bCs/>
          <w:sz w:val="20"/>
          <w:szCs w:val="20"/>
          <w:lang w:val="en-GB" w:eastAsia="en-US"/>
        </w:rPr>
        <w:t>argets for biodiversity</w:t>
      </w:r>
      <w:r>
        <w:rPr>
          <w:rStyle w:val="FootnoteReference"/>
          <w:rFonts w:eastAsia="Times New Roman" w:cs="Times New Roman"/>
          <w:bCs/>
          <w:lang w:val="en-GB" w:eastAsia="en-US"/>
        </w:rPr>
        <w:footnoteReference w:id="9"/>
      </w:r>
      <w:r w:rsidRPr="00E94BCD">
        <w:rPr>
          <w:rFonts w:ascii="Times New Roman" w:eastAsia="Times New Roman" w:hAnsi="Times New Roman" w:cs="Times New Roman"/>
          <w:bCs/>
          <w:sz w:val="20"/>
          <w:szCs w:val="20"/>
          <w:lang w:val="en-GB" w:eastAsia="en-US"/>
        </w:rPr>
        <w:t xml:space="preserve"> were referenced as a potential </w:t>
      </w:r>
      <w:r w:rsidR="001D355B">
        <w:rPr>
          <w:rFonts w:ascii="Times New Roman" w:eastAsia="Times New Roman" w:hAnsi="Times New Roman" w:cs="Times New Roman"/>
          <w:bCs/>
          <w:sz w:val="20"/>
          <w:szCs w:val="20"/>
          <w:lang w:val="en-GB" w:eastAsia="en-US"/>
        </w:rPr>
        <w:t xml:space="preserve">model </w:t>
      </w:r>
      <w:r w:rsidRPr="00E94BCD">
        <w:rPr>
          <w:rFonts w:ascii="Times New Roman" w:eastAsia="Times New Roman" w:hAnsi="Times New Roman" w:cs="Times New Roman"/>
          <w:bCs/>
          <w:sz w:val="20"/>
          <w:szCs w:val="20"/>
          <w:lang w:val="en-GB" w:eastAsia="en-US"/>
        </w:rPr>
        <w:t>approach</w:t>
      </w:r>
      <w:r>
        <w:rPr>
          <w:rFonts w:ascii="Times New Roman" w:eastAsia="Times New Roman" w:hAnsi="Times New Roman" w:cs="Times New Roman"/>
          <w:bCs/>
          <w:sz w:val="20"/>
          <w:szCs w:val="20"/>
          <w:lang w:val="en-GB" w:eastAsia="en-US"/>
        </w:rPr>
        <w:t>.</w:t>
      </w:r>
      <w:r w:rsidR="001D355B">
        <w:rPr>
          <w:rFonts w:ascii="Times New Roman" w:eastAsia="Times New Roman" w:hAnsi="Times New Roman" w:cs="Times New Roman"/>
          <w:bCs/>
          <w:sz w:val="20"/>
          <w:szCs w:val="20"/>
          <w:lang w:val="en-GB" w:eastAsia="en-US"/>
        </w:rPr>
        <w:t xml:space="preserve"> </w:t>
      </w:r>
      <w:r w:rsidRPr="00834AB0">
        <w:rPr>
          <w:rFonts w:ascii="Times New Roman" w:eastAsia="Times New Roman" w:hAnsi="Times New Roman" w:cs="Times New Roman"/>
          <w:bCs/>
          <w:sz w:val="20"/>
          <w:szCs w:val="20"/>
          <w:lang w:val="en-GB" w:eastAsia="en-US"/>
        </w:rPr>
        <w:t>The international governance of the biodiversity cluster, similar to the chemicals and waste cluster, includes autonomous legally-binding</w:t>
      </w:r>
      <w:r>
        <w:rPr>
          <w:rFonts w:ascii="Times New Roman" w:eastAsia="Times New Roman" w:hAnsi="Times New Roman" w:cs="Times New Roman"/>
          <w:bCs/>
          <w:sz w:val="20"/>
          <w:szCs w:val="20"/>
          <w:lang w:val="en-GB" w:eastAsia="en-US"/>
        </w:rPr>
        <w:t xml:space="preserve"> </w:t>
      </w:r>
      <w:r w:rsidRPr="00834AB0">
        <w:rPr>
          <w:rFonts w:ascii="Times New Roman" w:eastAsia="Times New Roman" w:hAnsi="Times New Roman" w:cs="Times New Roman"/>
          <w:bCs/>
          <w:sz w:val="20"/>
          <w:szCs w:val="20"/>
          <w:lang w:val="en-GB" w:eastAsia="en-US"/>
        </w:rPr>
        <w:t>multilateral environmental agreements</w:t>
      </w:r>
      <w:r>
        <w:rPr>
          <w:rFonts w:ascii="Times New Roman" w:eastAsia="Times New Roman" w:hAnsi="Times New Roman" w:cs="Times New Roman"/>
          <w:bCs/>
          <w:sz w:val="20"/>
          <w:szCs w:val="20"/>
          <w:lang w:val="en-GB" w:eastAsia="en-US"/>
        </w:rPr>
        <w:t xml:space="preserve"> </w:t>
      </w:r>
      <w:r w:rsidRPr="00834AB0">
        <w:rPr>
          <w:rFonts w:ascii="Times New Roman" w:eastAsia="Times New Roman" w:hAnsi="Times New Roman" w:cs="Times New Roman"/>
          <w:bCs/>
          <w:sz w:val="20"/>
          <w:szCs w:val="20"/>
          <w:lang w:val="en-GB" w:eastAsia="en-US"/>
        </w:rPr>
        <w:t>as well as voluntary approaches.</w:t>
      </w:r>
      <w:r>
        <w:rPr>
          <w:rFonts w:ascii="Times New Roman" w:eastAsia="Times New Roman" w:hAnsi="Times New Roman" w:cs="Times New Roman"/>
          <w:bCs/>
          <w:sz w:val="20"/>
          <w:szCs w:val="20"/>
          <w:lang w:val="en-GB" w:eastAsia="en-US"/>
        </w:rPr>
        <w:t xml:space="preserve"> B</w:t>
      </w:r>
      <w:r w:rsidRPr="00834AB0">
        <w:rPr>
          <w:rFonts w:ascii="Times New Roman" w:eastAsia="Times New Roman" w:hAnsi="Times New Roman" w:cs="Times New Roman"/>
          <w:bCs/>
          <w:sz w:val="20"/>
          <w:szCs w:val="20"/>
          <w:lang w:val="en-GB" w:eastAsia="en-US"/>
        </w:rPr>
        <w:t xml:space="preserve">iodiversity, as chemicals and waste management, </w:t>
      </w:r>
      <w:r w:rsidRPr="00834AB0">
        <w:rPr>
          <w:rFonts w:ascii="Times New Roman" w:eastAsia="Times New Roman" w:hAnsi="Times New Roman" w:cs="Times New Roman"/>
          <w:bCs/>
          <w:sz w:val="20"/>
          <w:szCs w:val="20"/>
          <w:lang w:val="en-GB" w:eastAsia="en-US"/>
        </w:rPr>
        <w:lastRenderedPageBreak/>
        <w:t>requires</w:t>
      </w:r>
      <w:r>
        <w:rPr>
          <w:rFonts w:ascii="Times New Roman" w:eastAsia="Times New Roman" w:hAnsi="Times New Roman" w:cs="Times New Roman"/>
          <w:bCs/>
          <w:sz w:val="20"/>
          <w:szCs w:val="20"/>
          <w:lang w:val="en-GB" w:eastAsia="en-US"/>
        </w:rPr>
        <w:t xml:space="preserve"> </w:t>
      </w:r>
      <w:r w:rsidRPr="00834AB0">
        <w:rPr>
          <w:rFonts w:ascii="Times New Roman" w:eastAsia="Times New Roman" w:hAnsi="Times New Roman" w:cs="Times New Roman"/>
          <w:bCs/>
          <w:sz w:val="20"/>
          <w:szCs w:val="20"/>
          <w:lang w:val="en-GB" w:eastAsia="en-US"/>
        </w:rPr>
        <w:t>action in many sectors of government (environment, agriculture, industrial development etc.), by different key actors,</w:t>
      </w:r>
      <w:r>
        <w:rPr>
          <w:rFonts w:ascii="Times New Roman" w:eastAsia="Times New Roman" w:hAnsi="Times New Roman" w:cs="Times New Roman"/>
          <w:bCs/>
          <w:sz w:val="20"/>
          <w:szCs w:val="20"/>
          <w:lang w:val="en-GB" w:eastAsia="en-US"/>
        </w:rPr>
        <w:t xml:space="preserve"> </w:t>
      </w:r>
      <w:r w:rsidRPr="00834AB0">
        <w:rPr>
          <w:rFonts w:ascii="Times New Roman" w:eastAsia="Times New Roman" w:hAnsi="Times New Roman" w:cs="Times New Roman"/>
          <w:bCs/>
          <w:sz w:val="20"/>
          <w:szCs w:val="20"/>
          <w:lang w:val="en-GB" w:eastAsia="en-US"/>
        </w:rPr>
        <w:t xml:space="preserve">and at various levels of governance (i.e. international, regional, national, </w:t>
      </w:r>
      <w:r>
        <w:rPr>
          <w:rFonts w:ascii="Times New Roman" w:eastAsia="Times New Roman" w:hAnsi="Times New Roman" w:cs="Times New Roman"/>
          <w:bCs/>
          <w:sz w:val="20"/>
          <w:szCs w:val="20"/>
          <w:lang w:val="en-GB" w:eastAsia="en-US"/>
        </w:rPr>
        <w:t>s</w:t>
      </w:r>
      <w:r w:rsidRPr="00834AB0">
        <w:rPr>
          <w:rFonts w:ascii="Times New Roman" w:eastAsia="Times New Roman" w:hAnsi="Times New Roman" w:cs="Times New Roman"/>
          <w:bCs/>
          <w:sz w:val="20"/>
          <w:szCs w:val="20"/>
          <w:lang w:val="en-GB" w:eastAsia="en-US"/>
        </w:rPr>
        <w:t>ub-national and local).</w:t>
      </w:r>
      <w:r>
        <w:rPr>
          <w:rFonts w:ascii="Times New Roman" w:eastAsia="Times New Roman" w:hAnsi="Times New Roman" w:cs="Times New Roman"/>
          <w:bCs/>
          <w:sz w:val="20"/>
          <w:szCs w:val="20"/>
          <w:lang w:val="en-GB" w:eastAsia="en-US"/>
        </w:rPr>
        <w:t xml:space="preserve"> </w:t>
      </w:r>
      <w:r w:rsidRPr="00834AB0">
        <w:rPr>
          <w:rFonts w:ascii="Times New Roman" w:eastAsia="Times New Roman" w:hAnsi="Times New Roman" w:cs="Times New Roman"/>
          <w:bCs/>
          <w:sz w:val="20"/>
          <w:szCs w:val="20"/>
          <w:lang w:val="en-GB" w:eastAsia="en-US"/>
        </w:rPr>
        <w:t>The approach taken in the biodiversity cluster</w:t>
      </w:r>
      <w:r>
        <w:rPr>
          <w:rFonts w:ascii="Times New Roman" w:eastAsia="Times New Roman" w:hAnsi="Times New Roman" w:cs="Times New Roman"/>
          <w:bCs/>
          <w:sz w:val="20"/>
          <w:szCs w:val="20"/>
          <w:lang w:val="en-GB" w:eastAsia="en-US"/>
        </w:rPr>
        <w:t xml:space="preserve"> through the Aichi targets</w:t>
      </w:r>
      <w:r w:rsidRPr="00834AB0">
        <w:rPr>
          <w:rFonts w:ascii="Times New Roman" w:eastAsia="Times New Roman" w:hAnsi="Times New Roman" w:cs="Times New Roman"/>
          <w:bCs/>
          <w:sz w:val="20"/>
          <w:szCs w:val="20"/>
          <w:lang w:val="en-GB" w:eastAsia="en-US"/>
        </w:rPr>
        <w:t xml:space="preserve"> has been accepted by a wide range of </w:t>
      </w:r>
      <w:r>
        <w:rPr>
          <w:rFonts w:ascii="Times New Roman" w:eastAsia="Times New Roman" w:hAnsi="Times New Roman" w:cs="Times New Roman"/>
          <w:bCs/>
          <w:sz w:val="20"/>
          <w:szCs w:val="20"/>
          <w:lang w:val="en-GB" w:eastAsia="en-US"/>
        </w:rPr>
        <w:t>g</w:t>
      </w:r>
      <w:r w:rsidRPr="00834AB0">
        <w:rPr>
          <w:rFonts w:ascii="Times New Roman" w:eastAsia="Times New Roman" w:hAnsi="Times New Roman" w:cs="Times New Roman"/>
          <w:bCs/>
          <w:sz w:val="20"/>
          <w:szCs w:val="20"/>
          <w:lang w:val="en-GB" w:eastAsia="en-US"/>
        </w:rPr>
        <w:t>overnments and stakeholders as a means of addressing a complex policy issue through global and national action. It also has proven to be an effective way to measure progress in achieving the overall vision of biological diversity conservation.</w:t>
      </w:r>
      <w:r w:rsidR="0053603E">
        <w:rPr>
          <w:rFonts w:ascii="Times New Roman" w:eastAsia="Times New Roman" w:hAnsi="Times New Roman" w:cs="Times New Roman"/>
          <w:bCs/>
          <w:sz w:val="20"/>
          <w:szCs w:val="20"/>
          <w:lang w:val="en-GB" w:eastAsia="en-US"/>
        </w:rPr>
        <w:t xml:space="preserve"> </w:t>
      </w:r>
    </w:p>
    <w:p w14:paraId="5084806A" w14:textId="4235D0FB" w:rsidR="00533631" w:rsidRDefault="00533631" w:rsidP="00217C34">
      <w:pPr>
        <w:pStyle w:val="Normal-pool"/>
        <w:tabs>
          <w:tab w:val="clear" w:pos="1247"/>
          <w:tab w:val="clear" w:pos="1814"/>
          <w:tab w:val="clear" w:pos="2381"/>
          <w:tab w:val="clear" w:pos="2948"/>
          <w:tab w:val="clear" w:pos="3515"/>
          <w:tab w:val="clear" w:pos="4082"/>
          <w:tab w:val="left" w:pos="624"/>
        </w:tabs>
        <w:spacing w:after="120"/>
        <w:rPr>
          <w:bCs/>
        </w:rPr>
      </w:pPr>
      <w:r w:rsidRPr="00861AB8">
        <w:rPr>
          <w:bCs/>
        </w:rPr>
        <w:t>Early progress in establishing objectives</w:t>
      </w:r>
      <w:r w:rsidR="00304F87">
        <w:rPr>
          <w:bCs/>
        </w:rPr>
        <w:t xml:space="preserve"> and </w:t>
      </w:r>
      <w:r w:rsidRPr="00861AB8">
        <w:rPr>
          <w:bCs/>
        </w:rPr>
        <w:t xml:space="preserve">milestones and </w:t>
      </w:r>
      <w:r w:rsidR="00304F87">
        <w:rPr>
          <w:bCs/>
        </w:rPr>
        <w:t xml:space="preserve">in </w:t>
      </w:r>
      <w:r w:rsidRPr="00861AB8">
        <w:rPr>
          <w:bCs/>
        </w:rPr>
        <w:t xml:space="preserve">identifying </w:t>
      </w:r>
      <w:r w:rsidR="0035769D">
        <w:rPr>
          <w:bCs/>
        </w:rPr>
        <w:t>specific stakeholders</w:t>
      </w:r>
      <w:r w:rsidRPr="00861AB8">
        <w:rPr>
          <w:bCs/>
        </w:rPr>
        <w:t xml:space="preserve"> will help </w:t>
      </w:r>
      <w:r w:rsidR="0035769D">
        <w:rPr>
          <w:bCs/>
        </w:rPr>
        <w:t>clarify</w:t>
      </w:r>
      <w:r w:rsidR="0035769D" w:rsidRPr="00861AB8">
        <w:rPr>
          <w:bCs/>
        </w:rPr>
        <w:t xml:space="preserve"> </w:t>
      </w:r>
      <w:r w:rsidRPr="00861AB8">
        <w:rPr>
          <w:bCs/>
        </w:rPr>
        <w:t>the</w:t>
      </w:r>
      <w:r w:rsidR="0035769D">
        <w:rPr>
          <w:bCs/>
        </w:rPr>
        <w:t xml:space="preserve"> </w:t>
      </w:r>
      <w:r w:rsidRPr="00861AB8">
        <w:rPr>
          <w:bCs/>
        </w:rPr>
        <w:t xml:space="preserve">needs and priorities </w:t>
      </w:r>
      <w:r w:rsidR="0035769D">
        <w:rPr>
          <w:bCs/>
        </w:rPr>
        <w:t>for</w:t>
      </w:r>
      <w:r w:rsidR="0035769D" w:rsidRPr="00861AB8">
        <w:rPr>
          <w:bCs/>
        </w:rPr>
        <w:t xml:space="preserve"> </w:t>
      </w:r>
      <w:r w:rsidR="00217C34">
        <w:rPr>
          <w:bCs/>
        </w:rPr>
        <w:t xml:space="preserve">the </w:t>
      </w:r>
      <w:r w:rsidRPr="00861AB8">
        <w:rPr>
          <w:bCs/>
        </w:rPr>
        <w:t xml:space="preserve">beyond 2020 context, </w:t>
      </w:r>
      <w:r w:rsidR="0035769D">
        <w:rPr>
          <w:bCs/>
        </w:rPr>
        <w:t xml:space="preserve">and may serve to </w:t>
      </w:r>
      <w:r w:rsidRPr="00861AB8">
        <w:rPr>
          <w:bCs/>
        </w:rPr>
        <w:t>guid</w:t>
      </w:r>
      <w:r w:rsidR="0035769D">
        <w:rPr>
          <w:bCs/>
        </w:rPr>
        <w:t>e</w:t>
      </w:r>
      <w:r w:rsidRPr="00861AB8">
        <w:rPr>
          <w:bCs/>
        </w:rPr>
        <w:t xml:space="preserve"> the development of implementation and governance arrangements moving forward. </w:t>
      </w:r>
      <w:r>
        <w:rPr>
          <w:bCs/>
        </w:rPr>
        <w:t xml:space="preserve"> </w:t>
      </w:r>
    </w:p>
    <w:p w14:paraId="16AEDB28" w14:textId="20C5B08D" w:rsidR="005C7E12" w:rsidRPr="00093199" w:rsidRDefault="00AA568B" w:rsidP="00AA568B">
      <w:pPr>
        <w:pStyle w:val="CH3"/>
        <w:spacing w:before="240"/>
        <w:rPr>
          <w:u w:val="single"/>
        </w:rPr>
      </w:pPr>
      <w:r>
        <w:rPr>
          <w:u w:val="single"/>
        </w:rPr>
        <w:t>Taking stock of progress</w:t>
      </w:r>
    </w:p>
    <w:p w14:paraId="19E68BC2" w14:textId="77777777" w:rsidR="00BF6A71" w:rsidRDefault="00BF6A71" w:rsidP="00BF6A71">
      <w:pPr>
        <w:pStyle w:val="Normal-pool"/>
        <w:tabs>
          <w:tab w:val="clear" w:pos="1247"/>
          <w:tab w:val="clear" w:pos="1814"/>
          <w:tab w:val="clear" w:pos="2381"/>
          <w:tab w:val="clear" w:pos="2948"/>
          <w:tab w:val="clear" w:pos="3515"/>
          <w:tab w:val="clear" w:pos="4082"/>
          <w:tab w:val="left" w:pos="624"/>
        </w:tabs>
        <w:spacing w:after="120"/>
      </w:pPr>
      <w:r w:rsidRPr="004471BD">
        <w:t xml:space="preserve">Once more detailed and measurable actions and indicators are agreed, it will be important to reflect upon </w:t>
      </w:r>
      <w:r>
        <w:t xml:space="preserve">an effective and appropriate approach to reviewing implementation and advancement of the sound management of chemicals and waste beyond 2020.  </w:t>
      </w:r>
    </w:p>
    <w:p w14:paraId="77D64A97" w14:textId="57BC7B54" w:rsidR="00212F23" w:rsidRDefault="00212F23" w:rsidP="002E7FEE">
      <w:pPr>
        <w:pStyle w:val="Normal-pool"/>
        <w:tabs>
          <w:tab w:val="clear" w:pos="1247"/>
          <w:tab w:val="clear" w:pos="1814"/>
          <w:tab w:val="clear" w:pos="2381"/>
          <w:tab w:val="clear" w:pos="2948"/>
          <w:tab w:val="clear" w:pos="3515"/>
          <w:tab w:val="clear" w:pos="4082"/>
          <w:tab w:val="left" w:pos="624"/>
        </w:tabs>
        <w:spacing w:after="120"/>
      </w:pPr>
      <w:r>
        <w:t xml:space="preserve">It would be desirable to start considering how to ensure appropriate review and follow-up, </w:t>
      </w:r>
      <w:r w:rsidR="003E313D">
        <w:t>including</w:t>
      </w:r>
      <w:r>
        <w:t xml:space="preserve"> in the context of the 2030 Agenda and without creating additional mechanisms or reporting obligations.</w:t>
      </w:r>
      <w:r w:rsidR="00AD7363">
        <w:t xml:space="preserve">  In principle, the information and reporting mechanisms already existing under the various relevant organizations and instruments, as well as implementation of the 2030 Agenda, should be used to gather the necessary information.</w:t>
      </w:r>
    </w:p>
    <w:p w14:paraId="47FEA847" w14:textId="5D4023B2" w:rsidR="005C7E12" w:rsidRDefault="005C7E12" w:rsidP="00452A02">
      <w:pPr>
        <w:pStyle w:val="Normal-pool"/>
        <w:tabs>
          <w:tab w:val="clear" w:pos="1247"/>
          <w:tab w:val="clear" w:pos="1814"/>
          <w:tab w:val="clear" w:pos="2381"/>
          <w:tab w:val="clear" w:pos="2948"/>
          <w:tab w:val="clear" w:pos="3515"/>
          <w:tab w:val="clear" w:pos="4082"/>
          <w:tab w:val="left" w:pos="624"/>
        </w:tabs>
        <w:spacing w:after="120"/>
      </w:pPr>
      <w:r>
        <w:t xml:space="preserve">If appropriate, voluntary peer review processes, focusing on the objectives and milestones could be considered.  </w:t>
      </w:r>
      <w:r w:rsidR="00C13F61">
        <w:t>While this would be subject to further discussion, t</w:t>
      </w:r>
      <w:r>
        <w:t xml:space="preserve">hese </w:t>
      </w:r>
      <w:r w:rsidR="00452A02">
        <w:t>w</w:t>
      </w:r>
      <w:r>
        <w:t>ould be open to non-governmental stakeholders and provide an opportunity for information exchange and learning.</w:t>
      </w:r>
    </w:p>
    <w:p w14:paraId="5A0628C0" w14:textId="7E666D0C" w:rsidR="0036046B" w:rsidRDefault="00452A02" w:rsidP="00452A02">
      <w:pPr>
        <w:pStyle w:val="Normal-pool"/>
        <w:tabs>
          <w:tab w:val="clear" w:pos="1247"/>
          <w:tab w:val="clear" w:pos="1814"/>
          <w:tab w:val="clear" w:pos="2381"/>
          <w:tab w:val="clear" w:pos="2948"/>
          <w:tab w:val="clear" w:pos="3515"/>
          <w:tab w:val="clear" w:pos="4082"/>
          <w:tab w:val="left" w:pos="624"/>
        </w:tabs>
        <w:spacing w:after="120"/>
      </w:pPr>
      <w:r>
        <w:t>Furthermore, a</w:t>
      </w:r>
      <w:r w:rsidR="0036046B">
        <w:t>ny review process should be linked to national action plans, if such an approach is agreed upon in moving forward.</w:t>
      </w:r>
    </w:p>
    <w:p w14:paraId="623BF0EF" w14:textId="3FAA4A1E" w:rsidR="005C7E12" w:rsidRPr="00D07FDC" w:rsidRDefault="000B47AF" w:rsidP="00D07FDC">
      <w:pPr>
        <w:pStyle w:val="CH3"/>
        <w:spacing w:before="240"/>
        <w:rPr>
          <w:u w:val="single"/>
        </w:rPr>
      </w:pPr>
      <w:r w:rsidRPr="00D07FDC">
        <w:rPr>
          <w:u w:val="single"/>
        </w:rPr>
        <w:t>Scope</w:t>
      </w:r>
    </w:p>
    <w:p w14:paraId="6B9F3628" w14:textId="514EFB99" w:rsidR="003D5BC7" w:rsidRPr="00793959" w:rsidRDefault="00D07FDC" w:rsidP="005C32E1">
      <w:pPr>
        <w:pStyle w:val="Normal-pool"/>
        <w:tabs>
          <w:tab w:val="clear" w:pos="1247"/>
          <w:tab w:val="clear" w:pos="1814"/>
          <w:tab w:val="clear" w:pos="2381"/>
          <w:tab w:val="clear" w:pos="2948"/>
          <w:tab w:val="clear" w:pos="3515"/>
          <w:tab w:val="clear" w:pos="4082"/>
          <w:tab w:val="left" w:pos="624"/>
        </w:tabs>
        <w:spacing w:after="120"/>
        <w:rPr>
          <w:color w:val="7030A0"/>
        </w:rPr>
      </w:pPr>
      <w:r>
        <w:t>T</w:t>
      </w:r>
      <w:r w:rsidR="00945B7D" w:rsidRPr="00945B7D">
        <w:t>he platform for the sound management of chemicals and waste beyond 2020 could be broader than the current Strategic Approach, including waste</w:t>
      </w:r>
      <w:r w:rsidR="0035769D">
        <w:t xml:space="preserve"> </w:t>
      </w:r>
      <w:r w:rsidR="00945B7D" w:rsidRPr="00945B7D">
        <w:t>sectors and prevention</w:t>
      </w:r>
      <w:r w:rsidR="0035769D">
        <w:t xml:space="preserve"> </w:t>
      </w:r>
      <w:r w:rsidR="0035769D" w:rsidRPr="005C32E1">
        <w:t>initiatives</w:t>
      </w:r>
      <w:r w:rsidR="00945B7D" w:rsidRPr="005C32E1">
        <w:t>.</w:t>
      </w:r>
      <w:r w:rsidR="00C13F61" w:rsidRPr="005C32E1">
        <w:t xml:space="preserve"> </w:t>
      </w:r>
      <w:r w:rsidR="00945B7D" w:rsidRPr="00945B7D">
        <w:t xml:space="preserve">Further discussion is needed on which aspects of </w:t>
      </w:r>
      <w:r w:rsidR="00EB5133">
        <w:t xml:space="preserve">chemicals and </w:t>
      </w:r>
      <w:r w:rsidR="00945B7D" w:rsidRPr="00945B7D">
        <w:t>waste and the circular economy should be prioritized in the beyond 2020 context</w:t>
      </w:r>
      <w:r w:rsidR="005C32E1">
        <w:t xml:space="preserve">.  </w:t>
      </w:r>
    </w:p>
    <w:p w14:paraId="065DD98B" w14:textId="5D715A72" w:rsidR="00F11142" w:rsidRPr="005A5CB6" w:rsidRDefault="008A4472" w:rsidP="004266FC">
      <w:pPr>
        <w:pStyle w:val="CH1"/>
        <w:ind w:left="624" w:firstLine="0"/>
      </w:pPr>
      <w:r w:rsidDel="008A4472">
        <w:t xml:space="preserve"> </w:t>
      </w:r>
      <w:r w:rsidR="00AA568B">
        <w:t>(</w:t>
      </w:r>
      <w:r w:rsidR="00A35DA0" w:rsidRPr="005A5CB6">
        <w:t>IV</w:t>
      </w:r>
      <w:r w:rsidR="00260078" w:rsidRPr="005A5CB6">
        <w:t>)</w:t>
      </w:r>
      <w:r w:rsidR="001E4C25" w:rsidRPr="005A5CB6">
        <w:t>(</w:t>
      </w:r>
      <w:proofErr w:type="gramStart"/>
      <w:r w:rsidR="005A5CB6">
        <w:t>a</w:t>
      </w:r>
      <w:r w:rsidR="001E4C25" w:rsidRPr="005A5CB6">
        <w:t>)</w:t>
      </w:r>
      <w:r w:rsidR="00260078" w:rsidRPr="005A5CB6">
        <w:t xml:space="preserve">  </w:t>
      </w:r>
      <w:r w:rsidR="00F11142" w:rsidRPr="005A5CB6">
        <w:t>Implementation</w:t>
      </w:r>
      <w:proofErr w:type="gramEnd"/>
      <w:r w:rsidR="00F11142" w:rsidRPr="005A5CB6">
        <w:t xml:space="preserve"> arrangements </w:t>
      </w:r>
    </w:p>
    <w:p w14:paraId="51A7B514" w14:textId="6FB0C548" w:rsidR="00803400" w:rsidRDefault="00803400" w:rsidP="007F5151">
      <w:pPr>
        <w:pStyle w:val="Normalnumber"/>
        <w:numPr>
          <w:ilvl w:val="0"/>
          <w:numId w:val="0"/>
        </w:numPr>
      </w:pPr>
      <w:r w:rsidRPr="00803400">
        <w:t>Implementation arrangemen</w:t>
      </w:r>
      <w:r w:rsidRPr="004266FC">
        <w:t>ts for the current Strategic Appr</w:t>
      </w:r>
      <w:r>
        <w:t>oach are set out in Conference Resolution I/1.</w:t>
      </w:r>
    </w:p>
    <w:p w14:paraId="15D9F619" w14:textId="24CB3A7A" w:rsidR="005300E6" w:rsidRDefault="00672D17" w:rsidP="002E16CD">
      <w:pPr>
        <w:pStyle w:val="Normalnumber"/>
        <w:numPr>
          <w:ilvl w:val="0"/>
          <w:numId w:val="0"/>
        </w:numPr>
      </w:pPr>
      <w:r>
        <w:t>Through the intersessional process, s</w:t>
      </w:r>
      <w:r w:rsidR="00CA5743" w:rsidRPr="00883BA2">
        <w:t xml:space="preserve">takeholders have </w:t>
      </w:r>
      <w:r w:rsidR="00196051">
        <w:t>highlighted</w:t>
      </w:r>
      <w:r w:rsidR="00883BA2" w:rsidRPr="00883BA2">
        <w:t>: (</w:t>
      </w:r>
      <w:proofErr w:type="spellStart"/>
      <w:r w:rsidR="00883BA2" w:rsidRPr="00883BA2">
        <w:t>i</w:t>
      </w:r>
      <w:proofErr w:type="spellEnd"/>
      <w:r w:rsidR="00883BA2" w:rsidRPr="00883BA2">
        <w:t xml:space="preserve">) </w:t>
      </w:r>
      <w:r w:rsidR="00CA5743" w:rsidRPr="00883BA2">
        <w:t>t</w:t>
      </w:r>
      <w:r w:rsidR="009117FE" w:rsidRPr="00883BA2">
        <w:t>he voluntary, flexible, multi-sectoral and multi-stakeholder approach that has been integral to the Strategic Approach should continue</w:t>
      </w:r>
      <w:r w:rsidR="009E788A">
        <w:t xml:space="preserve">, without prejudice to the approaches under other relevant, existing or future, </w:t>
      </w:r>
      <w:r w:rsidR="008C6233">
        <w:t xml:space="preserve">voluntary or legally-binding </w:t>
      </w:r>
      <w:r w:rsidR="009E788A">
        <w:t>instruments</w:t>
      </w:r>
      <w:r w:rsidR="00883BA2" w:rsidRPr="00883BA2">
        <w:t>; (ii) t</w:t>
      </w:r>
      <w:r w:rsidR="001B64B2" w:rsidRPr="004266FC">
        <w:t>he need to promote complementarity and foster coordination with the work of other multilateral environmental agreements or frameworks, whether legally binding or voluntary, while avoiding duplication and overlap</w:t>
      </w:r>
      <w:r w:rsidR="00883BA2" w:rsidRPr="004266FC">
        <w:t xml:space="preserve">; (iii) </w:t>
      </w:r>
      <w:r w:rsidR="002E16CD">
        <w:t xml:space="preserve">collaboration and networking, including at </w:t>
      </w:r>
      <w:r w:rsidR="00883BA2" w:rsidRPr="004266FC">
        <w:t>r</w:t>
      </w:r>
      <w:r w:rsidR="001B64B2" w:rsidRPr="004266FC">
        <w:t>egional</w:t>
      </w:r>
      <w:r w:rsidR="002E16CD">
        <w:t xml:space="preserve"> level, </w:t>
      </w:r>
      <w:r w:rsidR="001B64B2" w:rsidRPr="004266FC">
        <w:t>should be increased in order to share best practices and lessons learned among countries that are facing</w:t>
      </w:r>
      <w:r w:rsidR="002E16CD">
        <w:t>, or have faced,</w:t>
      </w:r>
      <w:r w:rsidR="001B64B2" w:rsidRPr="004266FC">
        <w:t xml:space="preserve"> similar challenges.</w:t>
      </w:r>
      <w:r w:rsidR="00C1049E">
        <w:t xml:space="preserve">  </w:t>
      </w:r>
    </w:p>
    <w:p w14:paraId="724DC5BE" w14:textId="7868CE73" w:rsidR="00EB0F03" w:rsidRDefault="00EB0F03" w:rsidP="00EB0F03">
      <w:pPr>
        <w:pStyle w:val="Normal-pool"/>
        <w:tabs>
          <w:tab w:val="clear" w:pos="1247"/>
          <w:tab w:val="clear" w:pos="1814"/>
          <w:tab w:val="clear" w:pos="2381"/>
          <w:tab w:val="clear" w:pos="2948"/>
          <w:tab w:val="clear" w:pos="3515"/>
          <w:tab w:val="clear" w:pos="4082"/>
          <w:tab w:val="left" w:pos="624"/>
        </w:tabs>
        <w:spacing w:after="120"/>
      </w:pPr>
      <w:r>
        <w:rPr>
          <w:bCs/>
        </w:rPr>
        <w:t xml:space="preserve">It has also been noted that </w:t>
      </w:r>
      <w:r w:rsidRPr="008E32B4">
        <w:rPr>
          <w:bCs/>
        </w:rPr>
        <w:t xml:space="preserve">it will be </w:t>
      </w:r>
      <w:r>
        <w:rPr>
          <w:bCs/>
        </w:rPr>
        <w:t>n</w:t>
      </w:r>
      <w:r w:rsidRPr="008E32B4">
        <w:rPr>
          <w:bCs/>
        </w:rPr>
        <w:t>ecessary to take into account capacity-building, technical cooperation and technology transfer as independent issue</w:t>
      </w:r>
      <w:r>
        <w:rPr>
          <w:bCs/>
        </w:rPr>
        <w:t>s</w:t>
      </w:r>
      <w:r w:rsidRPr="008E32B4">
        <w:rPr>
          <w:bCs/>
        </w:rPr>
        <w:t xml:space="preserve"> besides be</w:t>
      </w:r>
      <w:r>
        <w:rPr>
          <w:bCs/>
        </w:rPr>
        <w:t>ing</w:t>
      </w:r>
      <w:r w:rsidRPr="008E32B4">
        <w:rPr>
          <w:bCs/>
        </w:rPr>
        <w:t xml:space="preserve"> including in the five overarching policy strategy objectives.</w:t>
      </w:r>
    </w:p>
    <w:p w14:paraId="5EF46354" w14:textId="0F974D31" w:rsidR="0036046B" w:rsidRPr="00EE78C6" w:rsidRDefault="0036046B" w:rsidP="001B64B2">
      <w:pPr>
        <w:pStyle w:val="Normal-pool"/>
        <w:tabs>
          <w:tab w:val="clear" w:pos="1247"/>
          <w:tab w:val="clear" w:pos="1814"/>
          <w:tab w:val="clear" w:pos="2381"/>
          <w:tab w:val="clear" w:pos="2948"/>
          <w:tab w:val="clear" w:pos="3515"/>
          <w:tab w:val="clear" w:pos="4082"/>
          <w:tab w:val="left" w:pos="624"/>
        </w:tabs>
        <w:spacing w:after="120"/>
        <w:rPr>
          <w:color w:val="7030A0"/>
        </w:rPr>
      </w:pPr>
      <w:r>
        <w:t xml:space="preserve">Working groups could be established that are responsible for </w:t>
      </w:r>
      <w:r w:rsidR="00CB3516">
        <w:t xml:space="preserve">advancing </w:t>
      </w:r>
      <w:r>
        <w:t xml:space="preserve">individual </w:t>
      </w:r>
      <w:r w:rsidR="00CB3516">
        <w:t xml:space="preserve">or groups of </w:t>
      </w:r>
      <w:r>
        <w:t>objectives, supporting stakeholders to meet the milestones and to report accordingly.</w:t>
      </w:r>
      <w:r w:rsidR="00EE78C6">
        <w:t xml:space="preserve"> </w:t>
      </w:r>
    </w:p>
    <w:p w14:paraId="2E7C5D3F" w14:textId="305AFCFE" w:rsidR="005A5CB6" w:rsidRPr="001B64B2" w:rsidRDefault="001B64B2" w:rsidP="001B64B2">
      <w:pPr>
        <w:pStyle w:val="Normal-pool"/>
        <w:tabs>
          <w:tab w:val="clear" w:pos="1247"/>
          <w:tab w:val="clear" w:pos="1814"/>
          <w:tab w:val="clear" w:pos="2381"/>
          <w:tab w:val="clear" w:pos="2948"/>
          <w:tab w:val="clear" w:pos="3515"/>
          <w:tab w:val="clear" w:pos="4082"/>
          <w:tab w:val="left" w:pos="624"/>
        </w:tabs>
        <w:spacing w:after="120"/>
      </w:pPr>
      <w:r w:rsidRPr="004266FC">
        <w:t>W</w:t>
      </w:r>
      <w:r w:rsidR="005A5CB6" w:rsidRPr="001B64B2">
        <w:t xml:space="preserve">e will be in a </w:t>
      </w:r>
      <w:r w:rsidR="002E16CD">
        <w:t xml:space="preserve">better </w:t>
      </w:r>
      <w:r w:rsidR="005A5CB6" w:rsidRPr="001B64B2">
        <w:t xml:space="preserve">position to consider </w:t>
      </w:r>
      <w:r w:rsidR="00572E61" w:rsidRPr="001B64B2">
        <w:t>where attention needs to be focused</w:t>
      </w:r>
      <w:r w:rsidRPr="004266FC">
        <w:t xml:space="preserve"> for the future implementation arrangements once draft objectives are established and the independent evaluation is available</w:t>
      </w:r>
      <w:r w:rsidR="00572E61" w:rsidRPr="001B64B2">
        <w:t>.</w:t>
      </w:r>
    </w:p>
    <w:p w14:paraId="5EC5FA58" w14:textId="77777777" w:rsidR="00946E85" w:rsidRDefault="001B64B2" w:rsidP="00946E85">
      <w:pPr>
        <w:pStyle w:val="Normalnumber"/>
        <w:numPr>
          <w:ilvl w:val="0"/>
          <w:numId w:val="0"/>
        </w:numPr>
      </w:pPr>
      <w:r w:rsidRPr="001B64B2">
        <w:t>At the same time, a</w:t>
      </w:r>
      <w:r w:rsidR="00572E61" w:rsidRPr="001B64B2">
        <w:t xml:space="preserve"> number of areas relevant to implementation arrangements </w:t>
      </w:r>
      <w:r w:rsidRPr="001B64B2">
        <w:t xml:space="preserve">are listed </w:t>
      </w:r>
      <w:r w:rsidR="00572E61" w:rsidRPr="001B64B2">
        <w:t>below that have been</w:t>
      </w:r>
      <w:r w:rsidR="00572E61">
        <w:t xml:space="preserve"> raised in the discussions to date.</w:t>
      </w:r>
      <w:r w:rsidR="00946E85">
        <w:t xml:space="preserve"> Further discussion in these areas is needed to help advance the overall discussions.</w:t>
      </w:r>
    </w:p>
    <w:p w14:paraId="009C6CD3" w14:textId="25E330C0" w:rsidR="00894D2A" w:rsidRPr="007F5151" w:rsidRDefault="00894D2A" w:rsidP="004266FC">
      <w:pPr>
        <w:pStyle w:val="CH3"/>
        <w:spacing w:before="240"/>
        <w:rPr>
          <w:u w:val="single"/>
        </w:rPr>
      </w:pPr>
      <w:r w:rsidRPr="007F5151">
        <w:rPr>
          <w:u w:val="single"/>
        </w:rPr>
        <w:t>National implementation</w:t>
      </w:r>
    </w:p>
    <w:p w14:paraId="73A0459E" w14:textId="6E39C0E5" w:rsidR="00AD7363" w:rsidRDefault="00AD7363" w:rsidP="00834AB0">
      <w:pPr>
        <w:pStyle w:val="Normal-pool"/>
        <w:tabs>
          <w:tab w:val="clear" w:pos="1247"/>
          <w:tab w:val="clear" w:pos="1814"/>
          <w:tab w:val="clear" w:pos="2381"/>
          <w:tab w:val="clear" w:pos="2948"/>
          <w:tab w:val="clear" w:pos="3515"/>
          <w:tab w:val="clear" w:pos="4082"/>
          <w:tab w:val="left" w:pos="624"/>
        </w:tabs>
        <w:spacing w:after="120"/>
      </w:pPr>
      <w:r>
        <w:t>Strong political ownership through commitments in particular from national governments to implement agreed objectives and milestones as well as the 2030 Agenda have been highlighted</w:t>
      </w:r>
      <w:r w:rsidR="00065E48">
        <w:t xml:space="preserve"> by many stakeholders</w:t>
      </w:r>
      <w:r>
        <w:t>.</w:t>
      </w:r>
    </w:p>
    <w:p w14:paraId="71B583A5" w14:textId="09798978" w:rsidR="0029784F" w:rsidRDefault="00894D2A" w:rsidP="00807D3D">
      <w:pPr>
        <w:pStyle w:val="Normal-pool"/>
        <w:tabs>
          <w:tab w:val="clear" w:pos="1247"/>
          <w:tab w:val="clear" w:pos="1814"/>
          <w:tab w:val="clear" w:pos="2381"/>
          <w:tab w:val="clear" w:pos="2948"/>
          <w:tab w:val="clear" w:pos="3515"/>
          <w:tab w:val="clear" w:pos="4082"/>
          <w:tab w:val="left" w:pos="624"/>
        </w:tabs>
        <w:spacing w:after="120"/>
      </w:pPr>
      <w:r w:rsidRPr="006E4608">
        <w:t xml:space="preserve">National </w:t>
      </w:r>
      <w:r>
        <w:t>a</w:t>
      </w:r>
      <w:r w:rsidRPr="006E4608">
        <w:t xml:space="preserve">ction </w:t>
      </w:r>
      <w:r>
        <w:t>p</w:t>
      </w:r>
      <w:r w:rsidRPr="006E4608">
        <w:t xml:space="preserve">lans were </w:t>
      </w:r>
      <w:r w:rsidR="00223FC9">
        <w:t xml:space="preserve">noted </w:t>
      </w:r>
      <w:r w:rsidRPr="006E4608">
        <w:t xml:space="preserve">as a possible tool </w:t>
      </w:r>
      <w:r>
        <w:t>for</w:t>
      </w:r>
      <w:r w:rsidRPr="006E4608">
        <w:t xml:space="preserve"> address</w:t>
      </w:r>
      <w:r>
        <w:t>ing</w:t>
      </w:r>
      <w:r w:rsidRPr="006E4608">
        <w:t xml:space="preserve"> the sound management of chemicals and waste, focusing in particular on building in-country capacity </w:t>
      </w:r>
      <w:r w:rsidR="00223FC9">
        <w:t xml:space="preserve">to address the 11 </w:t>
      </w:r>
      <w:r w:rsidRPr="006E4608">
        <w:t xml:space="preserve">basic </w:t>
      </w:r>
      <w:r w:rsidR="00223FC9">
        <w:t>elements,</w:t>
      </w:r>
      <w:r w:rsidR="008C6233">
        <w:t xml:space="preserve"> issues of con</w:t>
      </w:r>
      <w:r w:rsidR="00065E48">
        <w:t>c</w:t>
      </w:r>
      <w:r w:rsidR="008C6233">
        <w:t>ern and</w:t>
      </w:r>
      <w:r w:rsidR="00223FC9">
        <w:t xml:space="preserve"> fostering </w:t>
      </w:r>
      <w:proofErr w:type="spellStart"/>
      <w:r w:rsidR="00223FC9">
        <w:t>multisectoral</w:t>
      </w:r>
      <w:proofErr w:type="spellEnd"/>
      <w:r w:rsidR="00223FC9">
        <w:t xml:space="preserve"> and multi-stak</w:t>
      </w:r>
      <w:r w:rsidR="00D51A07">
        <w:t>e</w:t>
      </w:r>
      <w:r w:rsidR="00223FC9">
        <w:t>holder engagement.</w:t>
      </w:r>
      <w:r w:rsidR="002D4DBC">
        <w:t xml:space="preserve"> </w:t>
      </w:r>
      <w:r w:rsidR="00D51A07">
        <w:t xml:space="preserve"> National action plans should build on </w:t>
      </w:r>
      <w:r w:rsidR="00807D3D">
        <w:t xml:space="preserve">any </w:t>
      </w:r>
      <w:r w:rsidR="00D51A07">
        <w:t xml:space="preserve">existing </w:t>
      </w:r>
      <w:r w:rsidR="00807D3D">
        <w:t xml:space="preserve">efforts </w:t>
      </w:r>
      <w:r w:rsidR="00D51A07">
        <w:t xml:space="preserve">under </w:t>
      </w:r>
      <w:r w:rsidR="00807D3D">
        <w:t xml:space="preserve">Strategic Approach, </w:t>
      </w:r>
      <w:r w:rsidR="00D51A07">
        <w:t>the multilateral environmental agreements and other voluntary efforts such as the</w:t>
      </w:r>
      <w:r w:rsidR="0035769D">
        <w:t xml:space="preserve"> </w:t>
      </w:r>
      <w:r w:rsidR="008D57A2" w:rsidRPr="008D57A2">
        <w:t xml:space="preserve">WHO </w:t>
      </w:r>
      <w:r w:rsidR="0035769D">
        <w:t>“R</w:t>
      </w:r>
      <w:r w:rsidR="008D57A2" w:rsidRPr="008D57A2">
        <w:t xml:space="preserve">oad </w:t>
      </w:r>
      <w:r w:rsidR="008D57A2" w:rsidRPr="008D57A2">
        <w:lastRenderedPageBreak/>
        <w:t>map to enhance health sector engagement in the strategic approach to international chemicals management towards the 2020 goal and beyond</w:t>
      </w:r>
      <w:r w:rsidR="0035769D">
        <w:t>”</w:t>
      </w:r>
      <w:r w:rsidR="00D51A07">
        <w:t>.</w:t>
      </w:r>
    </w:p>
    <w:p w14:paraId="39BFE7D0" w14:textId="5852B327" w:rsidR="00EA33BF" w:rsidRPr="007F5151" w:rsidRDefault="00EA33BF" w:rsidP="00C1049E">
      <w:pPr>
        <w:pStyle w:val="CH3"/>
        <w:spacing w:before="240"/>
        <w:ind w:left="0" w:firstLine="0"/>
        <w:rPr>
          <w:u w:val="single"/>
        </w:rPr>
      </w:pPr>
      <w:r w:rsidRPr="007F5151">
        <w:rPr>
          <w:u w:val="single"/>
        </w:rPr>
        <w:t>New and emerging issues</w:t>
      </w:r>
      <w:r w:rsidR="00C1049E">
        <w:rPr>
          <w:u w:val="single"/>
        </w:rPr>
        <w:t xml:space="preserve"> and i</w:t>
      </w:r>
      <w:r w:rsidRPr="007F5151">
        <w:rPr>
          <w:u w:val="single"/>
        </w:rPr>
        <w:t>ssues of concern</w:t>
      </w:r>
    </w:p>
    <w:p w14:paraId="50336622" w14:textId="64E8E666" w:rsidR="001872C1" w:rsidRDefault="001872C1" w:rsidP="003C0A8A">
      <w:pPr>
        <w:pStyle w:val="Normal-pool"/>
        <w:tabs>
          <w:tab w:val="clear" w:pos="1247"/>
          <w:tab w:val="clear" w:pos="1814"/>
          <w:tab w:val="clear" w:pos="2381"/>
          <w:tab w:val="clear" w:pos="2948"/>
          <w:tab w:val="clear" w:pos="3515"/>
          <w:tab w:val="clear" w:pos="4082"/>
          <w:tab w:val="left" w:pos="624"/>
        </w:tabs>
        <w:spacing w:after="120"/>
      </w:pPr>
      <w:r w:rsidRPr="006E4608">
        <w:t xml:space="preserve">Collaborative actions should be fostered on </w:t>
      </w:r>
      <w:r w:rsidR="003C0A8A">
        <w:t>issues of concern</w:t>
      </w:r>
      <w:r w:rsidRPr="006E4608">
        <w:t xml:space="preserve">, </w:t>
      </w:r>
      <w:r>
        <w:t xml:space="preserve">in </w:t>
      </w:r>
      <w:r w:rsidRPr="006E4608">
        <w:t xml:space="preserve">particular issues not currently </w:t>
      </w:r>
      <w:r w:rsidRPr="007028C7">
        <w:t>covered under existing policy frameworks and agreements</w:t>
      </w:r>
      <w:r w:rsidR="00F722D5">
        <w:t xml:space="preserve"> and those identified through </w:t>
      </w:r>
      <w:r w:rsidR="008C6233">
        <w:t xml:space="preserve">the 2030 Agenda for Sustainable Development. </w:t>
      </w:r>
      <w:r w:rsidR="00544F3C" w:rsidRPr="00544F3C">
        <w:t xml:space="preserve">Some stakeholders noted that there may be a need to clarify terminology related to emerging issues </w:t>
      </w:r>
      <w:r w:rsidR="001B5253" w:rsidRPr="00544F3C">
        <w:t>and issues</w:t>
      </w:r>
      <w:r w:rsidR="00544F3C" w:rsidRPr="00544F3C">
        <w:t xml:space="preserve"> of concern</w:t>
      </w:r>
      <w:r w:rsidR="001B5253">
        <w:t>,</w:t>
      </w:r>
      <w:r w:rsidR="00544F3C" w:rsidRPr="00544F3C">
        <w:t xml:space="preserve"> as well as a clearer definition of the requirements for designating such issues. </w:t>
      </w:r>
      <w:r w:rsidR="00F67FAD">
        <w:t xml:space="preserve">The independent evaluation will review the </w:t>
      </w:r>
      <w:r w:rsidR="00D45D96">
        <w:t xml:space="preserve">current </w:t>
      </w:r>
      <w:r w:rsidR="00F67FAD">
        <w:t xml:space="preserve">process of identifying and taking action on new or emerging issues </w:t>
      </w:r>
      <w:r w:rsidR="00C1049E">
        <w:t xml:space="preserve">and issues of concern </w:t>
      </w:r>
      <w:r w:rsidR="00D45D96">
        <w:t xml:space="preserve">within the Strategic Approach </w:t>
      </w:r>
      <w:r w:rsidR="00D51160">
        <w:t xml:space="preserve">and </w:t>
      </w:r>
      <w:r w:rsidR="00F67FAD">
        <w:t xml:space="preserve">will inform </w:t>
      </w:r>
      <w:r w:rsidR="00D51160">
        <w:t xml:space="preserve">discussions </w:t>
      </w:r>
      <w:r w:rsidR="00F67FAD">
        <w:t>in this area.</w:t>
      </w:r>
      <w:r w:rsidR="0039045C">
        <w:t xml:space="preserve"> </w:t>
      </w:r>
    </w:p>
    <w:p w14:paraId="5B135F55" w14:textId="012A89C4" w:rsidR="00C1049E" w:rsidRDefault="00065E48" w:rsidP="003C0A8A">
      <w:pPr>
        <w:pStyle w:val="Normal-pool"/>
        <w:tabs>
          <w:tab w:val="clear" w:pos="1247"/>
          <w:tab w:val="clear" w:pos="1814"/>
          <w:tab w:val="clear" w:pos="2381"/>
          <w:tab w:val="clear" w:pos="2948"/>
          <w:tab w:val="clear" w:pos="3515"/>
          <w:tab w:val="clear" w:pos="4082"/>
          <w:tab w:val="left" w:pos="624"/>
        </w:tabs>
        <w:spacing w:after="120"/>
      </w:pPr>
      <w:r>
        <w:t xml:space="preserve">The future framework </w:t>
      </w:r>
      <w:r w:rsidR="003C0A8A">
        <w:t>c</w:t>
      </w:r>
      <w:r>
        <w:t>ould f</w:t>
      </w:r>
      <w:r w:rsidR="00C1049E">
        <w:t xml:space="preserve">ocus on scientific and technical capacity building </w:t>
      </w:r>
      <w:r>
        <w:t xml:space="preserve">for </w:t>
      </w:r>
      <w:r w:rsidR="003C0A8A">
        <w:t xml:space="preserve">issues of concern </w:t>
      </w:r>
      <w:r w:rsidR="00C1049E">
        <w:t>issues that require global action on specific chemicals and groups of chemicals, taking into account different needs at regional level.</w:t>
      </w:r>
    </w:p>
    <w:p w14:paraId="0F45E678" w14:textId="75ADCEDD" w:rsidR="00572E61" w:rsidRPr="007F5151" w:rsidRDefault="00572E61" w:rsidP="00572E61">
      <w:pPr>
        <w:pStyle w:val="CH3"/>
        <w:spacing w:before="240"/>
        <w:rPr>
          <w:u w:val="single"/>
        </w:rPr>
      </w:pPr>
      <w:r w:rsidRPr="007F5151">
        <w:rPr>
          <w:u w:val="single"/>
        </w:rPr>
        <w:t>Financing</w:t>
      </w:r>
    </w:p>
    <w:p w14:paraId="180DCD93" w14:textId="1DC5C492" w:rsidR="00EB0F03" w:rsidRPr="00EB0F03" w:rsidRDefault="00572E61" w:rsidP="0094628A">
      <w:pPr>
        <w:pStyle w:val="Normal-pool"/>
        <w:tabs>
          <w:tab w:val="clear" w:pos="1247"/>
          <w:tab w:val="clear" w:pos="1814"/>
          <w:tab w:val="clear" w:pos="2381"/>
          <w:tab w:val="clear" w:pos="2948"/>
          <w:tab w:val="clear" w:pos="3515"/>
          <w:tab w:val="clear" w:pos="4082"/>
          <w:tab w:val="left" w:pos="624"/>
        </w:tabs>
        <w:spacing w:after="120"/>
      </w:pPr>
      <w:r w:rsidRPr="006E4608">
        <w:t xml:space="preserve">The implementation of the integrated approach to financing </w:t>
      </w:r>
      <w:r w:rsidR="00EA6466">
        <w:t>for</w:t>
      </w:r>
      <w:r w:rsidR="00EA6466" w:rsidRPr="006E4608">
        <w:t xml:space="preserve"> </w:t>
      </w:r>
      <w:r w:rsidRPr="006E4608">
        <w:t>the sound management of chemicals and waste is essential for financing in the long term.</w:t>
      </w:r>
      <w:r>
        <w:rPr>
          <w:rStyle w:val="FootnoteReference"/>
        </w:rPr>
        <w:footnoteReference w:id="10"/>
      </w:r>
      <w:r w:rsidRPr="006E4608">
        <w:t xml:space="preserve">  </w:t>
      </w:r>
      <w:r w:rsidR="00EB0F03">
        <w:rPr>
          <w:bCs/>
        </w:rPr>
        <w:t>Overall, it will be necessary to provide for sustainable, adequate, comprehensive and predictable financing in the long-term with emphasis on the role of developed countries</w:t>
      </w:r>
      <w:r w:rsidR="00EB0F03" w:rsidRPr="00EB0F03">
        <w:t xml:space="preserve">. </w:t>
      </w:r>
      <w:r w:rsidR="003C0A8A" w:rsidRPr="003C0A8A">
        <w:rPr>
          <w:bCs/>
        </w:rPr>
        <w:t xml:space="preserve">This is especially important </w:t>
      </w:r>
      <w:r w:rsidR="006A5F2F">
        <w:rPr>
          <w:bCs/>
        </w:rPr>
        <w:t>as f</w:t>
      </w:r>
      <w:r w:rsidR="003C0A8A" w:rsidRPr="003C0A8A">
        <w:rPr>
          <w:bCs/>
        </w:rPr>
        <w:t>inancing through the GEF and the Special Programme is limited</w:t>
      </w:r>
      <w:r w:rsidR="006A5F2F">
        <w:rPr>
          <w:bCs/>
        </w:rPr>
        <w:t xml:space="preserve"> and </w:t>
      </w:r>
      <w:r w:rsidR="006A5F2F" w:rsidRPr="003C0A8A">
        <w:rPr>
          <w:bCs/>
        </w:rPr>
        <w:t>the Quick Start Programme</w:t>
      </w:r>
      <w:r w:rsidR="006A5F2F">
        <w:rPr>
          <w:bCs/>
        </w:rPr>
        <w:t xml:space="preserve"> is ending</w:t>
      </w:r>
      <w:r w:rsidR="006A5F2F" w:rsidRPr="003C0A8A">
        <w:rPr>
          <w:bCs/>
        </w:rPr>
        <w:t xml:space="preserve">.  </w:t>
      </w:r>
    </w:p>
    <w:p w14:paraId="22E20273" w14:textId="595A1528" w:rsidR="00572E61" w:rsidRPr="006A5F2F" w:rsidRDefault="002D703C" w:rsidP="00BF6A71">
      <w:pPr>
        <w:pStyle w:val="Normal-pool"/>
        <w:tabs>
          <w:tab w:val="clear" w:pos="1247"/>
          <w:tab w:val="clear" w:pos="1814"/>
          <w:tab w:val="clear" w:pos="2381"/>
          <w:tab w:val="clear" w:pos="2948"/>
          <w:tab w:val="clear" w:pos="3515"/>
          <w:tab w:val="clear" w:pos="4082"/>
          <w:tab w:val="left" w:pos="624"/>
        </w:tabs>
        <w:spacing w:after="120"/>
      </w:pPr>
      <w:r w:rsidRPr="00EB0F03">
        <w:t>In response to</w:t>
      </w:r>
      <w:r w:rsidR="003C0A8A">
        <w:t xml:space="preserve"> a request made at</w:t>
      </w:r>
      <w:r w:rsidRPr="00EB0F03">
        <w:t xml:space="preserve"> the first intersessional meeting, t</w:t>
      </w:r>
      <w:r w:rsidR="007C3E8C" w:rsidRPr="00EB0F03">
        <w:t>he secretariat has developed a document for the second intersessional meeting reflecting on the integrated approach to financing that aims to</w:t>
      </w:r>
      <w:r w:rsidRPr="00EB0F03">
        <w:t xml:space="preserve"> </w:t>
      </w:r>
      <w:r w:rsidR="001B64B2" w:rsidRPr="00EB0F03">
        <w:t>identify</w:t>
      </w:r>
      <w:r w:rsidR="00572E61" w:rsidRPr="00EB0F03">
        <w:t xml:space="preserve"> potential sources of financing resulting from Agenda 2030</w:t>
      </w:r>
      <w:r w:rsidR="005B4DB2" w:rsidRPr="00EB0F03">
        <w:t xml:space="preserve"> and </w:t>
      </w:r>
      <w:r w:rsidR="007C3E8C" w:rsidRPr="00EB0F03">
        <w:t xml:space="preserve">to </w:t>
      </w:r>
      <w:r w:rsidR="00572E61" w:rsidRPr="00EB0F03">
        <w:t>map the indicative basic cost of implementing the sound management of chemicals and wastes beyond 2020.</w:t>
      </w:r>
      <w:r w:rsidR="005B4DB2" w:rsidRPr="00EB0F03">
        <w:t xml:space="preserve"> </w:t>
      </w:r>
      <w:r w:rsidR="00572E61" w:rsidRPr="006A5F2F">
        <w:t xml:space="preserve">This </w:t>
      </w:r>
      <w:r w:rsidR="00EB0F03" w:rsidRPr="006A5F2F">
        <w:t xml:space="preserve">information </w:t>
      </w:r>
      <w:r w:rsidR="00572E61" w:rsidRPr="006A5F2F">
        <w:t>will help inform the intersessional process in this area</w:t>
      </w:r>
      <w:r w:rsidR="0056200D" w:rsidRPr="006A5F2F">
        <w:t>, in addition to other elements such</w:t>
      </w:r>
      <w:r w:rsidR="00572E61" w:rsidRPr="006A5F2F">
        <w:t xml:space="preserve"> as the Q</w:t>
      </w:r>
      <w:r w:rsidR="00DB561A" w:rsidRPr="006A5F2F">
        <w:t>uick Start Programme (Q</w:t>
      </w:r>
      <w:r w:rsidR="00572E61" w:rsidRPr="006A5F2F">
        <w:t>SP</w:t>
      </w:r>
      <w:r w:rsidR="00DB561A" w:rsidRPr="006A5F2F">
        <w:t>)</w:t>
      </w:r>
      <w:r w:rsidR="00572E61" w:rsidRPr="006A5F2F">
        <w:t xml:space="preserve"> Impact Evaluation (2015). </w:t>
      </w:r>
      <w:r w:rsidR="00B56F6F" w:rsidRPr="006A5F2F">
        <w:t xml:space="preserve"> Furthermore, experiences from the</w:t>
      </w:r>
      <w:r w:rsidR="00625DD8" w:rsidRPr="006A5F2F">
        <w:t xml:space="preserve"> Special Programme to support institutional strengthening at the national level for implementation of the Basel, Rotterdam and Stockholm conventions, the </w:t>
      </w:r>
      <w:proofErr w:type="spellStart"/>
      <w:r w:rsidR="00625DD8" w:rsidRPr="006A5F2F">
        <w:t>Minamata</w:t>
      </w:r>
      <w:proofErr w:type="spellEnd"/>
      <w:r w:rsidR="00625DD8" w:rsidRPr="006A5F2F">
        <w:t xml:space="preserve"> Convention and SAICM </w:t>
      </w:r>
      <w:r w:rsidR="00B56F6F" w:rsidRPr="006A5F2F">
        <w:t>will need to be taken into account.</w:t>
      </w:r>
      <w:r w:rsidR="008E32B4" w:rsidRPr="006A5F2F">
        <w:t xml:space="preserve"> </w:t>
      </w:r>
    </w:p>
    <w:p w14:paraId="6A89F68E" w14:textId="22F23562" w:rsidR="006A5F2F" w:rsidRPr="00EB0F03" w:rsidRDefault="006A5F2F" w:rsidP="00BF6A71">
      <w:pPr>
        <w:pStyle w:val="Normal-pool"/>
        <w:tabs>
          <w:tab w:val="clear" w:pos="1247"/>
          <w:tab w:val="clear" w:pos="1814"/>
          <w:tab w:val="clear" w:pos="2381"/>
          <w:tab w:val="clear" w:pos="2948"/>
          <w:tab w:val="clear" w:pos="3515"/>
          <w:tab w:val="clear" w:pos="4082"/>
          <w:tab w:val="left" w:pos="624"/>
        </w:tabs>
        <w:spacing w:after="120"/>
      </w:pPr>
      <w:r w:rsidRPr="006A5F2F">
        <w:t xml:space="preserve">We will be in a better position to assess costs once draft objectives are established and there is </w:t>
      </w:r>
      <w:r>
        <w:t>an understanding of the programme of work for the beyond 2020 framework.</w:t>
      </w:r>
      <w:r w:rsidRPr="00EB0F03">
        <w:t xml:space="preserve"> </w:t>
      </w:r>
    </w:p>
    <w:p w14:paraId="0BB13980" w14:textId="158D990E" w:rsidR="005A5CB6" w:rsidRDefault="001B64B2" w:rsidP="004266FC">
      <w:pPr>
        <w:pStyle w:val="CH1"/>
        <w:ind w:left="1871"/>
      </w:pPr>
      <w:r>
        <w:tab/>
      </w:r>
      <w:r w:rsidR="005A5CB6">
        <w:t>(IV) (b) Governance</w:t>
      </w:r>
    </w:p>
    <w:p w14:paraId="28F79794" w14:textId="31896205" w:rsidR="005A5CB6" w:rsidRDefault="005A5CB6" w:rsidP="00807D3D">
      <w:pPr>
        <w:pStyle w:val="Normal-pool"/>
        <w:tabs>
          <w:tab w:val="clear" w:pos="1247"/>
          <w:tab w:val="clear" w:pos="1814"/>
          <w:tab w:val="clear" w:pos="2381"/>
          <w:tab w:val="clear" w:pos="2948"/>
          <w:tab w:val="clear" w:pos="3515"/>
          <w:tab w:val="clear" w:pos="4082"/>
          <w:tab w:val="left" w:pos="624"/>
        </w:tabs>
        <w:spacing w:after="120"/>
      </w:pPr>
      <w:r>
        <w:t>Within the current Strategic Approach structure, d</w:t>
      </w:r>
      <w:r w:rsidRPr="009D3BB4">
        <w:t>ecision-making rules and other rules of procedure, including those applicable to stakeholder participation</w:t>
      </w:r>
      <w:r>
        <w:t>, have been established through various resolutions of the International Conference on Chemicals Management.  The following table sets out the establishment of</w:t>
      </w:r>
      <w:r w:rsidR="00807D3D">
        <w:t xml:space="preserve"> a number of</w:t>
      </w:r>
      <w:r>
        <w:t xml:space="preserve"> the current governance structures </w:t>
      </w:r>
      <w:r w:rsidR="00807D3D">
        <w:t xml:space="preserve">and mechanisms </w:t>
      </w:r>
      <w:r>
        <w:t>of the Strategic Approach.</w:t>
      </w:r>
    </w:p>
    <w:p w14:paraId="3D7EC575" w14:textId="03A0CC0B" w:rsidR="005A5CB6" w:rsidRPr="00E94BCD" w:rsidRDefault="005A5CB6" w:rsidP="005A5CB6">
      <w:pPr>
        <w:pStyle w:val="Normal-pool"/>
        <w:tabs>
          <w:tab w:val="clear" w:pos="1247"/>
          <w:tab w:val="clear" w:pos="1814"/>
          <w:tab w:val="clear" w:pos="2381"/>
          <w:tab w:val="clear" w:pos="2948"/>
          <w:tab w:val="clear" w:pos="3515"/>
          <w:tab w:val="clear" w:pos="4082"/>
          <w:tab w:val="left" w:pos="624"/>
        </w:tabs>
        <w:spacing w:after="120"/>
        <w:rPr>
          <w:b/>
          <w:bCs/>
        </w:rPr>
      </w:pPr>
      <w:r w:rsidRPr="00E94BCD">
        <w:rPr>
          <w:b/>
          <w:bCs/>
        </w:rPr>
        <w:t>Table 1:  Core govern</w:t>
      </w:r>
      <w:r>
        <w:rPr>
          <w:b/>
          <w:bCs/>
        </w:rPr>
        <w:t xml:space="preserve">ance </w:t>
      </w:r>
      <w:r w:rsidRPr="00E94BCD">
        <w:rPr>
          <w:b/>
          <w:bCs/>
        </w:rPr>
        <w:t>of the Strategic Approach</w:t>
      </w:r>
    </w:p>
    <w:tbl>
      <w:tblPr>
        <w:tblStyle w:val="TableGrid"/>
        <w:tblW w:w="0" w:type="auto"/>
        <w:tblLook w:val="04A0" w:firstRow="1" w:lastRow="0" w:firstColumn="1" w:lastColumn="0" w:noHBand="0" w:noVBand="1"/>
      </w:tblPr>
      <w:tblGrid>
        <w:gridCol w:w="4106"/>
        <w:gridCol w:w="5380"/>
      </w:tblGrid>
      <w:tr w:rsidR="005A5CB6" w:rsidRPr="00E94BCD" w14:paraId="789069B3" w14:textId="77777777" w:rsidTr="00AC6FA3">
        <w:tc>
          <w:tcPr>
            <w:tcW w:w="4106" w:type="dxa"/>
          </w:tcPr>
          <w:p w14:paraId="4369F84A" w14:textId="77777777" w:rsidR="005A5CB6" w:rsidRPr="00E94BCD" w:rsidRDefault="005A5CB6" w:rsidP="00AC6FA3">
            <w:pPr>
              <w:pStyle w:val="Normal-pool"/>
              <w:tabs>
                <w:tab w:val="clear" w:pos="1247"/>
                <w:tab w:val="clear" w:pos="1814"/>
                <w:tab w:val="clear" w:pos="2381"/>
                <w:tab w:val="clear" w:pos="2948"/>
                <w:tab w:val="clear" w:pos="3515"/>
                <w:tab w:val="clear" w:pos="4082"/>
                <w:tab w:val="left" w:pos="624"/>
              </w:tabs>
              <w:spacing w:after="60"/>
              <w:contextualSpacing/>
              <w:rPr>
                <w:rFonts w:ascii="Times New Roman" w:eastAsia="Times New Roman" w:hAnsi="Times New Roman" w:cs="Times New Roman"/>
                <w:sz w:val="20"/>
                <w:szCs w:val="20"/>
                <w:lang w:eastAsia="en-US"/>
              </w:rPr>
            </w:pPr>
            <w:r w:rsidRPr="00E94BCD">
              <w:rPr>
                <w:rFonts w:ascii="Times New Roman" w:eastAsia="Times New Roman" w:hAnsi="Times New Roman" w:cs="Times New Roman"/>
                <w:sz w:val="20"/>
                <w:szCs w:val="20"/>
                <w:lang w:eastAsia="en-US"/>
              </w:rPr>
              <w:t>International Conference on Chemicals Management (ICCM)</w:t>
            </w:r>
          </w:p>
        </w:tc>
        <w:tc>
          <w:tcPr>
            <w:tcW w:w="5380" w:type="dxa"/>
          </w:tcPr>
          <w:p w14:paraId="5367001B" w14:textId="77777777" w:rsidR="005A5CB6" w:rsidRPr="00E94BCD" w:rsidRDefault="005A5CB6" w:rsidP="00AC6FA3">
            <w:pPr>
              <w:pStyle w:val="Normal-pool"/>
              <w:tabs>
                <w:tab w:val="clear" w:pos="1247"/>
                <w:tab w:val="clear" w:pos="1814"/>
                <w:tab w:val="clear" w:pos="2381"/>
                <w:tab w:val="clear" w:pos="2948"/>
                <w:tab w:val="clear" w:pos="3515"/>
                <w:tab w:val="clear" w:pos="4082"/>
                <w:tab w:val="left" w:pos="624"/>
              </w:tabs>
              <w:spacing w:after="60"/>
              <w:contextualSpacing/>
              <w:rPr>
                <w:rFonts w:ascii="Times New Roman" w:eastAsia="Times New Roman" w:hAnsi="Times New Roman" w:cs="Times New Roman"/>
                <w:sz w:val="20"/>
                <w:szCs w:val="20"/>
                <w:lang w:eastAsia="en-US"/>
              </w:rPr>
            </w:pPr>
            <w:r w:rsidRPr="00E94BCD">
              <w:rPr>
                <w:rFonts w:ascii="Times New Roman" w:eastAsia="Times New Roman" w:hAnsi="Times New Roman" w:cs="Times New Roman"/>
                <w:sz w:val="20"/>
                <w:szCs w:val="20"/>
                <w:lang w:eastAsia="en-US"/>
              </w:rPr>
              <w:t>Established in section VII of the Overarching Policy Strategy</w:t>
            </w:r>
          </w:p>
          <w:p w14:paraId="317BE1C1" w14:textId="77777777" w:rsidR="005A5CB6" w:rsidRPr="00E94BCD" w:rsidRDefault="005A5CB6" w:rsidP="00AC6FA3">
            <w:pPr>
              <w:pStyle w:val="Normal-pool"/>
              <w:tabs>
                <w:tab w:val="clear" w:pos="1247"/>
                <w:tab w:val="clear" w:pos="1814"/>
                <w:tab w:val="clear" w:pos="2381"/>
                <w:tab w:val="clear" w:pos="2948"/>
                <w:tab w:val="clear" w:pos="3515"/>
                <w:tab w:val="clear" w:pos="4082"/>
                <w:tab w:val="left" w:pos="624"/>
              </w:tabs>
              <w:spacing w:after="60"/>
              <w:contextualSpacing/>
              <w:rPr>
                <w:rFonts w:ascii="Times New Roman" w:eastAsia="Times New Roman" w:hAnsi="Times New Roman" w:cs="Times New Roman"/>
                <w:sz w:val="20"/>
                <w:szCs w:val="20"/>
                <w:lang w:eastAsia="en-US"/>
              </w:rPr>
            </w:pPr>
            <w:r w:rsidRPr="00E94BCD">
              <w:rPr>
                <w:rFonts w:ascii="Times New Roman" w:eastAsia="Times New Roman" w:hAnsi="Times New Roman" w:cs="Times New Roman"/>
                <w:sz w:val="20"/>
                <w:szCs w:val="20"/>
                <w:lang w:eastAsia="en-US"/>
              </w:rPr>
              <w:t xml:space="preserve">Rules of procedure set in </w:t>
            </w:r>
            <w:r>
              <w:rPr>
                <w:rFonts w:ascii="Times New Roman" w:eastAsia="Times New Roman" w:hAnsi="Times New Roman" w:cs="Times New Roman"/>
                <w:sz w:val="20"/>
                <w:szCs w:val="20"/>
                <w:lang w:eastAsia="en-US"/>
              </w:rPr>
              <w:t xml:space="preserve">Conference </w:t>
            </w:r>
            <w:r w:rsidRPr="00E94BCD">
              <w:rPr>
                <w:rFonts w:ascii="Times New Roman" w:eastAsia="Times New Roman" w:hAnsi="Times New Roman" w:cs="Times New Roman"/>
                <w:sz w:val="20"/>
                <w:szCs w:val="20"/>
                <w:lang w:eastAsia="en-US"/>
              </w:rPr>
              <w:t>Resolution II/1</w:t>
            </w:r>
          </w:p>
        </w:tc>
      </w:tr>
      <w:tr w:rsidR="005A5CB6" w:rsidRPr="00E94BCD" w14:paraId="200A4A71" w14:textId="77777777" w:rsidTr="00AC6FA3">
        <w:tc>
          <w:tcPr>
            <w:tcW w:w="4106" w:type="dxa"/>
          </w:tcPr>
          <w:p w14:paraId="5733E7E5" w14:textId="77777777" w:rsidR="005A5CB6" w:rsidRPr="00E94BCD" w:rsidRDefault="005A5CB6" w:rsidP="00AC6FA3">
            <w:pPr>
              <w:pStyle w:val="Normal-pool"/>
              <w:tabs>
                <w:tab w:val="clear" w:pos="1247"/>
                <w:tab w:val="clear" w:pos="1814"/>
                <w:tab w:val="clear" w:pos="2381"/>
                <w:tab w:val="clear" w:pos="2948"/>
                <w:tab w:val="clear" w:pos="3515"/>
                <w:tab w:val="clear" w:pos="4082"/>
                <w:tab w:val="left" w:pos="624"/>
              </w:tabs>
              <w:spacing w:after="60"/>
              <w:contextualSpacing/>
              <w:rPr>
                <w:rFonts w:ascii="Times New Roman" w:eastAsia="Times New Roman" w:hAnsi="Times New Roman" w:cs="Times New Roman"/>
                <w:sz w:val="20"/>
                <w:szCs w:val="20"/>
                <w:lang w:eastAsia="en-US"/>
              </w:rPr>
            </w:pPr>
            <w:r w:rsidRPr="00E94BCD">
              <w:rPr>
                <w:rFonts w:ascii="Times New Roman" w:eastAsia="Times New Roman" w:hAnsi="Times New Roman" w:cs="Times New Roman"/>
                <w:sz w:val="20"/>
                <w:szCs w:val="20"/>
                <w:lang w:eastAsia="en-US"/>
              </w:rPr>
              <w:t xml:space="preserve">Bureau of the International Conference on Chemicals Management </w:t>
            </w:r>
          </w:p>
        </w:tc>
        <w:tc>
          <w:tcPr>
            <w:tcW w:w="5380" w:type="dxa"/>
          </w:tcPr>
          <w:p w14:paraId="7D541D5F" w14:textId="77777777" w:rsidR="005A5CB6" w:rsidRPr="00E94BCD" w:rsidRDefault="005A5CB6" w:rsidP="00AC6FA3">
            <w:pPr>
              <w:pStyle w:val="Normal-pool"/>
              <w:tabs>
                <w:tab w:val="clear" w:pos="1247"/>
                <w:tab w:val="clear" w:pos="1814"/>
                <w:tab w:val="clear" w:pos="2381"/>
                <w:tab w:val="clear" w:pos="2948"/>
                <w:tab w:val="clear" w:pos="3515"/>
                <w:tab w:val="clear" w:pos="4082"/>
                <w:tab w:val="left" w:pos="624"/>
              </w:tabs>
              <w:spacing w:after="60"/>
              <w:contextualSpacing/>
              <w:rPr>
                <w:rFonts w:ascii="Times New Roman" w:eastAsia="Times New Roman" w:hAnsi="Times New Roman" w:cs="Times New Roman"/>
                <w:sz w:val="20"/>
                <w:szCs w:val="20"/>
                <w:lang w:eastAsia="en-US"/>
              </w:rPr>
            </w:pPr>
            <w:r w:rsidRPr="00E94BCD">
              <w:rPr>
                <w:rFonts w:ascii="Times New Roman" w:eastAsia="Times New Roman" w:hAnsi="Times New Roman" w:cs="Times New Roman"/>
                <w:sz w:val="20"/>
                <w:szCs w:val="20"/>
                <w:lang w:eastAsia="en-US"/>
              </w:rPr>
              <w:t>Established in section VII of the Overarching Policy Strategy</w:t>
            </w:r>
          </w:p>
          <w:p w14:paraId="1EF7B5E8" w14:textId="77777777" w:rsidR="005A5CB6" w:rsidRPr="00E94BCD" w:rsidRDefault="005A5CB6" w:rsidP="00AC6FA3">
            <w:pPr>
              <w:pStyle w:val="Normal-pool"/>
              <w:tabs>
                <w:tab w:val="clear" w:pos="1247"/>
                <w:tab w:val="clear" w:pos="1814"/>
                <w:tab w:val="clear" w:pos="2381"/>
                <w:tab w:val="clear" w:pos="2948"/>
                <w:tab w:val="clear" w:pos="3515"/>
                <w:tab w:val="clear" w:pos="4082"/>
                <w:tab w:val="left" w:pos="624"/>
              </w:tabs>
              <w:spacing w:after="60"/>
              <w:contextualSpacing/>
              <w:rPr>
                <w:rFonts w:ascii="Times New Roman" w:eastAsia="Times New Roman" w:hAnsi="Times New Roman" w:cs="Times New Roman"/>
                <w:sz w:val="20"/>
                <w:szCs w:val="20"/>
                <w:lang w:eastAsia="en-US"/>
              </w:rPr>
            </w:pPr>
            <w:r w:rsidRPr="00E94BCD">
              <w:rPr>
                <w:rFonts w:ascii="Times New Roman" w:eastAsia="Times New Roman" w:hAnsi="Times New Roman" w:cs="Times New Roman"/>
                <w:sz w:val="20"/>
                <w:szCs w:val="20"/>
                <w:lang w:eastAsia="en-US"/>
              </w:rPr>
              <w:t xml:space="preserve">Rules of procedure set in </w:t>
            </w:r>
            <w:r>
              <w:rPr>
                <w:rFonts w:ascii="Times New Roman" w:eastAsia="Times New Roman" w:hAnsi="Times New Roman" w:cs="Times New Roman"/>
                <w:sz w:val="20"/>
                <w:szCs w:val="20"/>
                <w:lang w:eastAsia="en-US"/>
              </w:rPr>
              <w:t xml:space="preserve">Conference </w:t>
            </w:r>
            <w:r w:rsidRPr="00E94BCD">
              <w:rPr>
                <w:rFonts w:ascii="Times New Roman" w:eastAsia="Times New Roman" w:hAnsi="Times New Roman" w:cs="Times New Roman"/>
                <w:sz w:val="20"/>
                <w:szCs w:val="20"/>
                <w:lang w:eastAsia="en-US"/>
              </w:rPr>
              <w:t>Resolution II/1</w:t>
            </w:r>
          </w:p>
        </w:tc>
      </w:tr>
      <w:tr w:rsidR="005A5CB6" w:rsidRPr="00E94BCD" w14:paraId="5CF7D73E" w14:textId="77777777" w:rsidTr="00AC6FA3">
        <w:tc>
          <w:tcPr>
            <w:tcW w:w="4106" w:type="dxa"/>
          </w:tcPr>
          <w:p w14:paraId="45D69DA1" w14:textId="77777777" w:rsidR="005A5CB6" w:rsidRPr="00E94BCD" w:rsidRDefault="005A5CB6" w:rsidP="00AC6FA3">
            <w:pPr>
              <w:pStyle w:val="Normal-pool"/>
              <w:tabs>
                <w:tab w:val="clear" w:pos="1247"/>
                <w:tab w:val="clear" w:pos="1814"/>
                <w:tab w:val="clear" w:pos="2381"/>
                <w:tab w:val="clear" w:pos="2948"/>
                <w:tab w:val="clear" w:pos="3515"/>
                <w:tab w:val="clear" w:pos="4082"/>
                <w:tab w:val="left" w:pos="624"/>
              </w:tabs>
              <w:spacing w:after="60"/>
              <w:contextualSpacing/>
              <w:rPr>
                <w:rFonts w:ascii="Times New Roman" w:eastAsia="Times New Roman" w:hAnsi="Times New Roman" w:cs="Times New Roman"/>
                <w:sz w:val="20"/>
                <w:szCs w:val="20"/>
                <w:lang w:eastAsia="en-US"/>
              </w:rPr>
            </w:pPr>
            <w:r w:rsidRPr="00E94BCD">
              <w:rPr>
                <w:rFonts w:ascii="Times New Roman" w:eastAsia="Times New Roman" w:hAnsi="Times New Roman" w:cs="Times New Roman"/>
                <w:sz w:val="20"/>
                <w:szCs w:val="20"/>
                <w:lang w:eastAsia="en-US"/>
              </w:rPr>
              <w:t>Open-ended Working Group</w:t>
            </w:r>
          </w:p>
        </w:tc>
        <w:tc>
          <w:tcPr>
            <w:tcW w:w="5380" w:type="dxa"/>
          </w:tcPr>
          <w:p w14:paraId="5569F564" w14:textId="77777777" w:rsidR="005A5CB6" w:rsidRPr="00E94BCD" w:rsidRDefault="005A5CB6" w:rsidP="00AC6FA3">
            <w:pPr>
              <w:pStyle w:val="Normal-pool"/>
              <w:tabs>
                <w:tab w:val="clear" w:pos="1247"/>
                <w:tab w:val="clear" w:pos="1814"/>
                <w:tab w:val="clear" w:pos="2381"/>
                <w:tab w:val="clear" w:pos="2948"/>
                <w:tab w:val="clear" w:pos="3515"/>
                <w:tab w:val="clear" w:pos="4082"/>
                <w:tab w:val="left" w:pos="624"/>
              </w:tabs>
              <w:spacing w:after="60"/>
              <w:contextualSpacing/>
              <w:rPr>
                <w:rFonts w:ascii="Times New Roman" w:eastAsia="Times New Roman" w:hAnsi="Times New Roman" w:cs="Times New Roman"/>
                <w:sz w:val="20"/>
                <w:szCs w:val="20"/>
                <w:lang w:eastAsia="en-US"/>
              </w:rPr>
            </w:pPr>
            <w:r w:rsidRPr="00E94BCD">
              <w:rPr>
                <w:rFonts w:ascii="Times New Roman" w:eastAsia="Times New Roman" w:hAnsi="Times New Roman" w:cs="Times New Roman"/>
                <w:sz w:val="20"/>
                <w:szCs w:val="20"/>
                <w:lang w:eastAsia="en-US"/>
              </w:rPr>
              <w:t xml:space="preserve">Established in </w:t>
            </w:r>
            <w:r>
              <w:rPr>
                <w:rFonts w:ascii="Times New Roman" w:eastAsia="Times New Roman" w:hAnsi="Times New Roman" w:cs="Times New Roman"/>
                <w:sz w:val="20"/>
                <w:szCs w:val="20"/>
                <w:lang w:eastAsia="en-US"/>
              </w:rPr>
              <w:t xml:space="preserve">Conference </w:t>
            </w:r>
            <w:r w:rsidRPr="00E94BCD">
              <w:rPr>
                <w:rFonts w:ascii="Times New Roman" w:eastAsia="Times New Roman" w:hAnsi="Times New Roman" w:cs="Times New Roman"/>
                <w:sz w:val="20"/>
                <w:szCs w:val="20"/>
                <w:lang w:eastAsia="en-US"/>
              </w:rPr>
              <w:t>Resolution II/6</w:t>
            </w:r>
          </w:p>
        </w:tc>
      </w:tr>
      <w:tr w:rsidR="005A5CB6" w14:paraId="26DB57A5" w14:textId="77777777" w:rsidTr="00AC6FA3">
        <w:tc>
          <w:tcPr>
            <w:tcW w:w="4106" w:type="dxa"/>
          </w:tcPr>
          <w:p w14:paraId="2B093E2A" w14:textId="77777777" w:rsidR="005A5CB6" w:rsidRPr="000A7B8F" w:rsidRDefault="005A5CB6" w:rsidP="00AC6FA3">
            <w:pPr>
              <w:pStyle w:val="Normal-pool"/>
              <w:tabs>
                <w:tab w:val="clear" w:pos="1247"/>
                <w:tab w:val="clear" w:pos="1814"/>
                <w:tab w:val="clear" w:pos="2381"/>
                <w:tab w:val="clear" w:pos="2948"/>
                <w:tab w:val="clear" w:pos="3515"/>
                <w:tab w:val="clear" w:pos="4082"/>
                <w:tab w:val="left" w:pos="624"/>
              </w:tabs>
              <w:spacing w:after="60"/>
              <w:contextualSpacing/>
              <w:rPr>
                <w:rFonts w:ascii="Times New Roman" w:eastAsia="Times New Roman" w:hAnsi="Times New Roman" w:cs="Times New Roman"/>
                <w:sz w:val="20"/>
                <w:szCs w:val="20"/>
                <w:lang w:eastAsia="en-US"/>
              </w:rPr>
            </w:pPr>
            <w:r w:rsidRPr="000A7B8F">
              <w:rPr>
                <w:rFonts w:ascii="Times New Roman" w:eastAsia="Times New Roman" w:hAnsi="Times New Roman" w:cs="Times New Roman"/>
                <w:sz w:val="20"/>
                <w:szCs w:val="20"/>
                <w:lang w:eastAsia="en-US"/>
              </w:rPr>
              <w:t>Regional coordination</w:t>
            </w:r>
          </w:p>
        </w:tc>
        <w:tc>
          <w:tcPr>
            <w:tcW w:w="5380" w:type="dxa"/>
          </w:tcPr>
          <w:p w14:paraId="1CA2A687" w14:textId="77777777" w:rsidR="005A5CB6" w:rsidRPr="000A7B8F" w:rsidRDefault="005A5CB6" w:rsidP="00AC6FA3">
            <w:pPr>
              <w:pStyle w:val="Normal-pool"/>
              <w:tabs>
                <w:tab w:val="clear" w:pos="1247"/>
                <w:tab w:val="clear" w:pos="1814"/>
                <w:tab w:val="clear" w:pos="2381"/>
                <w:tab w:val="clear" w:pos="2948"/>
                <w:tab w:val="clear" w:pos="3515"/>
                <w:tab w:val="clear" w:pos="4082"/>
                <w:tab w:val="left" w:pos="624"/>
              </w:tabs>
              <w:spacing w:after="60"/>
              <w:contextualSpacing/>
              <w:rPr>
                <w:rFonts w:ascii="Times New Roman" w:eastAsia="Times New Roman" w:hAnsi="Times New Roman" w:cs="Times New Roman"/>
                <w:sz w:val="20"/>
                <w:szCs w:val="20"/>
                <w:lang w:eastAsia="en-US"/>
              </w:rPr>
            </w:pPr>
            <w:r w:rsidRPr="000A7B8F">
              <w:rPr>
                <w:rFonts w:ascii="Times New Roman" w:eastAsia="Times New Roman" w:hAnsi="Times New Roman" w:cs="Times New Roman"/>
                <w:sz w:val="20"/>
                <w:szCs w:val="20"/>
                <w:lang w:eastAsia="en-US"/>
              </w:rPr>
              <w:t>Established in Conference Resolution II/2</w:t>
            </w:r>
          </w:p>
        </w:tc>
      </w:tr>
      <w:tr w:rsidR="005A5CB6" w:rsidRPr="00E94BCD" w14:paraId="2745BB9A" w14:textId="77777777" w:rsidTr="00AC6FA3">
        <w:tc>
          <w:tcPr>
            <w:tcW w:w="4106" w:type="dxa"/>
          </w:tcPr>
          <w:p w14:paraId="47BE1D2C" w14:textId="77777777" w:rsidR="005A5CB6" w:rsidRPr="00E94BCD" w:rsidRDefault="005A5CB6" w:rsidP="00AC6FA3">
            <w:pPr>
              <w:pStyle w:val="Normal-pool"/>
              <w:tabs>
                <w:tab w:val="clear" w:pos="1247"/>
                <w:tab w:val="clear" w:pos="1814"/>
                <w:tab w:val="clear" w:pos="2381"/>
                <w:tab w:val="clear" w:pos="2948"/>
                <w:tab w:val="clear" w:pos="3515"/>
                <w:tab w:val="clear" w:pos="4082"/>
                <w:tab w:val="left" w:pos="624"/>
              </w:tabs>
              <w:spacing w:after="60"/>
              <w:contextualSpacing/>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Strategic Approach secretariat</w:t>
            </w:r>
          </w:p>
        </w:tc>
        <w:tc>
          <w:tcPr>
            <w:tcW w:w="5380" w:type="dxa"/>
          </w:tcPr>
          <w:p w14:paraId="6371FEB8" w14:textId="77777777" w:rsidR="005A5CB6" w:rsidRPr="00E94BCD" w:rsidRDefault="005A5CB6" w:rsidP="00AC6FA3">
            <w:pPr>
              <w:pStyle w:val="Normal-pool"/>
              <w:tabs>
                <w:tab w:val="clear" w:pos="1247"/>
                <w:tab w:val="clear" w:pos="1814"/>
                <w:tab w:val="clear" w:pos="2381"/>
                <w:tab w:val="clear" w:pos="2948"/>
                <w:tab w:val="clear" w:pos="3515"/>
                <w:tab w:val="clear" w:pos="4082"/>
                <w:tab w:val="left" w:pos="624"/>
              </w:tabs>
              <w:spacing w:after="60"/>
              <w:contextualSpacing/>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Established in Conference Resolution I/1</w:t>
            </w:r>
          </w:p>
        </w:tc>
      </w:tr>
      <w:tr w:rsidR="003544FB" w:rsidRPr="00E94BCD" w14:paraId="482696A3" w14:textId="77777777" w:rsidTr="00AC6FA3">
        <w:tc>
          <w:tcPr>
            <w:tcW w:w="4106" w:type="dxa"/>
          </w:tcPr>
          <w:p w14:paraId="3686247A" w14:textId="599E287E" w:rsidR="003544FB" w:rsidRPr="00BF6A71" w:rsidRDefault="003544FB" w:rsidP="00AC6FA3">
            <w:pPr>
              <w:pStyle w:val="Normal-pool"/>
              <w:tabs>
                <w:tab w:val="clear" w:pos="1247"/>
                <w:tab w:val="clear" w:pos="1814"/>
                <w:tab w:val="clear" w:pos="2381"/>
                <w:tab w:val="clear" w:pos="2948"/>
                <w:tab w:val="clear" w:pos="3515"/>
                <w:tab w:val="clear" w:pos="4082"/>
                <w:tab w:val="left" w:pos="624"/>
              </w:tabs>
              <w:spacing w:after="60"/>
              <w:contextualSpacing/>
              <w:rPr>
                <w:rFonts w:ascii="Times New Roman" w:eastAsia="Times New Roman" w:hAnsi="Times New Roman" w:cs="Times New Roman"/>
                <w:sz w:val="20"/>
                <w:szCs w:val="20"/>
                <w:lang w:eastAsia="en-US"/>
              </w:rPr>
            </w:pPr>
            <w:r w:rsidRPr="00BF6A71">
              <w:rPr>
                <w:rFonts w:ascii="Times New Roman" w:eastAsia="Times New Roman" w:hAnsi="Times New Roman" w:cs="Times New Roman"/>
                <w:sz w:val="20"/>
                <w:szCs w:val="20"/>
                <w:lang w:eastAsia="en-US"/>
              </w:rPr>
              <w:t>Rules of Procedure for the ICCM</w:t>
            </w:r>
          </w:p>
        </w:tc>
        <w:tc>
          <w:tcPr>
            <w:tcW w:w="5380" w:type="dxa"/>
          </w:tcPr>
          <w:p w14:paraId="533234F6" w14:textId="110F5705" w:rsidR="003544FB" w:rsidRPr="00BF6A71" w:rsidRDefault="00BF6A71" w:rsidP="00BF6A71">
            <w:pPr>
              <w:pStyle w:val="Normal-pool"/>
              <w:tabs>
                <w:tab w:val="clear" w:pos="1247"/>
                <w:tab w:val="clear" w:pos="1814"/>
                <w:tab w:val="clear" w:pos="2381"/>
                <w:tab w:val="clear" w:pos="2948"/>
                <w:tab w:val="clear" w:pos="3515"/>
                <w:tab w:val="clear" w:pos="4082"/>
                <w:tab w:val="left" w:pos="624"/>
              </w:tabs>
              <w:spacing w:after="60"/>
              <w:contextualSpacing/>
              <w:rPr>
                <w:rFonts w:ascii="Times New Roman" w:eastAsia="Times New Roman" w:hAnsi="Times New Roman" w:cs="Times New Roman"/>
                <w:sz w:val="20"/>
                <w:szCs w:val="20"/>
                <w:lang w:eastAsia="en-US"/>
              </w:rPr>
            </w:pPr>
            <w:r w:rsidRPr="00BF6A71">
              <w:rPr>
                <w:rFonts w:ascii="Times New Roman" w:eastAsia="Times New Roman" w:hAnsi="Times New Roman" w:cs="Times New Roman"/>
                <w:sz w:val="20"/>
                <w:szCs w:val="20"/>
                <w:lang w:eastAsia="en-US"/>
              </w:rPr>
              <w:t>Established in Conference Resolution II/1</w:t>
            </w:r>
          </w:p>
        </w:tc>
      </w:tr>
    </w:tbl>
    <w:p w14:paraId="1E048F46" w14:textId="77777777" w:rsidR="00BF6A71" w:rsidRDefault="00BF6A71" w:rsidP="00196051">
      <w:pPr>
        <w:pStyle w:val="Normal-pool"/>
        <w:tabs>
          <w:tab w:val="clear" w:pos="1247"/>
          <w:tab w:val="clear" w:pos="1814"/>
          <w:tab w:val="clear" w:pos="2381"/>
          <w:tab w:val="clear" w:pos="2948"/>
          <w:tab w:val="clear" w:pos="3515"/>
          <w:tab w:val="clear" w:pos="4082"/>
          <w:tab w:val="left" w:pos="624"/>
        </w:tabs>
        <w:spacing w:after="120"/>
      </w:pPr>
    </w:p>
    <w:p w14:paraId="33997242" w14:textId="6BA7C384" w:rsidR="001B64B2" w:rsidRDefault="005A5CB6" w:rsidP="00196051">
      <w:pPr>
        <w:pStyle w:val="Normal-pool"/>
        <w:tabs>
          <w:tab w:val="clear" w:pos="1247"/>
          <w:tab w:val="clear" w:pos="1814"/>
          <w:tab w:val="clear" w:pos="2381"/>
          <w:tab w:val="clear" w:pos="2948"/>
          <w:tab w:val="clear" w:pos="3515"/>
          <w:tab w:val="clear" w:pos="4082"/>
          <w:tab w:val="left" w:pos="624"/>
        </w:tabs>
        <w:spacing w:after="120"/>
      </w:pPr>
      <w:r>
        <w:t xml:space="preserve">Once the objectives are </w:t>
      </w:r>
      <w:r w:rsidR="00AC6FA3">
        <w:t xml:space="preserve">drafted </w:t>
      </w:r>
      <w:r>
        <w:t xml:space="preserve">and the independent evaluation is available, we will be </w:t>
      </w:r>
      <w:r w:rsidR="00196051">
        <w:t xml:space="preserve">able to </w:t>
      </w:r>
      <w:r w:rsidR="001B64B2">
        <w:t xml:space="preserve">reflect </w:t>
      </w:r>
      <w:r w:rsidR="00BE7751">
        <w:t xml:space="preserve">better </w:t>
      </w:r>
      <w:r w:rsidR="002001C7">
        <w:t xml:space="preserve">on </w:t>
      </w:r>
      <w:r w:rsidR="001B64B2">
        <w:t xml:space="preserve">and consider the desired form of the future governance arrangements.  </w:t>
      </w:r>
    </w:p>
    <w:p w14:paraId="7BE65B47" w14:textId="2092D2F4" w:rsidR="00BE7751" w:rsidRDefault="00A92411" w:rsidP="003544FB">
      <w:pPr>
        <w:pStyle w:val="Normal-pool"/>
        <w:tabs>
          <w:tab w:val="clear" w:pos="1247"/>
          <w:tab w:val="clear" w:pos="1814"/>
          <w:tab w:val="clear" w:pos="2381"/>
          <w:tab w:val="clear" w:pos="2948"/>
          <w:tab w:val="clear" w:pos="3515"/>
          <w:tab w:val="clear" w:pos="4082"/>
          <w:tab w:val="left" w:pos="624"/>
        </w:tabs>
        <w:spacing w:after="120"/>
      </w:pPr>
      <w:r>
        <w:t xml:space="preserve">At the same time, discussions should not be limited to the governance of the current Strategic Approach, as the subject matter requires the active involvement and action by many organizations.  </w:t>
      </w:r>
    </w:p>
    <w:p w14:paraId="684DDA8E" w14:textId="3F2428DE" w:rsidR="00A92411" w:rsidRDefault="00BE7751" w:rsidP="00BE7751">
      <w:pPr>
        <w:pStyle w:val="Normal-pool"/>
        <w:tabs>
          <w:tab w:val="clear" w:pos="1247"/>
          <w:tab w:val="clear" w:pos="1814"/>
          <w:tab w:val="clear" w:pos="2381"/>
          <w:tab w:val="clear" w:pos="2948"/>
          <w:tab w:val="clear" w:pos="3515"/>
          <w:tab w:val="clear" w:pos="4082"/>
          <w:tab w:val="left" w:pos="624"/>
        </w:tabs>
        <w:spacing w:after="120"/>
      </w:pPr>
      <w:r w:rsidRPr="00882F2A">
        <w:lastRenderedPageBreak/>
        <w:t xml:space="preserve">The continued and improved implementation of the Basel, Rotterdam and Stockholm Conventions as well as implementation of the </w:t>
      </w:r>
      <w:proofErr w:type="spellStart"/>
      <w:r w:rsidRPr="00882F2A">
        <w:t>Minamata</w:t>
      </w:r>
      <w:proofErr w:type="spellEnd"/>
      <w:r w:rsidRPr="00882F2A">
        <w:t xml:space="preserve"> Convention will also be essential in </w:t>
      </w:r>
      <w:r w:rsidR="006838AE">
        <w:t xml:space="preserve">implementing elements of </w:t>
      </w:r>
      <w:r w:rsidRPr="00882F2A">
        <w:t xml:space="preserve">the beyond 2020 framework.  </w:t>
      </w:r>
    </w:p>
    <w:p w14:paraId="5C9BC888" w14:textId="722426AF" w:rsidR="00C1049E" w:rsidRPr="00C1049E" w:rsidRDefault="00C1049E" w:rsidP="003D5CD8">
      <w:pPr>
        <w:pStyle w:val="Normal-pool"/>
        <w:tabs>
          <w:tab w:val="clear" w:pos="1247"/>
          <w:tab w:val="clear" w:pos="1814"/>
          <w:tab w:val="clear" w:pos="2381"/>
          <w:tab w:val="clear" w:pos="2948"/>
          <w:tab w:val="clear" w:pos="3515"/>
          <w:tab w:val="clear" w:pos="4082"/>
          <w:tab w:val="left" w:pos="624"/>
        </w:tabs>
        <w:spacing w:after="120"/>
        <w:rPr>
          <w:b/>
          <w:bCs/>
          <w:u w:val="single"/>
        </w:rPr>
      </w:pPr>
      <w:r w:rsidRPr="00C1049E">
        <w:rPr>
          <w:b/>
          <w:bCs/>
          <w:u w:val="single"/>
        </w:rPr>
        <w:t>Promoting broader participation</w:t>
      </w:r>
    </w:p>
    <w:p w14:paraId="1756180C" w14:textId="68F80B4B" w:rsidR="00C1049E" w:rsidRDefault="00C1049E" w:rsidP="00C1049E">
      <w:pPr>
        <w:pStyle w:val="Normalnumber"/>
        <w:numPr>
          <w:ilvl w:val="0"/>
          <w:numId w:val="0"/>
        </w:numPr>
      </w:pPr>
      <w:r w:rsidRPr="004266FC">
        <w:t xml:space="preserve">Stakeholders have expressed that, functionally, the design for </w:t>
      </w:r>
      <w:r>
        <w:t>an approach b</w:t>
      </w:r>
      <w:r w:rsidRPr="004266FC">
        <w:t>eyond 2020 should promote broader participation in general and encourage wider sectoral participation at all levels (national, regional and global</w:t>
      </w:r>
      <w:r>
        <w:t>)</w:t>
      </w:r>
      <w:r w:rsidRPr="004266FC">
        <w:t xml:space="preserve">, </w:t>
      </w:r>
      <w:r>
        <w:t xml:space="preserve">along with a targeted approach </w:t>
      </w:r>
      <w:r w:rsidRPr="004266FC">
        <w:t>as an essential means of promoting</w:t>
      </w:r>
      <w:r>
        <w:t xml:space="preserve"> impact,</w:t>
      </w:r>
      <w:r w:rsidRPr="004266FC">
        <w:t xml:space="preserve"> </w:t>
      </w:r>
      <w:r>
        <w:t>effectiveness</w:t>
      </w:r>
      <w:r w:rsidRPr="004266FC">
        <w:t>,</w:t>
      </w:r>
      <w:r>
        <w:t xml:space="preserve"> accountability,</w:t>
      </w:r>
      <w:r w:rsidRPr="004266FC">
        <w:t xml:space="preserve"> involvement</w:t>
      </w:r>
      <w:r>
        <w:t xml:space="preserve"> </w:t>
      </w:r>
      <w:r w:rsidRPr="004266FC">
        <w:t>and commitment.</w:t>
      </w:r>
    </w:p>
    <w:p w14:paraId="0FCB652F" w14:textId="71ECBCE1" w:rsidR="003358B6" w:rsidRDefault="003358B6" w:rsidP="00A92411">
      <w:pPr>
        <w:pStyle w:val="Normalnumber"/>
        <w:numPr>
          <w:ilvl w:val="0"/>
          <w:numId w:val="0"/>
        </w:numPr>
      </w:pPr>
      <w:r>
        <w:t xml:space="preserve">Involvement of the private sector is not only about the chemical industry. The role and responsibility of the chemical industry is essential and should be extended to and complemented by an equally important role of downstream users within the value chain (textiles, toys, furniture, food, packaging, building </w:t>
      </w:r>
      <w:proofErr w:type="spellStart"/>
      <w:r>
        <w:t>etc</w:t>
      </w:r>
      <w:proofErr w:type="spellEnd"/>
      <w:r>
        <w:t>).</w:t>
      </w:r>
      <w:r w:rsidR="00730F40">
        <w:t xml:space="preserve"> </w:t>
      </w:r>
    </w:p>
    <w:p w14:paraId="14913C3C" w14:textId="77777777" w:rsidR="002440A1" w:rsidRPr="004266FC" w:rsidRDefault="002440A1" w:rsidP="002440A1">
      <w:pPr>
        <w:pStyle w:val="Normal-pool"/>
        <w:tabs>
          <w:tab w:val="clear" w:pos="1247"/>
          <w:tab w:val="clear" w:pos="1814"/>
          <w:tab w:val="clear" w:pos="2381"/>
          <w:tab w:val="clear" w:pos="2948"/>
          <w:tab w:val="clear" w:pos="3515"/>
          <w:tab w:val="clear" w:pos="4082"/>
          <w:tab w:val="left" w:pos="624"/>
        </w:tabs>
        <w:spacing w:after="120"/>
        <w:rPr>
          <w:b/>
          <w:bCs/>
          <w:u w:val="single"/>
        </w:rPr>
      </w:pPr>
      <w:r w:rsidRPr="004266FC">
        <w:rPr>
          <w:b/>
          <w:bCs/>
          <w:u w:val="single"/>
        </w:rPr>
        <w:t>Science-policy interface</w:t>
      </w:r>
    </w:p>
    <w:p w14:paraId="22C0884A" w14:textId="77777777" w:rsidR="002440A1" w:rsidRDefault="002440A1" w:rsidP="002440A1">
      <w:pPr>
        <w:pStyle w:val="Normal-pool"/>
        <w:tabs>
          <w:tab w:val="clear" w:pos="1247"/>
          <w:tab w:val="clear" w:pos="1814"/>
          <w:tab w:val="clear" w:pos="2381"/>
          <w:tab w:val="clear" w:pos="2948"/>
          <w:tab w:val="clear" w:pos="3515"/>
          <w:tab w:val="clear" w:pos="4082"/>
          <w:tab w:val="left" w:pos="624"/>
        </w:tabs>
        <w:spacing w:after="120"/>
      </w:pPr>
      <w:r>
        <w:t>The</w:t>
      </w:r>
      <w:r w:rsidRPr="00803400">
        <w:t xml:space="preserve"> need to explore opportunities to s</w:t>
      </w:r>
      <w:r w:rsidRPr="00803400" w:rsidDel="00F1753C">
        <w:t>trengthen</w:t>
      </w:r>
      <w:r w:rsidRPr="00803400">
        <w:t xml:space="preserve"> </w:t>
      </w:r>
      <w:r w:rsidRPr="00803400" w:rsidDel="00F1753C">
        <w:t>the link between science</w:t>
      </w:r>
      <w:r w:rsidRPr="00803400">
        <w:t>, public health, socio-economic</w:t>
      </w:r>
      <w:r>
        <w:t xml:space="preserve"> information</w:t>
      </w:r>
      <w:r w:rsidRPr="006E4608" w:rsidDel="00F1753C">
        <w:t xml:space="preserve"> and policy</w:t>
      </w:r>
      <w:r w:rsidRPr="006E4608">
        <w:t xml:space="preserve"> </w:t>
      </w:r>
      <w:r w:rsidRPr="006E4608" w:rsidDel="00F1753C">
        <w:t xml:space="preserve">in chemicals </w:t>
      </w:r>
      <w:r w:rsidRPr="006E4608">
        <w:t xml:space="preserve">and waste </w:t>
      </w:r>
      <w:r w:rsidRPr="006E4608" w:rsidDel="00F1753C">
        <w:t>governance</w:t>
      </w:r>
      <w:r>
        <w:t xml:space="preserve"> has also been identified, with particular emphasis on decision-making at the national level and, at the multilateral level, without interfering with the tasks of </w:t>
      </w:r>
      <w:r w:rsidRPr="006E4608">
        <w:t xml:space="preserve">existing mechanisms for </w:t>
      </w:r>
      <w:r>
        <w:t xml:space="preserve">the </w:t>
      </w:r>
      <w:r w:rsidRPr="006E4608">
        <w:t xml:space="preserve">provision of </w:t>
      </w:r>
      <w:r>
        <w:t xml:space="preserve">reliable, scientifically valid and evidence-based </w:t>
      </w:r>
      <w:r w:rsidRPr="006E4608">
        <w:t xml:space="preserve">advice on chemicals and waste </w:t>
      </w:r>
      <w:r>
        <w:t xml:space="preserve">management </w:t>
      </w:r>
      <w:r w:rsidRPr="006E4608">
        <w:t>by intergovernmental and international bodies such UNEP, WHO</w:t>
      </w:r>
      <w:r>
        <w:t>, OECD</w:t>
      </w:r>
      <w:r w:rsidRPr="006E4608">
        <w:t xml:space="preserve"> and the chemicals and wastes conventions.</w:t>
      </w:r>
      <w:r>
        <w:t xml:space="preserve">  </w:t>
      </w:r>
    </w:p>
    <w:p w14:paraId="4F394517" w14:textId="77777777" w:rsidR="002440A1" w:rsidRDefault="002440A1" w:rsidP="002440A1">
      <w:pPr>
        <w:pStyle w:val="Normal-pool"/>
        <w:tabs>
          <w:tab w:val="clear" w:pos="1247"/>
          <w:tab w:val="clear" w:pos="1814"/>
          <w:tab w:val="clear" w:pos="2381"/>
          <w:tab w:val="clear" w:pos="2948"/>
          <w:tab w:val="clear" w:pos="3515"/>
          <w:tab w:val="clear" w:pos="4082"/>
          <w:tab w:val="left" w:pos="624"/>
        </w:tabs>
        <w:spacing w:after="120"/>
      </w:pPr>
      <w:r>
        <w:t>The secretariat was requested to develop a</w:t>
      </w:r>
      <w:r w:rsidRPr="007F5151">
        <w:t xml:space="preserve">n information document on the science-policy interfaces in other clusters such as climate change, biodiversity and other relevant areas for the second meeting of the intersessional process. </w:t>
      </w:r>
      <w:r>
        <w:t xml:space="preserve"> In addition, the </w:t>
      </w:r>
      <w:r w:rsidRPr="00D51A07">
        <w:t xml:space="preserve">WHO, UNEP, and </w:t>
      </w:r>
      <w:r>
        <w:t>chemicals and wastes</w:t>
      </w:r>
      <w:r w:rsidRPr="00D51A07">
        <w:t xml:space="preserve"> secretariat</w:t>
      </w:r>
      <w:r>
        <w:t xml:space="preserve">s </w:t>
      </w:r>
      <w:r w:rsidRPr="00D51A07">
        <w:t>are planning a paper on the science-policy interface on chemicals.</w:t>
      </w:r>
      <w:r>
        <w:t xml:space="preserve"> In considering options in this area, stakeholders should consider both the functions and the value-added of any new mechanism or body.  </w:t>
      </w:r>
    </w:p>
    <w:p w14:paraId="314BC481" w14:textId="27E5DB9D" w:rsidR="00B94E22" w:rsidRDefault="004549F3" w:rsidP="00834AB0">
      <w:pPr>
        <w:pStyle w:val="CH1"/>
        <w:ind w:left="624" w:firstLine="0"/>
      </w:pPr>
      <w:r>
        <w:tab/>
      </w:r>
      <w:r w:rsidR="00B94E22">
        <w:t>(</w:t>
      </w:r>
      <w:r w:rsidR="00A35DA0">
        <w:t>V</w:t>
      </w:r>
      <w:r w:rsidR="00B94E22">
        <w:t xml:space="preserve">)  </w:t>
      </w:r>
      <w:r w:rsidR="00B94E22" w:rsidRPr="00260078">
        <w:t>High-level political commitment</w:t>
      </w:r>
      <w:r w:rsidR="00B94E22">
        <w:t xml:space="preserve"> and visibility</w:t>
      </w:r>
    </w:p>
    <w:p w14:paraId="42BE4B2D" w14:textId="6F012E4B" w:rsidR="00B94E22" w:rsidRDefault="00CB4C63" w:rsidP="00080C27">
      <w:pPr>
        <w:pStyle w:val="Normal-pool"/>
        <w:tabs>
          <w:tab w:val="clear" w:pos="1247"/>
          <w:tab w:val="clear" w:pos="1814"/>
          <w:tab w:val="clear" w:pos="2381"/>
          <w:tab w:val="clear" w:pos="2948"/>
          <w:tab w:val="clear" w:pos="3515"/>
          <w:tab w:val="clear" w:pos="4082"/>
          <w:tab w:val="left" w:pos="624"/>
        </w:tabs>
        <w:spacing w:after="120"/>
      </w:pPr>
      <w:r>
        <w:t>P</w:t>
      </w:r>
      <w:r w:rsidR="00B94E22">
        <w:t xml:space="preserve">olitical commitment </w:t>
      </w:r>
      <w:r w:rsidR="00B94E22" w:rsidRPr="00FF7503">
        <w:t xml:space="preserve">is </w:t>
      </w:r>
      <w:r w:rsidR="00B94E22">
        <w:t xml:space="preserve">an </w:t>
      </w:r>
      <w:r w:rsidR="00B94E22" w:rsidRPr="00FF7503">
        <w:t xml:space="preserve">essential </w:t>
      </w:r>
      <w:r w:rsidR="00B94E22">
        <w:t xml:space="preserve">element of this process </w:t>
      </w:r>
      <w:r w:rsidR="00B94E22" w:rsidRPr="00FF7503">
        <w:t xml:space="preserve">to </w:t>
      </w:r>
      <w:r w:rsidR="00B94E22">
        <w:t xml:space="preserve">ensure </w:t>
      </w:r>
      <w:r w:rsidR="00080C27">
        <w:t>on-going</w:t>
      </w:r>
      <w:r w:rsidR="00B94E22">
        <w:t xml:space="preserve"> and </w:t>
      </w:r>
      <w:r w:rsidR="00B94E22" w:rsidRPr="00FF7503">
        <w:t>enhance</w:t>
      </w:r>
      <w:r w:rsidR="00B94E22">
        <w:t>d</w:t>
      </w:r>
      <w:r w:rsidR="00B94E22" w:rsidRPr="00FF7503">
        <w:t xml:space="preserve"> awareness and </w:t>
      </w:r>
      <w:r w:rsidR="00B94E22">
        <w:t>support,</w:t>
      </w:r>
      <w:r w:rsidR="00B94E22" w:rsidRPr="00FF7503">
        <w:t xml:space="preserve"> at the highest levels, to </w:t>
      </w:r>
      <w:r w:rsidR="00B94E22">
        <w:t>achieve</w:t>
      </w:r>
      <w:r w:rsidR="00B94E22" w:rsidRPr="00FF7503">
        <w:t xml:space="preserve"> th</w:t>
      </w:r>
      <w:r w:rsidR="00B94E22">
        <w:t>e</w:t>
      </w:r>
      <w:r w:rsidR="00B94E22" w:rsidRPr="00FF7503">
        <w:t xml:space="preserve"> </w:t>
      </w:r>
      <w:r w:rsidR="00B94E22">
        <w:t xml:space="preserve">future </w:t>
      </w:r>
      <w:r w:rsidR="00B94E22" w:rsidRPr="00FF7503">
        <w:t>vision</w:t>
      </w:r>
      <w:r w:rsidRPr="00CB4C63">
        <w:t xml:space="preserve"> beyond 2020</w:t>
      </w:r>
      <w:r w:rsidR="00B94E22" w:rsidRPr="00FF7503">
        <w:t>.</w:t>
      </w:r>
      <w:r w:rsidR="00B94E22">
        <w:t xml:space="preserve">  It should</w:t>
      </w:r>
      <w:r w:rsidR="00B94E22" w:rsidRPr="006E4608">
        <w:t xml:space="preserve"> promote policy coherence at all levels</w:t>
      </w:r>
      <w:r w:rsidR="00A92411">
        <w:t xml:space="preserve"> and be linked to the vision and policy principles</w:t>
      </w:r>
      <w:r w:rsidR="00B94E22" w:rsidRPr="006E4608">
        <w:t xml:space="preserve">. </w:t>
      </w:r>
    </w:p>
    <w:p w14:paraId="1956CDAC" w14:textId="0E3BDA06" w:rsidR="00B94E22" w:rsidRDefault="00B94E22" w:rsidP="00E53A72">
      <w:pPr>
        <w:pStyle w:val="Normal-pool"/>
        <w:tabs>
          <w:tab w:val="clear" w:pos="1247"/>
          <w:tab w:val="clear" w:pos="1814"/>
          <w:tab w:val="clear" w:pos="2381"/>
          <w:tab w:val="clear" w:pos="2948"/>
          <w:tab w:val="clear" w:pos="3515"/>
          <w:tab w:val="clear" w:pos="4082"/>
          <w:tab w:val="left" w:pos="624"/>
        </w:tabs>
        <w:spacing w:after="120"/>
      </w:pPr>
      <w:r>
        <w:t>The 2030 Agenda for Sustainable Development</w:t>
      </w:r>
      <w:r w:rsidR="002001C7">
        <w:t>,</w:t>
      </w:r>
      <w:r>
        <w:t xml:space="preserve"> </w:t>
      </w:r>
      <w:r w:rsidR="00A46DFB">
        <w:t xml:space="preserve">agreed to by political leaders in 2015 </w:t>
      </w:r>
      <w:r w:rsidR="002001C7">
        <w:t xml:space="preserve">and </w:t>
      </w:r>
      <w:r w:rsidR="00A46DFB">
        <w:t>which identif</w:t>
      </w:r>
      <w:r w:rsidR="002001C7">
        <w:t>ies</w:t>
      </w:r>
      <w:r w:rsidR="00A46DFB">
        <w:t xml:space="preserve"> chemicals and waste management as contributing to the three dimensions of sustainable development</w:t>
      </w:r>
      <w:r w:rsidR="002001C7">
        <w:t>,</w:t>
      </w:r>
      <w:r w:rsidR="00A46DFB">
        <w:t xml:space="preserve"> </w:t>
      </w:r>
      <w:r w:rsidR="00861F36">
        <w:t xml:space="preserve">could </w:t>
      </w:r>
      <w:r>
        <w:t>help</w:t>
      </w:r>
      <w:r w:rsidR="002E16CD">
        <w:t xml:space="preserve"> provide incentive and</w:t>
      </w:r>
      <w:r>
        <w:t xml:space="preserve"> </w:t>
      </w:r>
      <w:r w:rsidR="002001C7">
        <w:t xml:space="preserve">generate </w:t>
      </w:r>
      <w:r>
        <w:t>additional political attention for the sound management of chemicals and waste.</w:t>
      </w:r>
    </w:p>
    <w:p w14:paraId="321D0E89" w14:textId="6371363C" w:rsidR="00B94E22" w:rsidRDefault="00B94E22" w:rsidP="009D6BB2">
      <w:pPr>
        <w:pStyle w:val="Normal-pool"/>
        <w:tabs>
          <w:tab w:val="clear" w:pos="1247"/>
          <w:tab w:val="clear" w:pos="1814"/>
          <w:tab w:val="clear" w:pos="2381"/>
          <w:tab w:val="clear" w:pos="2948"/>
          <w:tab w:val="clear" w:pos="3515"/>
          <w:tab w:val="clear" w:pos="4082"/>
          <w:tab w:val="left" w:pos="624"/>
        </w:tabs>
        <w:spacing w:after="120"/>
      </w:pPr>
      <w:r>
        <w:t>Due consideration is required for establishing a high-level of commitment at the fifth session of the Conference in 2020 and maintaining high-level commitment and engagement of all sectors</w:t>
      </w:r>
      <w:r w:rsidR="00834AB0">
        <w:t xml:space="preserve"> and </w:t>
      </w:r>
      <w:r>
        <w:t>stakeholders</w:t>
      </w:r>
      <w:r w:rsidR="009D6BB2">
        <w:t>, including the IOMC organizations,</w:t>
      </w:r>
      <w:r>
        <w:t xml:space="preserve"> in the long-term.</w:t>
      </w:r>
    </w:p>
    <w:p w14:paraId="57A301D9" w14:textId="0BC3BA74" w:rsidR="00861F36" w:rsidRDefault="00B94E22" w:rsidP="00445967">
      <w:pPr>
        <w:pStyle w:val="Normal-pool"/>
        <w:tabs>
          <w:tab w:val="clear" w:pos="1247"/>
          <w:tab w:val="clear" w:pos="1814"/>
          <w:tab w:val="clear" w:pos="2381"/>
          <w:tab w:val="clear" w:pos="2948"/>
          <w:tab w:val="clear" w:pos="3515"/>
          <w:tab w:val="clear" w:pos="4082"/>
          <w:tab w:val="left" w:pos="624"/>
        </w:tabs>
        <w:spacing w:after="120"/>
      </w:pPr>
      <w:r>
        <w:t xml:space="preserve">Once the objectives are </w:t>
      </w:r>
      <w:r w:rsidR="00445967">
        <w:t xml:space="preserve">articulated and the future direction is </w:t>
      </w:r>
      <w:r w:rsidR="007538D8">
        <w:t xml:space="preserve">better </w:t>
      </w:r>
      <w:r w:rsidR="00445967">
        <w:t xml:space="preserve">established, </w:t>
      </w:r>
      <w:r>
        <w:t xml:space="preserve">we will be in a position to consider how to pursue the necessary high-level </w:t>
      </w:r>
      <w:r w:rsidR="001E4C25">
        <w:t>political</w:t>
      </w:r>
      <w:r>
        <w:t xml:space="preserve"> commitment and </w:t>
      </w:r>
      <w:r w:rsidR="001E4C25">
        <w:t>visibility</w:t>
      </w:r>
      <w:r>
        <w:t xml:space="preserve"> required as an underpinning to the process. </w:t>
      </w:r>
    </w:p>
    <w:p w14:paraId="3E2A66A2" w14:textId="22A13E32" w:rsidR="00B94E22" w:rsidRPr="004266FC" w:rsidRDefault="003B604F" w:rsidP="009D6BB2">
      <w:pPr>
        <w:pStyle w:val="ListParagraph"/>
        <w:keepNext/>
        <w:keepLines/>
        <w:numPr>
          <w:ilvl w:val="0"/>
          <w:numId w:val="27"/>
        </w:numPr>
        <w:tabs>
          <w:tab w:val="right" w:pos="851"/>
          <w:tab w:val="left" w:pos="1247"/>
          <w:tab w:val="left" w:pos="1814"/>
          <w:tab w:val="left" w:pos="2381"/>
          <w:tab w:val="left" w:pos="2948"/>
          <w:tab w:val="left" w:pos="3515"/>
          <w:tab w:val="left" w:pos="4082"/>
        </w:tabs>
        <w:suppressAutoHyphens/>
        <w:spacing w:before="240" w:after="120" w:line="240" w:lineRule="auto"/>
        <w:ind w:right="284" w:hanging="720"/>
        <w:rPr>
          <w:rFonts w:ascii="Times New Roman" w:eastAsia="Times New Roman" w:hAnsi="Times New Roman" w:cs="Times New Roman"/>
          <w:b/>
          <w:sz w:val="28"/>
          <w:szCs w:val="28"/>
          <w:lang w:val="en-GB" w:eastAsia="en-US"/>
        </w:rPr>
      </w:pPr>
      <w:r>
        <w:rPr>
          <w:rFonts w:ascii="Times New Roman" w:eastAsia="Times New Roman" w:hAnsi="Times New Roman" w:cs="Times New Roman"/>
          <w:b/>
          <w:sz w:val="28"/>
          <w:szCs w:val="28"/>
          <w:lang w:val="en-GB" w:eastAsia="en-US"/>
        </w:rPr>
        <w:t xml:space="preserve">Co-chairs' </w:t>
      </w:r>
      <w:r w:rsidR="009D6BB2">
        <w:rPr>
          <w:rFonts w:ascii="Times New Roman" w:eastAsia="Times New Roman" w:hAnsi="Times New Roman" w:cs="Times New Roman"/>
          <w:b/>
          <w:sz w:val="28"/>
          <w:szCs w:val="28"/>
          <w:lang w:val="en-GB" w:eastAsia="en-US"/>
        </w:rPr>
        <w:t>d</w:t>
      </w:r>
      <w:r w:rsidR="00B94E22" w:rsidRPr="004266FC">
        <w:rPr>
          <w:rFonts w:ascii="Times New Roman" w:eastAsia="Times New Roman" w:hAnsi="Times New Roman" w:cs="Times New Roman"/>
          <w:b/>
          <w:sz w:val="28"/>
          <w:szCs w:val="28"/>
          <w:lang w:val="en-GB" w:eastAsia="en-US"/>
        </w:rPr>
        <w:t xml:space="preserve">esired outcomes of the </w:t>
      </w:r>
      <w:r w:rsidR="004549F3">
        <w:rPr>
          <w:rFonts w:ascii="Times New Roman" w:eastAsia="Times New Roman" w:hAnsi="Times New Roman" w:cs="Times New Roman"/>
          <w:b/>
          <w:sz w:val="28"/>
          <w:szCs w:val="28"/>
          <w:lang w:val="en-GB" w:eastAsia="en-US"/>
        </w:rPr>
        <w:t>second</w:t>
      </w:r>
      <w:r w:rsidR="00B94E22" w:rsidRPr="004266FC">
        <w:rPr>
          <w:rFonts w:ascii="Times New Roman" w:eastAsia="Times New Roman" w:hAnsi="Times New Roman" w:cs="Times New Roman"/>
          <w:b/>
          <w:sz w:val="28"/>
          <w:szCs w:val="28"/>
          <w:lang w:val="en-GB" w:eastAsia="en-US"/>
        </w:rPr>
        <w:t xml:space="preserve"> meeting</w:t>
      </w:r>
    </w:p>
    <w:p w14:paraId="48C71CDD" w14:textId="2E1CF34E" w:rsidR="00056093" w:rsidRDefault="00056093" w:rsidP="009D6BB2">
      <w:pPr>
        <w:tabs>
          <w:tab w:val="left" w:pos="624"/>
          <w:tab w:val="left" w:pos="1247"/>
          <w:tab w:val="left" w:pos="1701"/>
        </w:tabs>
        <w:spacing w:after="120" w:line="240" w:lineRule="auto"/>
        <w:rPr>
          <w:rFonts w:ascii="Times New Roman" w:eastAsia="Times New Roman" w:hAnsi="Times New Roman" w:cs="Times New Roman"/>
          <w:sz w:val="20"/>
          <w:szCs w:val="20"/>
          <w:lang w:val="en-GB" w:eastAsia="en-US"/>
        </w:rPr>
      </w:pPr>
      <w:r w:rsidRPr="004266FC">
        <w:rPr>
          <w:rFonts w:ascii="Times New Roman" w:eastAsia="Times New Roman" w:hAnsi="Times New Roman" w:cs="Times New Roman"/>
          <w:sz w:val="20"/>
          <w:szCs w:val="20"/>
          <w:lang w:val="en-GB" w:eastAsia="en-US"/>
        </w:rPr>
        <w:t xml:space="preserve">In closing, we should remember that commitment, cooperation, awareness and ownership among all stakeholders will be key to achieving the future we </w:t>
      </w:r>
      <w:r w:rsidR="00557E31">
        <w:rPr>
          <w:rFonts w:ascii="Times New Roman" w:eastAsia="Times New Roman" w:hAnsi="Times New Roman" w:cs="Times New Roman"/>
          <w:sz w:val="20"/>
          <w:szCs w:val="20"/>
          <w:lang w:val="en-GB" w:eastAsia="en-US"/>
        </w:rPr>
        <w:t>need</w:t>
      </w:r>
      <w:r w:rsidR="00557E31" w:rsidRPr="004266FC">
        <w:rPr>
          <w:rFonts w:ascii="Times New Roman" w:eastAsia="Times New Roman" w:hAnsi="Times New Roman" w:cs="Times New Roman"/>
          <w:sz w:val="20"/>
          <w:szCs w:val="20"/>
          <w:lang w:val="en-GB" w:eastAsia="en-US"/>
        </w:rPr>
        <w:t xml:space="preserve"> </w:t>
      </w:r>
      <w:r w:rsidRPr="004266FC">
        <w:rPr>
          <w:rFonts w:ascii="Times New Roman" w:eastAsia="Times New Roman" w:hAnsi="Times New Roman" w:cs="Times New Roman"/>
          <w:sz w:val="20"/>
          <w:szCs w:val="20"/>
          <w:lang w:val="en-GB" w:eastAsia="en-US"/>
        </w:rPr>
        <w:t>for the</w:t>
      </w:r>
      <w:r w:rsidR="00A46DFB">
        <w:rPr>
          <w:rFonts w:ascii="Times New Roman" w:eastAsia="Times New Roman" w:hAnsi="Times New Roman" w:cs="Times New Roman"/>
          <w:sz w:val="20"/>
          <w:szCs w:val="20"/>
          <w:lang w:val="en-GB" w:eastAsia="en-US"/>
        </w:rPr>
        <w:t xml:space="preserve"> global</w:t>
      </w:r>
      <w:r w:rsidRPr="004266FC">
        <w:rPr>
          <w:rFonts w:ascii="Times New Roman" w:eastAsia="Times New Roman" w:hAnsi="Times New Roman" w:cs="Times New Roman"/>
          <w:sz w:val="20"/>
          <w:szCs w:val="20"/>
          <w:lang w:val="en-GB" w:eastAsia="en-US"/>
        </w:rPr>
        <w:t xml:space="preserve"> sound management of chemicals</w:t>
      </w:r>
      <w:r w:rsidR="00B52E0C">
        <w:rPr>
          <w:rFonts w:ascii="Times New Roman" w:eastAsia="Times New Roman" w:hAnsi="Times New Roman" w:cs="Times New Roman"/>
          <w:sz w:val="20"/>
          <w:szCs w:val="20"/>
          <w:lang w:val="en-GB" w:eastAsia="en-US"/>
        </w:rPr>
        <w:t xml:space="preserve"> and waste</w:t>
      </w:r>
      <w:r w:rsidRPr="004266FC">
        <w:rPr>
          <w:rFonts w:ascii="Times New Roman" w:eastAsia="Times New Roman" w:hAnsi="Times New Roman" w:cs="Times New Roman"/>
          <w:sz w:val="20"/>
          <w:szCs w:val="20"/>
          <w:lang w:val="en-GB" w:eastAsia="en-US"/>
        </w:rPr>
        <w:t xml:space="preserve">. </w:t>
      </w:r>
    </w:p>
    <w:p w14:paraId="4AF59A82" w14:textId="30CD5263" w:rsidR="002E16CD" w:rsidRDefault="00056093" w:rsidP="002440A1">
      <w:pPr>
        <w:tabs>
          <w:tab w:val="left" w:pos="624"/>
          <w:tab w:val="left" w:pos="1247"/>
          <w:tab w:val="left" w:pos="1701"/>
        </w:tabs>
        <w:spacing w:after="120" w:line="240" w:lineRule="auto"/>
        <w:rPr>
          <w:rFonts w:ascii="Times New Roman" w:eastAsia="Times New Roman" w:hAnsi="Times New Roman" w:cs="Times New Roman"/>
          <w:sz w:val="20"/>
          <w:szCs w:val="20"/>
          <w:lang w:val="en-GB" w:eastAsia="x-none"/>
        </w:rPr>
      </w:pPr>
      <w:r>
        <w:rPr>
          <w:rFonts w:ascii="Times New Roman" w:eastAsia="Times New Roman" w:hAnsi="Times New Roman" w:cs="Times New Roman"/>
          <w:sz w:val="20"/>
          <w:szCs w:val="20"/>
          <w:lang w:val="en-GB" w:eastAsia="x-none"/>
        </w:rPr>
        <w:t>At the second meeting, w</w:t>
      </w:r>
      <w:r w:rsidRPr="00056093">
        <w:rPr>
          <w:rFonts w:ascii="Times New Roman" w:eastAsia="Times New Roman" w:hAnsi="Times New Roman" w:cs="Times New Roman"/>
          <w:sz w:val="20"/>
          <w:szCs w:val="20"/>
          <w:lang w:val="en-GB" w:eastAsia="x-none"/>
        </w:rPr>
        <w:t xml:space="preserve">e </w:t>
      </w:r>
      <w:r w:rsidR="003B604F">
        <w:rPr>
          <w:rFonts w:ascii="Times New Roman" w:eastAsia="Times New Roman" w:hAnsi="Times New Roman" w:cs="Times New Roman"/>
          <w:sz w:val="20"/>
          <w:szCs w:val="20"/>
          <w:lang w:val="en-GB" w:eastAsia="x-none"/>
        </w:rPr>
        <w:t xml:space="preserve">should aim </w:t>
      </w:r>
      <w:r w:rsidR="002440A1">
        <w:rPr>
          <w:rFonts w:ascii="Times New Roman" w:eastAsia="Times New Roman" w:hAnsi="Times New Roman" w:cs="Times New Roman"/>
          <w:sz w:val="20"/>
          <w:szCs w:val="20"/>
          <w:lang w:val="en-GB" w:eastAsia="x-none"/>
        </w:rPr>
        <w:t xml:space="preserve">to </w:t>
      </w:r>
      <w:r w:rsidR="00F82B52">
        <w:rPr>
          <w:rFonts w:ascii="Times New Roman" w:eastAsia="Times New Roman" w:hAnsi="Times New Roman" w:cs="Times New Roman"/>
          <w:sz w:val="20"/>
          <w:szCs w:val="20"/>
          <w:lang w:val="en-GB" w:eastAsia="x-none"/>
        </w:rPr>
        <w:t>articulat</w:t>
      </w:r>
      <w:r w:rsidR="002440A1">
        <w:rPr>
          <w:rFonts w:ascii="Times New Roman" w:eastAsia="Times New Roman" w:hAnsi="Times New Roman" w:cs="Times New Roman"/>
          <w:sz w:val="20"/>
          <w:szCs w:val="20"/>
          <w:lang w:val="en-GB" w:eastAsia="x-none"/>
        </w:rPr>
        <w:t>e</w:t>
      </w:r>
      <w:r w:rsidR="00F82B52">
        <w:rPr>
          <w:rFonts w:ascii="Times New Roman" w:eastAsia="Times New Roman" w:hAnsi="Times New Roman" w:cs="Times New Roman"/>
          <w:sz w:val="20"/>
          <w:szCs w:val="20"/>
          <w:lang w:val="en-GB" w:eastAsia="x-none"/>
        </w:rPr>
        <w:t xml:space="preserve"> a draft</w:t>
      </w:r>
      <w:r w:rsidRPr="00056093">
        <w:rPr>
          <w:rFonts w:ascii="Times New Roman" w:eastAsia="Times New Roman" w:hAnsi="Times New Roman" w:cs="Times New Roman"/>
          <w:sz w:val="20"/>
          <w:szCs w:val="20"/>
          <w:lang w:val="en-GB" w:eastAsia="x-none"/>
        </w:rPr>
        <w:t xml:space="preserve"> vision</w:t>
      </w:r>
      <w:r w:rsidR="003B604F">
        <w:rPr>
          <w:rFonts w:ascii="Times New Roman" w:eastAsia="Times New Roman" w:hAnsi="Times New Roman" w:cs="Times New Roman"/>
          <w:sz w:val="20"/>
          <w:szCs w:val="20"/>
          <w:lang w:val="en-GB" w:eastAsia="x-none"/>
        </w:rPr>
        <w:t>, consider the need for possible</w:t>
      </w:r>
      <w:r w:rsidRPr="00E82C59">
        <w:rPr>
          <w:rFonts w:ascii="Times New Roman" w:eastAsia="Times New Roman" w:hAnsi="Times New Roman" w:cs="Times New Roman"/>
          <w:sz w:val="20"/>
          <w:szCs w:val="20"/>
          <w:lang w:val="en-GB" w:eastAsia="x-none"/>
        </w:rPr>
        <w:t xml:space="preserve"> policy principles as well as</w:t>
      </w:r>
      <w:r w:rsidR="003B604F">
        <w:rPr>
          <w:rFonts w:ascii="Times New Roman" w:eastAsia="Times New Roman" w:hAnsi="Times New Roman" w:cs="Times New Roman"/>
          <w:sz w:val="20"/>
          <w:szCs w:val="20"/>
          <w:lang w:val="en-GB" w:eastAsia="x-none"/>
        </w:rPr>
        <w:t xml:space="preserve"> identify </w:t>
      </w:r>
      <w:r w:rsidR="00557E31">
        <w:rPr>
          <w:rFonts w:ascii="Times New Roman" w:eastAsia="Times New Roman" w:hAnsi="Times New Roman" w:cs="Times New Roman"/>
          <w:sz w:val="20"/>
          <w:szCs w:val="20"/>
          <w:lang w:val="en-GB" w:eastAsia="x-none"/>
        </w:rPr>
        <w:t>measurable</w:t>
      </w:r>
      <w:r w:rsidR="00557E31" w:rsidRPr="00E82C59">
        <w:rPr>
          <w:rFonts w:ascii="Times New Roman" w:eastAsia="Times New Roman" w:hAnsi="Times New Roman" w:cs="Times New Roman"/>
          <w:sz w:val="20"/>
          <w:szCs w:val="20"/>
          <w:lang w:val="en-GB" w:eastAsia="x-none"/>
        </w:rPr>
        <w:t xml:space="preserve"> </w:t>
      </w:r>
      <w:r w:rsidRPr="00056093">
        <w:rPr>
          <w:rFonts w:ascii="Times New Roman" w:eastAsia="Times New Roman" w:hAnsi="Times New Roman" w:cs="Times New Roman"/>
          <w:sz w:val="20"/>
          <w:szCs w:val="20"/>
          <w:lang w:val="en-GB" w:eastAsia="x-none"/>
        </w:rPr>
        <w:t xml:space="preserve">objectives and </w:t>
      </w:r>
      <w:r w:rsidRPr="00E82C59">
        <w:rPr>
          <w:rFonts w:ascii="Times New Roman" w:eastAsia="Times New Roman" w:hAnsi="Times New Roman" w:cs="Times New Roman"/>
          <w:sz w:val="20"/>
          <w:szCs w:val="20"/>
          <w:lang w:val="en-GB" w:eastAsia="x-none"/>
        </w:rPr>
        <w:t>milestones,</w:t>
      </w:r>
      <w:r w:rsidR="00557E31" w:rsidRPr="00E82C59">
        <w:rPr>
          <w:rFonts w:ascii="Times New Roman" w:eastAsia="Times New Roman" w:hAnsi="Times New Roman" w:cs="Times New Roman"/>
          <w:sz w:val="20"/>
          <w:szCs w:val="20"/>
          <w:lang w:val="en-GB" w:eastAsia="x-none"/>
        </w:rPr>
        <w:t xml:space="preserve"> </w:t>
      </w:r>
      <w:r w:rsidRPr="00E82C59">
        <w:rPr>
          <w:rFonts w:ascii="Times New Roman" w:eastAsia="Times New Roman" w:hAnsi="Times New Roman" w:cs="Times New Roman"/>
          <w:sz w:val="20"/>
          <w:szCs w:val="20"/>
          <w:lang w:val="en-GB" w:eastAsia="x-none"/>
        </w:rPr>
        <w:t xml:space="preserve">for consideration by the third meeting of the Open-ended Working Group.  </w:t>
      </w:r>
    </w:p>
    <w:p w14:paraId="75D8C44F" w14:textId="7C4CC513" w:rsidR="002E16CD" w:rsidRDefault="00056093" w:rsidP="003D5CD8">
      <w:pPr>
        <w:tabs>
          <w:tab w:val="left" w:pos="624"/>
          <w:tab w:val="left" w:pos="1247"/>
          <w:tab w:val="left" w:pos="1701"/>
        </w:tabs>
        <w:spacing w:after="120" w:line="240" w:lineRule="auto"/>
        <w:rPr>
          <w:rFonts w:ascii="Times New Roman" w:eastAsia="Times New Roman" w:hAnsi="Times New Roman" w:cs="Times New Roman"/>
          <w:sz w:val="20"/>
          <w:szCs w:val="20"/>
          <w:lang w:val="en-GB" w:eastAsia="x-none"/>
        </w:rPr>
      </w:pPr>
      <w:r w:rsidRPr="00A35DA0">
        <w:rPr>
          <w:rFonts w:ascii="Times New Roman" w:eastAsia="Times New Roman" w:hAnsi="Times New Roman" w:cs="Times New Roman"/>
          <w:sz w:val="20"/>
          <w:szCs w:val="20"/>
          <w:lang w:val="en-GB" w:eastAsia="x-none"/>
        </w:rPr>
        <w:t>Th</w:t>
      </w:r>
      <w:r>
        <w:rPr>
          <w:rFonts w:ascii="Times New Roman" w:eastAsia="Times New Roman" w:hAnsi="Times New Roman" w:cs="Times New Roman"/>
          <w:sz w:val="20"/>
          <w:szCs w:val="20"/>
          <w:lang w:val="en-GB" w:eastAsia="x-none"/>
        </w:rPr>
        <w:t xml:space="preserve">ere is a </w:t>
      </w:r>
      <w:r w:rsidRPr="00A35DA0">
        <w:rPr>
          <w:rFonts w:ascii="Times New Roman" w:eastAsia="Times New Roman" w:hAnsi="Times New Roman" w:cs="Times New Roman"/>
          <w:sz w:val="20"/>
          <w:szCs w:val="20"/>
          <w:lang w:val="x-none" w:eastAsia="x-none"/>
        </w:rPr>
        <w:t xml:space="preserve">significant task in front of </w:t>
      </w:r>
      <w:r w:rsidRPr="00A35DA0">
        <w:rPr>
          <w:rFonts w:ascii="Times New Roman" w:eastAsia="Times New Roman" w:hAnsi="Times New Roman" w:cs="Times New Roman"/>
          <w:sz w:val="20"/>
          <w:szCs w:val="20"/>
          <w:lang w:val="en-GB" w:eastAsia="x-none"/>
        </w:rPr>
        <w:t>us</w:t>
      </w:r>
      <w:r>
        <w:rPr>
          <w:rFonts w:ascii="Times New Roman" w:eastAsia="Times New Roman" w:hAnsi="Times New Roman" w:cs="Times New Roman"/>
          <w:sz w:val="20"/>
          <w:szCs w:val="20"/>
          <w:lang w:val="en-GB" w:eastAsia="x-none"/>
        </w:rPr>
        <w:t xml:space="preserve"> all. We, in our capacity as </w:t>
      </w:r>
      <w:r w:rsidR="00557E31">
        <w:rPr>
          <w:rFonts w:ascii="Times New Roman" w:eastAsia="Times New Roman" w:hAnsi="Times New Roman" w:cs="Times New Roman"/>
          <w:sz w:val="20"/>
          <w:szCs w:val="20"/>
          <w:lang w:val="en-GB" w:eastAsia="x-none"/>
        </w:rPr>
        <w:t>Co-Chairs</w:t>
      </w:r>
      <w:r>
        <w:rPr>
          <w:rFonts w:ascii="Times New Roman" w:eastAsia="Times New Roman" w:hAnsi="Times New Roman" w:cs="Times New Roman"/>
          <w:sz w:val="20"/>
          <w:szCs w:val="20"/>
          <w:lang w:val="en-GB" w:eastAsia="x-none"/>
        </w:rPr>
        <w:t xml:space="preserve">, </w:t>
      </w:r>
      <w:r w:rsidRPr="00A35DA0">
        <w:rPr>
          <w:rFonts w:ascii="Times New Roman" w:eastAsia="Times New Roman" w:hAnsi="Times New Roman" w:cs="Times New Roman"/>
          <w:sz w:val="20"/>
          <w:szCs w:val="20"/>
          <w:lang w:val="en-GB" w:eastAsia="x-none"/>
        </w:rPr>
        <w:t xml:space="preserve">intend to </w:t>
      </w:r>
      <w:r>
        <w:rPr>
          <w:rFonts w:ascii="Times New Roman" w:eastAsia="Times New Roman" w:hAnsi="Times New Roman" w:cs="Times New Roman"/>
          <w:sz w:val="20"/>
          <w:szCs w:val="20"/>
          <w:lang w:val="en-GB" w:eastAsia="x-none"/>
        </w:rPr>
        <w:t xml:space="preserve">continue to </w:t>
      </w:r>
      <w:r w:rsidRPr="00A35DA0">
        <w:rPr>
          <w:rFonts w:ascii="Times New Roman" w:eastAsia="Times New Roman" w:hAnsi="Times New Roman" w:cs="Times New Roman"/>
          <w:sz w:val="20"/>
          <w:szCs w:val="20"/>
          <w:lang w:val="en-GB" w:eastAsia="x-none"/>
        </w:rPr>
        <w:t xml:space="preserve">promote collaborative and constructive </w:t>
      </w:r>
      <w:r w:rsidR="00557E31">
        <w:rPr>
          <w:rFonts w:ascii="Times New Roman" w:eastAsia="Times New Roman" w:hAnsi="Times New Roman" w:cs="Times New Roman"/>
          <w:sz w:val="20"/>
          <w:szCs w:val="20"/>
          <w:lang w:val="en-GB" w:eastAsia="x-none"/>
        </w:rPr>
        <w:t>engagement</w:t>
      </w:r>
      <w:r w:rsidRPr="00A35DA0">
        <w:rPr>
          <w:rFonts w:ascii="Times New Roman" w:eastAsia="Times New Roman" w:hAnsi="Times New Roman" w:cs="Times New Roman"/>
          <w:sz w:val="20"/>
          <w:szCs w:val="20"/>
          <w:lang w:val="en-GB" w:eastAsia="x-none"/>
        </w:rPr>
        <w:t xml:space="preserve"> for the intersessional process</w:t>
      </w:r>
      <w:r w:rsidR="003D5CD8">
        <w:rPr>
          <w:rFonts w:ascii="Times New Roman" w:eastAsia="Times New Roman" w:hAnsi="Times New Roman" w:cs="Times New Roman"/>
          <w:sz w:val="20"/>
          <w:szCs w:val="20"/>
          <w:lang w:val="en-GB" w:eastAsia="x-none"/>
        </w:rPr>
        <w:t xml:space="preserve">. </w:t>
      </w:r>
      <w:r w:rsidRPr="00A35DA0">
        <w:rPr>
          <w:rFonts w:ascii="Times New Roman" w:eastAsia="Times New Roman" w:hAnsi="Times New Roman" w:cs="Times New Roman"/>
          <w:sz w:val="20"/>
          <w:szCs w:val="20"/>
          <w:lang w:val="en-GB" w:eastAsia="x-none"/>
        </w:rPr>
        <w:t xml:space="preserve"> </w:t>
      </w:r>
    </w:p>
    <w:p w14:paraId="76A07D54" w14:textId="79B35E7F" w:rsidR="00BF6A71" w:rsidRDefault="00BF6A71" w:rsidP="00BF6A71">
      <w:pPr>
        <w:pStyle w:val="Normal-pool"/>
      </w:pPr>
      <w:r w:rsidRPr="004266FC">
        <w:t xml:space="preserve">We urge all participants to prepare themselves to conduct our work in </w:t>
      </w:r>
      <w:r>
        <w:t xml:space="preserve">a collaborative and constructive manner.  </w:t>
      </w:r>
      <w:r w:rsidRPr="00A35DA0">
        <w:t xml:space="preserve">We very much look forward to </w:t>
      </w:r>
      <w:r>
        <w:t xml:space="preserve">working with you at the second </w:t>
      </w:r>
      <w:r w:rsidRPr="00A35DA0">
        <w:t>intersessional meeting to consider the Strategic Approach and the sound management of chemicals and waste beyond 2020.</w:t>
      </w:r>
    </w:p>
    <w:p w14:paraId="713D2A5D" w14:textId="1E92B309" w:rsidR="00BF6A71" w:rsidRDefault="00BF6A71" w:rsidP="00BF6A71">
      <w:pPr>
        <w:pStyle w:val="Normal-pool"/>
      </w:pPr>
    </w:p>
    <w:p w14:paraId="7CEB1FA8" w14:textId="0386E448" w:rsidR="00BF6A71" w:rsidRDefault="00BF6A71" w:rsidP="00BF6A71">
      <w:pPr>
        <w:pStyle w:val="Normal-pool"/>
      </w:pPr>
    </w:p>
    <w:p w14:paraId="68F054ED" w14:textId="2AD782FB" w:rsidR="00BF6A71" w:rsidRDefault="00BF6A71" w:rsidP="00BF6A71">
      <w:pPr>
        <w:pStyle w:val="Normal-pool"/>
        <w:jc w:val="center"/>
      </w:pPr>
      <w:r>
        <w:t>_________________________</w:t>
      </w:r>
    </w:p>
    <w:sectPr w:rsidR="00BF6A71" w:rsidSect="00C04F1F">
      <w:headerReference w:type="default" r:id="rId11"/>
      <w:footerReference w:type="even" r:id="rId12"/>
      <w:footerReference w:type="default" r:id="rId13"/>
      <w:type w:val="continuous"/>
      <w:pgSz w:w="11906" w:h="16838" w:code="9"/>
      <w:pgMar w:top="993" w:right="992" w:bottom="993"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8C551" w14:textId="77777777" w:rsidR="00207DD4" w:rsidRDefault="00207DD4">
      <w:r>
        <w:separator/>
      </w:r>
    </w:p>
  </w:endnote>
  <w:endnote w:type="continuationSeparator" w:id="0">
    <w:p w14:paraId="616672F5" w14:textId="77777777" w:rsidR="00207DD4" w:rsidRDefault="00207DD4">
      <w:r>
        <w:continuationSeparator/>
      </w:r>
    </w:p>
  </w:endnote>
  <w:endnote w:type="continuationNotice" w:id="1">
    <w:p w14:paraId="04E53714" w14:textId="77777777" w:rsidR="00207DD4" w:rsidRDefault="00207D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45">
    <w:altName w:val="Times New Roman"/>
    <w:charset w:val="00"/>
    <w:family w:val="swiss"/>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F0DDB" w14:textId="77777777" w:rsidR="00E468D6" w:rsidRDefault="00E468D6">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29B37" w14:textId="31D764B1" w:rsidR="00E468D6" w:rsidRDefault="00E468D6" w:rsidP="00035EDE">
    <w:pPr>
      <w:pStyle w:val="Footer"/>
      <w:jc w:val="right"/>
    </w:pPr>
    <w:r>
      <w:rPr>
        <w:rStyle w:val="PageNumber"/>
      </w:rPr>
      <w:fldChar w:fldCharType="begin"/>
    </w:r>
    <w:r>
      <w:rPr>
        <w:rStyle w:val="PageNumber"/>
      </w:rPr>
      <w:instrText xml:space="preserve"> PAGE </w:instrText>
    </w:r>
    <w:r>
      <w:rPr>
        <w:rStyle w:val="PageNumber"/>
      </w:rPr>
      <w:fldChar w:fldCharType="separate"/>
    </w:r>
    <w:r w:rsidR="00274586">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32A5F" w14:textId="77777777" w:rsidR="00207DD4" w:rsidRDefault="00207DD4" w:rsidP="006E4608">
      <w:pPr>
        <w:tabs>
          <w:tab w:val="left" w:pos="624"/>
        </w:tabs>
        <w:spacing w:before="60" w:after="0" w:line="240" w:lineRule="auto"/>
        <w:ind w:left="624"/>
      </w:pPr>
      <w:r>
        <w:separator/>
      </w:r>
    </w:p>
  </w:footnote>
  <w:footnote w:type="continuationSeparator" w:id="0">
    <w:p w14:paraId="3A54F5BE" w14:textId="77777777" w:rsidR="00207DD4" w:rsidRDefault="00207DD4">
      <w:r>
        <w:continuationSeparator/>
      </w:r>
    </w:p>
  </w:footnote>
  <w:footnote w:type="continuationNotice" w:id="1">
    <w:p w14:paraId="6CBE2DC6" w14:textId="77777777" w:rsidR="00207DD4" w:rsidRDefault="00207DD4">
      <w:pPr>
        <w:spacing w:after="0" w:line="240" w:lineRule="auto"/>
      </w:pPr>
    </w:p>
  </w:footnote>
  <w:footnote w:id="2">
    <w:p w14:paraId="2DC3E204" w14:textId="77777777" w:rsidR="00E468D6" w:rsidRPr="00DA1FED" w:rsidRDefault="00E468D6" w:rsidP="00C04F1F">
      <w:pPr>
        <w:pStyle w:val="FootnoteText"/>
        <w:rPr>
          <w:lang w:val="en-US"/>
        </w:rPr>
      </w:pPr>
      <w:r w:rsidRPr="00DA1FED">
        <w:rPr>
          <w:szCs w:val="18"/>
          <w:lang w:val="en-US"/>
        </w:rPr>
        <w:t>*SAICM/IP.2/1</w:t>
      </w:r>
    </w:p>
  </w:footnote>
  <w:footnote w:id="3">
    <w:p w14:paraId="72227E62" w14:textId="5872D4CD" w:rsidR="00E468D6" w:rsidRPr="00DC3C34" w:rsidRDefault="00E468D6" w:rsidP="00DC3C34">
      <w:pPr>
        <w:pStyle w:val="FootnoteText"/>
        <w:tabs>
          <w:tab w:val="clear" w:pos="1247"/>
          <w:tab w:val="left" w:pos="567"/>
        </w:tabs>
        <w:ind w:left="567"/>
        <w:rPr>
          <w:lang w:val="en-GB"/>
        </w:rPr>
      </w:pPr>
      <w:r>
        <w:rPr>
          <w:rStyle w:val="FootnoteReference"/>
        </w:rPr>
        <w:footnoteRef/>
      </w:r>
      <w:r w:rsidRPr="00DC3C34">
        <w:rPr>
          <w:lang w:val="en-GB"/>
        </w:rPr>
        <w:t xml:space="preserve"> </w:t>
      </w:r>
      <w:r w:rsidRPr="00DE5131">
        <w:rPr>
          <w:lang w:val="en-GB"/>
        </w:rPr>
        <w:t>http://www.un.org/sustainabledevelopment/development-agenda/</w:t>
      </w:r>
    </w:p>
  </w:footnote>
  <w:footnote w:id="4">
    <w:p w14:paraId="6BD66248" w14:textId="21B297FD" w:rsidR="00E468D6" w:rsidRPr="00B85F20" w:rsidRDefault="00E468D6" w:rsidP="00D80100">
      <w:pPr>
        <w:pStyle w:val="FootnoteText"/>
        <w:tabs>
          <w:tab w:val="clear" w:pos="1247"/>
          <w:tab w:val="left" w:pos="567"/>
        </w:tabs>
        <w:ind w:left="567"/>
        <w:rPr>
          <w:lang w:val="en-GB"/>
        </w:rPr>
      </w:pPr>
      <w:r>
        <w:rPr>
          <w:rStyle w:val="FootnoteReference"/>
        </w:rPr>
        <w:footnoteRef/>
      </w:r>
      <w:r w:rsidRPr="00B85F20">
        <w:rPr>
          <w:lang w:val="en-GB"/>
        </w:rPr>
        <w:t xml:space="preserve"> </w:t>
      </w:r>
      <w:r>
        <w:rPr>
          <w:lang w:val="en-GB"/>
        </w:rPr>
        <w:t>Stakeholder responses to the Co-Chairs’ call for input have also be</w:t>
      </w:r>
      <w:r w:rsidR="007C535E">
        <w:rPr>
          <w:lang w:val="en-GB"/>
        </w:rPr>
        <w:t>en</w:t>
      </w:r>
      <w:r>
        <w:rPr>
          <w:lang w:val="en-GB"/>
        </w:rPr>
        <w:t xml:space="preserve"> taken into account in the series of papers developed by the secretariat</w:t>
      </w:r>
      <w:r w:rsidR="00D80100">
        <w:rPr>
          <w:lang w:val="en-GB"/>
        </w:rPr>
        <w:t xml:space="preserve"> for the second intersessional meeting, to the extent possible</w:t>
      </w:r>
      <w:r>
        <w:rPr>
          <w:lang w:val="en-GB"/>
        </w:rPr>
        <w:t>.</w:t>
      </w:r>
    </w:p>
  </w:footnote>
  <w:footnote w:id="5">
    <w:p w14:paraId="59005FDF" w14:textId="111A71AE" w:rsidR="00E468D6" w:rsidRPr="004254D3" w:rsidRDefault="00E468D6" w:rsidP="00600D9D">
      <w:pPr>
        <w:pStyle w:val="FootnoteText"/>
        <w:tabs>
          <w:tab w:val="clear" w:pos="1247"/>
          <w:tab w:val="left" w:pos="567"/>
        </w:tabs>
        <w:ind w:left="567"/>
        <w:rPr>
          <w:lang w:val="en-CA"/>
        </w:rPr>
      </w:pPr>
      <w:r>
        <w:rPr>
          <w:rStyle w:val="FootnoteReference"/>
        </w:rPr>
        <w:footnoteRef/>
      </w:r>
      <w:r w:rsidRPr="004254D3">
        <w:rPr>
          <w:lang w:val="en-CA"/>
        </w:rPr>
        <w:t xml:space="preserve"> http://www.unep.org/chemicalsandwaste/what-we-do/policy-and-governance/global-chemicals-outlook</w:t>
      </w:r>
    </w:p>
  </w:footnote>
  <w:footnote w:id="6">
    <w:p w14:paraId="19D3A69D" w14:textId="77777777" w:rsidR="00E468D6" w:rsidRPr="002B7929" w:rsidRDefault="00E468D6" w:rsidP="005E5A50">
      <w:pPr>
        <w:tabs>
          <w:tab w:val="left" w:pos="624"/>
        </w:tabs>
        <w:spacing w:after="120"/>
        <w:ind w:left="567"/>
        <w:rPr>
          <w:sz w:val="18"/>
          <w:szCs w:val="18"/>
        </w:rPr>
      </w:pPr>
      <w:r w:rsidRPr="002B7929">
        <w:rPr>
          <w:rStyle w:val="FootnoteReference"/>
          <w:sz w:val="18"/>
        </w:rPr>
        <w:footnoteRef/>
      </w:r>
      <w:r w:rsidRPr="002B7929">
        <w:rPr>
          <w:sz w:val="18"/>
          <w:szCs w:val="18"/>
          <w:lang w:val="en-GB"/>
        </w:rPr>
        <w:t xml:space="preserve"> </w:t>
      </w:r>
      <w:r w:rsidRPr="00BA6575">
        <w:rPr>
          <w:rFonts w:ascii="Times New Roman" w:hAnsi="Times New Roman" w:cs="Times New Roman"/>
          <w:sz w:val="18"/>
          <w:szCs w:val="18"/>
          <w:lang w:val="en-GB"/>
        </w:rPr>
        <w:t xml:space="preserve">Report of the </w:t>
      </w:r>
      <w:r w:rsidRPr="002B7929">
        <w:rPr>
          <w:rFonts w:ascii="Times New Roman" w:hAnsi="Times New Roman" w:cs="Times New Roman"/>
          <w:sz w:val="18"/>
          <w:szCs w:val="18"/>
        </w:rPr>
        <w:t xml:space="preserve">United Nations Environment Assembly </w:t>
      </w:r>
      <w:r>
        <w:rPr>
          <w:rFonts w:ascii="Times New Roman" w:hAnsi="Times New Roman" w:cs="Times New Roman"/>
          <w:sz w:val="18"/>
          <w:szCs w:val="18"/>
        </w:rPr>
        <w:t xml:space="preserve">of the United Nations Environment </w:t>
      </w:r>
      <w:proofErr w:type="spellStart"/>
      <w:r>
        <w:rPr>
          <w:rFonts w:ascii="Times New Roman" w:hAnsi="Times New Roman" w:cs="Times New Roman"/>
          <w:sz w:val="18"/>
          <w:szCs w:val="18"/>
        </w:rPr>
        <w:t>Programme</w:t>
      </w:r>
      <w:proofErr w:type="spellEnd"/>
      <w:r>
        <w:rPr>
          <w:rFonts w:ascii="Times New Roman" w:hAnsi="Times New Roman" w:cs="Times New Roman"/>
          <w:sz w:val="18"/>
          <w:szCs w:val="18"/>
        </w:rPr>
        <w:t xml:space="preserve"> on the work of its first session (A/69/25), annex I, </w:t>
      </w:r>
      <w:r w:rsidRPr="002B7929">
        <w:rPr>
          <w:rFonts w:ascii="Times New Roman" w:hAnsi="Times New Roman" w:cs="Times New Roman"/>
          <w:sz w:val="18"/>
          <w:szCs w:val="18"/>
        </w:rPr>
        <w:t>resolution 1/5</w:t>
      </w:r>
      <w:r>
        <w:rPr>
          <w:rFonts w:ascii="Times New Roman" w:hAnsi="Times New Roman" w:cs="Times New Roman"/>
          <w:sz w:val="18"/>
          <w:szCs w:val="18"/>
        </w:rPr>
        <w:t>, para.</w:t>
      </w:r>
      <w:r w:rsidRPr="002B7929">
        <w:rPr>
          <w:rFonts w:ascii="Times New Roman" w:hAnsi="Times New Roman" w:cs="Times New Roman"/>
          <w:sz w:val="18"/>
          <w:szCs w:val="18"/>
        </w:rPr>
        <w:t xml:space="preserve"> </w:t>
      </w:r>
      <w:r>
        <w:rPr>
          <w:rFonts w:ascii="Times New Roman" w:hAnsi="Times New Roman" w:cs="Times New Roman"/>
          <w:sz w:val="18"/>
          <w:szCs w:val="18"/>
        </w:rPr>
        <w:t>7</w:t>
      </w:r>
      <w:r w:rsidRPr="002B7929">
        <w:rPr>
          <w:rFonts w:ascii="Times New Roman" w:hAnsi="Times New Roman" w:cs="Times New Roman"/>
          <w:sz w:val="18"/>
          <w:szCs w:val="18"/>
        </w:rPr>
        <w:t>.</w:t>
      </w:r>
    </w:p>
  </w:footnote>
  <w:footnote w:id="7">
    <w:p w14:paraId="298567F3" w14:textId="4FB5051F" w:rsidR="00E468D6" w:rsidRPr="00DC3C34" w:rsidRDefault="000F66FC" w:rsidP="00312931">
      <w:pPr>
        <w:pStyle w:val="FootnoteText"/>
        <w:tabs>
          <w:tab w:val="clear" w:pos="1247"/>
          <w:tab w:val="left" w:pos="567"/>
        </w:tabs>
        <w:ind w:left="567"/>
        <w:rPr>
          <w:lang w:val="en-GB"/>
        </w:rPr>
      </w:pPr>
      <w:r>
        <w:rPr>
          <w:lang w:val="en-GB"/>
        </w:rPr>
        <w:t xml:space="preserve"> </w:t>
      </w:r>
      <w:r w:rsidR="00E468D6">
        <w:rPr>
          <w:rStyle w:val="FootnoteReference"/>
        </w:rPr>
        <w:footnoteRef/>
      </w:r>
      <w:r w:rsidR="00E468D6" w:rsidRPr="00DC3C34">
        <w:rPr>
          <w:lang w:val="en-GB"/>
        </w:rPr>
        <w:t xml:space="preserve"> http://www.saicm.org/Portals/12/Documents/OOG%20document%20English.pdf</w:t>
      </w:r>
    </w:p>
  </w:footnote>
  <w:footnote w:id="8">
    <w:p w14:paraId="500A9B8C" w14:textId="522A25D4" w:rsidR="00E468D6" w:rsidRPr="00AA2C51" w:rsidRDefault="00E468D6" w:rsidP="00AA2C51">
      <w:pPr>
        <w:pStyle w:val="FootnoteText"/>
        <w:ind w:left="624"/>
        <w:rPr>
          <w:lang w:val="en-GB"/>
        </w:rPr>
      </w:pPr>
      <w:r>
        <w:rPr>
          <w:rStyle w:val="FootnoteReference"/>
        </w:rPr>
        <w:footnoteRef/>
      </w:r>
      <w:r w:rsidRPr="00AA2C51">
        <w:rPr>
          <w:lang w:val="en-GB"/>
        </w:rPr>
        <w:t xml:space="preserve"> </w:t>
      </w:r>
      <w:r>
        <w:rPr>
          <w:lang w:val="en-GB"/>
        </w:rPr>
        <w:t>This document is also currently available for consultation with the Bureau.</w:t>
      </w:r>
    </w:p>
  </w:footnote>
  <w:footnote w:id="9">
    <w:p w14:paraId="16E9E17B" w14:textId="223BE22D" w:rsidR="00E468D6" w:rsidRPr="00DC3C34" w:rsidRDefault="000F66FC" w:rsidP="00834AB0">
      <w:pPr>
        <w:pStyle w:val="FootnoteText"/>
        <w:tabs>
          <w:tab w:val="clear" w:pos="1247"/>
          <w:tab w:val="left" w:pos="567"/>
        </w:tabs>
        <w:ind w:left="567"/>
        <w:rPr>
          <w:lang w:val="en-CA"/>
        </w:rPr>
      </w:pPr>
      <w:r>
        <w:rPr>
          <w:lang w:val="en-CA"/>
        </w:rPr>
        <w:t xml:space="preserve"> </w:t>
      </w:r>
      <w:r w:rsidR="00E468D6">
        <w:rPr>
          <w:rStyle w:val="FootnoteReference"/>
        </w:rPr>
        <w:footnoteRef/>
      </w:r>
      <w:r w:rsidR="00E468D6" w:rsidRPr="00DC3C34">
        <w:rPr>
          <w:lang w:val="en-CA"/>
        </w:rPr>
        <w:t xml:space="preserve"> </w:t>
      </w:r>
      <w:r w:rsidR="00E468D6" w:rsidRPr="00304F87">
        <w:rPr>
          <w:lang w:val="en-CA"/>
        </w:rPr>
        <w:t>https://www.cbd.int/sp/targets/</w:t>
      </w:r>
    </w:p>
  </w:footnote>
  <w:footnote w:id="10">
    <w:p w14:paraId="23AB90CC" w14:textId="7A4CA439" w:rsidR="00E468D6" w:rsidRPr="00BE7B17" w:rsidRDefault="00E468D6" w:rsidP="00945921">
      <w:pPr>
        <w:pStyle w:val="Normal-pool"/>
        <w:tabs>
          <w:tab w:val="clear" w:pos="1247"/>
          <w:tab w:val="clear" w:pos="1814"/>
          <w:tab w:val="clear" w:pos="2381"/>
          <w:tab w:val="clear" w:pos="2948"/>
          <w:tab w:val="clear" w:pos="3515"/>
          <w:tab w:val="clear" w:pos="4082"/>
          <w:tab w:val="left" w:pos="567"/>
          <w:tab w:val="left" w:pos="624"/>
        </w:tabs>
        <w:spacing w:after="120"/>
        <w:ind w:left="567"/>
      </w:pPr>
      <w:r>
        <w:rPr>
          <w:rStyle w:val="FootnoteReference"/>
        </w:rPr>
        <w:footnoteRef/>
      </w:r>
      <w:r>
        <w:t xml:space="preserve"> </w:t>
      </w:r>
      <w:r w:rsidRPr="00BE7B17">
        <w:rPr>
          <w:sz w:val="18"/>
          <w:szCs w:val="18"/>
        </w:rPr>
        <w:t>The integrated approach to financing of the sound management of chemicals and waste is composed of mainstreaming, enhanced industry involvement and dedicated external financing (UNEP/GC 27/12 and resolution 1/5).</w:t>
      </w:r>
      <w:r w:rsidRPr="006E460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82285" w14:textId="594ABACE" w:rsidR="00E468D6" w:rsidRDefault="00E468D6" w:rsidP="00DA1FED">
    <w:pPr>
      <w:pStyle w:val="Header"/>
      <w:jc w:val="right"/>
    </w:pPr>
    <w:r w:rsidRPr="00CA6CD1">
      <w:rPr>
        <w:rFonts w:ascii="Times New Roman" w:eastAsia="Times New Roman" w:hAnsi="Times New Roman" w:cs="Times New Roman"/>
        <w:sz w:val="20"/>
        <w:szCs w:val="20"/>
        <w:lang w:val="en-GB" w:eastAsia="en-US"/>
      </w:rPr>
      <w:t>SAICM/IP.2/5</w:t>
    </w:r>
  </w:p>
  <w:p w14:paraId="666BB1DC" w14:textId="2E0415DD" w:rsidR="00E468D6" w:rsidRPr="00826FE5" w:rsidRDefault="00E468D6" w:rsidP="00862E77">
    <w:pPr>
      <w:pStyle w:val="Normal-pool"/>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026"/>
    <w:multiLevelType w:val="hybridMultilevel"/>
    <w:tmpl w:val="1D10679C"/>
    <w:lvl w:ilvl="0" w:tplc="3A9E4996">
      <w:start w:val="1"/>
      <w:numFmt w:val="decimal"/>
      <w:lvlText w:val="%1."/>
      <w:lvlJc w:val="left"/>
      <w:pPr>
        <w:ind w:left="1440" w:hanging="360"/>
      </w:pPr>
      <w:rPr>
        <w:rFonts w:cs="Times New Roman" w:hint="default"/>
      </w:rPr>
    </w:lvl>
    <w:lvl w:ilvl="1" w:tplc="08090017">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71B3D74"/>
    <w:multiLevelType w:val="hybridMultilevel"/>
    <w:tmpl w:val="9B8E1D86"/>
    <w:lvl w:ilvl="0" w:tplc="0409000F">
      <w:start w:val="1"/>
      <w:numFmt w:val="decimal"/>
      <w:lvlText w:val="%1."/>
      <w:lvlJc w:val="left"/>
      <w:pPr>
        <w:ind w:left="1993" w:hanging="360"/>
      </w:pPr>
    </w:lvl>
    <w:lvl w:ilvl="1" w:tplc="08090019" w:tentative="1">
      <w:start w:val="1"/>
      <w:numFmt w:val="lowerLetter"/>
      <w:lvlText w:val="%2."/>
      <w:lvlJc w:val="left"/>
      <w:pPr>
        <w:ind w:left="2713" w:hanging="360"/>
      </w:pPr>
    </w:lvl>
    <w:lvl w:ilvl="2" w:tplc="0809001B" w:tentative="1">
      <w:start w:val="1"/>
      <w:numFmt w:val="lowerRoman"/>
      <w:lvlText w:val="%3."/>
      <w:lvlJc w:val="right"/>
      <w:pPr>
        <w:ind w:left="3433" w:hanging="180"/>
      </w:pPr>
    </w:lvl>
    <w:lvl w:ilvl="3" w:tplc="0809000F" w:tentative="1">
      <w:start w:val="1"/>
      <w:numFmt w:val="decimal"/>
      <w:lvlText w:val="%4."/>
      <w:lvlJc w:val="left"/>
      <w:pPr>
        <w:ind w:left="4153" w:hanging="360"/>
      </w:pPr>
    </w:lvl>
    <w:lvl w:ilvl="4" w:tplc="08090019" w:tentative="1">
      <w:start w:val="1"/>
      <w:numFmt w:val="lowerLetter"/>
      <w:lvlText w:val="%5."/>
      <w:lvlJc w:val="left"/>
      <w:pPr>
        <w:ind w:left="4873" w:hanging="360"/>
      </w:pPr>
    </w:lvl>
    <w:lvl w:ilvl="5" w:tplc="0809001B" w:tentative="1">
      <w:start w:val="1"/>
      <w:numFmt w:val="lowerRoman"/>
      <w:lvlText w:val="%6."/>
      <w:lvlJc w:val="right"/>
      <w:pPr>
        <w:ind w:left="5593" w:hanging="180"/>
      </w:pPr>
    </w:lvl>
    <w:lvl w:ilvl="6" w:tplc="0809000F" w:tentative="1">
      <w:start w:val="1"/>
      <w:numFmt w:val="decimal"/>
      <w:lvlText w:val="%7."/>
      <w:lvlJc w:val="left"/>
      <w:pPr>
        <w:ind w:left="6313" w:hanging="360"/>
      </w:pPr>
    </w:lvl>
    <w:lvl w:ilvl="7" w:tplc="08090019" w:tentative="1">
      <w:start w:val="1"/>
      <w:numFmt w:val="lowerLetter"/>
      <w:lvlText w:val="%8."/>
      <w:lvlJc w:val="left"/>
      <w:pPr>
        <w:ind w:left="7033" w:hanging="360"/>
      </w:pPr>
    </w:lvl>
    <w:lvl w:ilvl="8" w:tplc="0809001B" w:tentative="1">
      <w:start w:val="1"/>
      <w:numFmt w:val="lowerRoman"/>
      <w:lvlText w:val="%9."/>
      <w:lvlJc w:val="right"/>
      <w:pPr>
        <w:ind w:left="7753" w:hanging="180"/>
      </w:pPr>
    </w:lvl>
  </w:abstractNum>
  <w:abstractNum w:abstractNumId="2" w15:restartNumberingAfterBreak="0">
    <w:nsid w:val="0C845C9C"/>
    <w:multiLevelType w:val="hybridMultilevel"/>
    <w:tmpl w:val="45DED8D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B05D11"/>
    <w:multiLevelType w:val="multilevel"/>
    <w:tmpl w:val="D4B25FBE"/>
    <w:lvl w:ilvl="0">
      <w:start w:val="1"/>
      <w:numFmt w:val="lowerRoman"/>
      <w:lvlText w:val="%1."/>
      <w:lvlJc w:val="left"/>
      <w:pPr>
        <w:ind w:left="1967" w:hanging="720"/>
      </w:pPr>
      <w:rPr>
        <w:rFonts w:hint="default"/>
        <w:i w:val="0"/>
      </w:rPr>
    </w:lvl>
    <w:lvl w:ilvl="1">
      <w:start w:val="1"/>
      <w:numFmt w:val="lowerLetter"/>
      <w:lvlText w:val="%2."/>
      <w:lvlJc w:val="left"/>
      <w:pPr>
        <w:ind w:left="2327" w:hanging="360"/>
      </w:pPr>
    </w:lvl>
    <w:lvl w:ilvl="2">
      <w:start w:val="1"/>
      <w:numFmt w:val="lowerRoman"/>
      <w:lvlText w:val="%3."/>
      <w:lvlJc w:val="right"/>
      <w:pPr>
        <w:ind w:left="3047" w:hanging="180"/>
      </w:pPr>
    </w:lvl>
    <w:lvl w:ilvl="3">
      <w:start w:val="1"/>
      <w:numFmt w:val="decimal"/>
      <w:lvlText w:val="%4."/>
      <w:lvlJc w:val="left"/>
      <w:pPr>
        <w:ind w:left="3767" w:hanging="360"/>
      </w:pPr>
    </w:lvl>
    <w:lvl w:ilvl="4">
      <w:start w:val="1"/>
      <w:numFmt w:val="lowerLetter"/>
      <w:lvlText w:val="%5."/>
      <w:lvlJc w:val="left"/>
      <w:pPr>
        <w:ind w:left="4487" w:hanging="360"/>
      </w:pPr>
    </w:lvl>
    <w:lvl w:ilvl="5">
      <w:start w:val="1"/>
      <w:numFmt w:val="lowerRoman"/>
      <w:lvlText w:val="%6."/>
      <w:lvlJc w:val="right"/>
      <w:pPr>
        <w:ind w:left="5207" w:hanging="180"/>
      </w:pPr>
    </w:lvl>
    <w:lvl w:ilvl="6">
      <w:start w:val="1"/>
      <w:numFmt w:val="decimal"/>
      <w:lvlText w:val="%7."/>
      <w:lvlJc w:val="left"/>
      <w:pPr>
        <w:ind w:left="5927" w:hanging="360"/>
      </w:pPr>
    </w:lvl>
    <w:lvl w:ilvl="7">
      <w:start w:val="1"/>
      <w:numFmt w:val="lowerLetter"/>
      <w:lvlText w:val="%8."/>
      <w:lvlJc w:val="left"/>
      <w:pPr>
        <w:ind w:left="6647" w:hanging="360"/>
      </w:pPr>
    </w:lvl>
    <w:lvl w:ilvl="8">
      <w:start w:val="1"/>
      <w:numFmt w:val="lowerRoman"/>
      <w:lvlText w:val="%9."/>
      <w:lvlJc w:val="right"/>
      <w:pPr>
        <w:ind w:left="7367" w:hanging="180"/>
      </w:pPr>
    </w:lvl>
  </w:abstractNum>
  <w:abstractNum w:abstractNumId="4" w15:restartNumberingAfterBreak="0">
    <w:nsid w:val="11C86BC9"/>
    <w:multiLevelType w:val="hybridMultilevel"/>
    <w:tmpl w:val="CE9A983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D257B5"/>
    <w:multiLevelType w:val="hybridMultilevel"/>
    <w:tmpl w:val="2A685C94"/>
    <w:lvl w:ilvl="0" w:tplc="0C2E838C">
      <w:start w:val="1"/>
      <w:numFmt w:val="decimal"/>
      <w:lvlText w:val="%1."/>
      <w:lvlJc w:val="left"/>
      <w:pPr>
        <w:ind w:left="1494" w:hanging="36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15:restartNumberingAfterBreak="0">
    <w:nsid w:val="13096494"/>
    <w:multiLevelType w:val="hybridMultilevel"/>
    <w:tmpl w:val="1D4C3052"/>
    <w:lvl w:ilvl="0" w:tplc="0409000F">
      <w:start w:val="1"/>
      <w:numFmt w:val="decimal"/>
      <w:lvlText w:val="%1."/>
      <w:lvlJc w:val="left"/>
      <w:pPr>
        <w:ind w:left="1607" w:hanging="360"/>
      </w:pPr>
      <w:rPr>
        <w:rFonts w:hint="default"/>
        <w:i w:val="0"/>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7" w15:restartNumberingAfterBreak="0">
    <w:nsid w:val="13775E37"/>
    <w:multiLevelType w:val="hybridMultilevel"/>
    <w:tmpl w:val="69EAC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42E52"/>
    <w:multiLevelType w:val="hybridMultilevel"/>
    <w:tmpl w:val="13785238"/>
    <w:lvl w:ilvl="0" w:tplc="08090013">
      <w:start w:val="1"/>
      <w:numFmt w:val="upperRoman"/>
      <w:lvlText w:val="%1."/>
      <w:lvlJc w:val="right"/>
      <w:pPr>
        <w:ind w:left="502" w:hanging="360"/>
      </w:pPr>
      <w:rPr>
        <w:rFonts w:hint="default"/>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8280FA62">
      <w:start w:val="1"/>
      <w:numFmt w:val="lowerLetter"/>
      <w:lvlText w:val="(%5)"/>
      <w:lvlJc w:val="left"/>
      <w:pPr>
        <w:ind w:left="3382" w:hanging="360"/>
      </w:pPr>
      <w:rPr>
        <w:rFonts w:hint="default"/>
      </w:r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7FC59FA"/>
    <w:multiLevelType w:val="hybridMultilevel"/>
    <w:tmpl w:val="4F9CAC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B571867"/>
    <w:multiLevelType w:val="singleLevel"/>
    <w:tmpl w:val="A2E252AA"/>
    <w:lvl w:ilvl="0">
      <w:start w:val="1"/>
      <w:numFmt w:val="upperRoman"/>
      <w:pStyle w:val="Heading8"/>
      <w:lvlText w:val="%1."/>
      <w:lvlJc w:val="left"/>
      <w:pPr>
        <w:tabs>
          <w:tab w:val="num" w:pos="720"/>
        </w:tabs>
        <w:ind w:left="720" w:hanging="720"/>
      </w:pPr>
      <w:rPr>
        <w:rFonts w:hint="default"/>
      </w:rPr>
    </w:lvl>
  </w:abstractNum>
  <w:abstractNum w:abstractNumId="11" w15:restartNumberingAfterBreak="0">
    <w:nsid w:val="22513B57"/>
    <w:multiLevelType w:val="hybridMultilevel"/>
    <w:tmpl w:val="2A685C94"/>
    <w:lvl w:ilvl="0" w:tplc="0C2E838C">
      <w:start w:val="1"/>
      <w:numFmt w:val="decimal"/>
      <w:lvlText w:val="%1."/>
      <w:lvlJc w:val="left"/>
      <w:pPr>
        <w:ind w:left="1494" w:hanging="36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15:restartNumberingAfterBreak="0">
    <w:nsid w:val="271224C4"/>
    <w:multiLevelType w:val="multilevel"/>
    <w:tmpl w:val="FF702AEE"/>
    <w:lvl w:ilvl="0">
      <w:start w:val="1"/>
      <w:numFmt w:val="upperLetter"/>
      <w:lvlText w:val="%1."/>
      <w:lvlJc w:val="left"/>
      <w:pPr>
        <w:tabs>
          <w:tab w:val="num" w:pos="360"/>
        </w:tabs>
        <w:ind w:left="360" w:hanging="360"/>
      </w:pPr>
      <w:rPr>
        <w:rFonts w:ascii="Times New Roman" w:hAnsi="Times New Roman" w:hint="default"/>
        <w:b/>
        <w:i w:val="0"/>
        <w:sz w:val="22"/>
      </w:rPr>
    </w:lvl>
    <w:lvl w:ilvl="1">
      <w:start w:val="1"/>
      <w:numFmt w:val="lowerLetter"/>
      <w:lvlText w:val="(%2)"/>
      <w:lvlJc w:val="left"/>
      <w:pPr>
        <w:tabs>
          <w:tab w:val="num" w:pos="1185"/>
        </w:tabs>
        <w:ind w:left="1185" w:hanging="465"/>
      </w:pPr>
      <w:rPr>
        <w:rFonts w:hint="default"/>
        <w:b w:val="0"/>
        <w:i w:val="0"/>
        <w:sz w:val="20"/>
        <w:szCs w:val="20"/>
      </w:rPr>
    </w:lvl>
    <w:lvl w:ilvl="2">
      <w:start w:val="1"/>
      <w:numFmt w:val="lowerLetter"/>
      <w:lvlText w:val="(%3)"/>
      <w:lvlJc w:val="left"/>
      <w:pPr>
        <w:tabs>
          <w:tab w:val="num" w:pos="1905"/>
        </w:tabs>
        <w:ind w:left="1905" w:hanging="465"/>
      </w:pPr>
      <w:rPr>
        <w:rFonts w:hint="default"/>
        <w:b w:val="0"/>
        <w:i w:val="0"/>
        <w:sz w:val="20"/>
        <w:szCs w:val="20"/>
      </w:rPr>
    </w:lvl>
    <w:lvl w:ilvl="3">
      <w:start w:val="1"/>
      <w:numFmt w:val="lowerRoman"/>
      <w:lvlText w:val="(%4)"/>
      <w:lvlJc w:val="left"/>
      <w:pPr>
        <w:tabs>
          <w:tab w:val="num" w:pos="2160"/>
        </w:tabs>
        <w:ind w:left="2160" w:hanging="360"/>
      </w:pPr>
      <w:rPr>
        <w:rFonts w:hint="default"/>
      </w:rPr>
    </w:lvl>
    <w:lvl w:ilvl="4">
      <w:start w:val="1"/>
      <w:numFmt w:val="upperLetter"/>
      <w:lvlText w:val="(%5)"/>
      <w:lvlJc w:val="left"/>
      <w:pPr>
        <w:tabs>
          <w:tab w:val="num" w:pos="3600"/>
        </w:tabs>
        <w:ind w:left="3600" w:hanging="360"/>
      </w:pPr>
      <w:rPr>
        <w:rFonts w:hint="default"/>
        <w:b w:val="0"/>
        <w:i w:val="0"/>
        <w:sz w:val="22"/>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BBC09A9"/>
    <w:multiLevelType w:val="hybridMultilevel"/>
    <w:tmpl w:val="ACF0F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5168B6"/>
    <w:multiLevelType w:val="hybridMultilevel"/>
    <w:tmpl w:val="C75EF7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F9E7305"/>
    <w:multiLevelType w:val="hybridMultilevel"/>
    <w:tmpl w:val="AC245C20"/>
    <w:lvl w:ilvl="0" w:tplc="7ECA8304">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C209E4"/>
    <w:multiLevelType w:val="hybridMultilevel"/>
    <w:tmpl w:val="4650F22A"/>
    <w:lvl w:ilvl="0" w:tplc="5D2E012C">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571603"/>
    <w:multiLevelType w:val="singleLevel"/>
    <w:tmpl w:val="2868AC2A"/>
    <w:lvl w:ilvl="0">
      <w:start w:val="6"/>
      <w:numFmt w:val="upperLetter"/>
      <w:pStyle w:val="Heading9"/>
      <w:lvlText w:val="%1."/>
      <w:lvlJc w:val="left"/>
      <w:pPr>
        <w:tabs>
          <w:tab w:val="num" w:pos="360"/>
        </w:tabs>
        <w:ind w:left="360" w:hanging="360"/>
      </w:pPr>
      <w:rPr>
        <w:rFonts w:hint="default"/>
      </w:rPr>
    </w:lvl>
  </w:abstractNum>
  <w:abstractNum w:abstractNumId="18" w15:restartNumberingAfterBreak="0">
    <w:nsid w:val="35B055EE"/>
    <w:multiLevelType w:val="hybridMultilevel"/>
    <w:tmpl w:val="420AC92C"/>
    <w:lvl w:ilvl="0" w:tplc="37B0AD70">
      <w:start w:val="1"/>
      <w:numFmt w:val="decimal"/>
      <w:lvlText w:val="%1."/>
      <w:lvlJc w:val="left"/>
      <w:pPr>
        <w:tabs>
          <w:tab w:val="num" w:pos="3025"/>
        </w:tabs>
        <w:ind w:left="3025" w:hanging="360"/>
      </w:pPr>
      <w:rPr>
        <w:rFonts w:hint="default"/>
      </w:rPr>
    </w:lvl>
    <w:lvl w:ilvl="1" w:tplc="657481D6">
      <w:start w:val="1"/>
      <w:numFmt w:val="lowerLetter"/>
      <w:lvlText w:val="(%2)"/>
      <w:lvlJc w:val="left"/>
      <w:pPr>
        <w:tabs>
          <w:tab w:val="num" w:pos="1440"/>
        </w:tabs>
        <w:ind w:left="1440" w:hanging="360"/>
      </w:pPr>
      <w:rPr>
        <w:rFonts w:hint="default"/>
      </w:rPr>
    </w:lvl>
    <w:lvl w:ilvl="2" w:tplc="CE08A9E6">
      <w:start w:val="1"/>
      <w:numFmt w:val="lowerLetter"/>
      <w:lvlText w:val="(%3)"/>
      <w:lvlJc w:val="left"/>
      <w:pPr>
        <w:tabs>
          <w:tab w:val="num" w:pos="2340"/>
        </w:tabs>
        <w:ind w:left="2340" w:hanging="360"/>
      </w:pPr>
      <w:rPr>
        <w:rFonts w:hint="default"/>
      </w:rPr>
    </w:lvl>
    <w:lvl w:ilvl="3" w:tplc="514EAE4C">
      <w:start w:val="1"/>
      <w:numFmt w:val="lowerRoman"/>
      <w:lvlText w:val="(%4)"/>
      <w:lvlJc w:val="left"/>
      <w:pPr>
        <w:tabs>
          <w:tab w:val="num" w:pos="2880"/>
        </w:tabs>
        <w:ind w:left="2880" w:hanging="360"/>
      </w:pPr>
      <w:rPr>
        <w:rFonts w:hint="default"/>
      </w:rPr>
    </w:lvl>
    <w:lvl w:ilvl="4" w:tplc="8280FA62">
      <w:start w:val="1"/>
      <w:numFmt w:val="lowerLetter"/>
      <w:lvlText w:val="(%5)"/>
      <w:lvlJc w:val="left"/>
      <w:pPr>
        <w:tabs>
          <w:tab w:val="num" w:pos="3705"/>
        </w:tabs>
        <w:ind w:left="3705" w:hanging="465"/>
      </w:pPr>
      <w:rPr>
        <w:rFonts w:hint="default"/>
      </w:rPr>
    </w:lvl>
    <w:lvl w:ilvl="5" w:tplc="514EAE4C">
      <w:start w:val="1"/>
      <w:numFmt w:val="lowerRoman"/>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2328C9"/>
    <w:multiLevelType w:val="hybridMultilevel"/>
    <w:tmpl w:val="420AC92C"/>
    <w:lvl w:ilvl="0" w:tplc="37B0AD70">
      <w:start w:val="1"/>
      <w:numFmt w:val="decimal"/>
      <w:lvlText w:val="%1."/>
      <w:lvlJc w:val="left"/>
      <w:pPr>
        <w:tabs>
          <w:tab w:val="num" w:pos="3025"/>
        </w:tabs>
        <w:ind w:left="3025" w:hanging="360"/>
      </w:pPr>
      <w:rPr>
        <w:rFonts w:hint="default"/>
      </w:rPr>
    </w:lvl>
    <w:lvl w:ilvl="1" w:tplc="657481D6">
      <w:start w:val="1"/>
      <w:numFmt w:val="lowerLetter"/>
      <w:lvlText w:val="(%2)"/>
      <w:lvlJc w:val="left"/>
      <w:pPr>
        <w:tabs>
          <w:tab w:val="num" w:pos="1440"/>
        </w:tabs>
        <w:ind w:left="1440" w:hanging="360"/>
      </w:pPr>
      <w:rPr>
        <w:rFonts w:hint="default"/>
      </w:rPr>
    </w:lvl>
    <w:lvl w:ilvl="2" w:tplc="CE08A9E6">
      <w:start w:val="1"/>
      <w:numFmt w:val="lowerLetter"/>
      <w:lvlText w:val="(%3)"/>
      <w:lvlJc w:val="left"/>
      <w:pPr>
        <w:tabs>
          <w:tab w:val="num" w:pos="2340"/>
        </w:tabs>
        <w:ind w:left="2340" w:hanging="360"/>
      </w:pPr>
      <w:rPr>
        <w:rFonts w:hint="default"/>
      </w:rPr>
    </w:lvl>
    <w:lvl w:ilvl="3" w:tplc="514EAE4C">
      <w:start w:val="1"/>
      <w:numFmt w:val="lowerRoman"/>
      <w:lvlText w:val="(%4)"/>
      <w:lvlJc w:val="left"/>
      <w:pPr>
        <w:tabs>
          <w:tab w:val="num" w:pos="2880"/>
        </w:tabs>
        <w:ind w:left="2880" w:hanging="360"/>
      </w:pPr>
      <w:rPr>
        <w:rFonts w:hint="default"/>
      </w:rPr>
    </w:lvl>
    <w:lvl w:ilvl="4" w:tplc="8280FA62">
      <w:start w:val="1"/>
      <w:numFmt w:val="lowerLetter"/>
      <w:lvlText w:val="(%5)"/>
      <w:lvlJc w:val="left"/>
      <w:pPr>
        <w:tabs>
          <w:tab w:val="num" w:pos="3705"/>
        </w:tabs>
        <w:ind w:left="3705" w:hanging="465"/>
      </w:pPr>
      <w:rPr>
        <w:rFonts w:hint="default"/>
      </w:rPr>
    </w:lvl>
    <w:lvl w:ilvl="5" w:tplc="514EAE4C">
      <w:start w:val="1"/>
      <w:numFmt w:val="lowerRoman"/>
      <w:lvlText w:val="(%6)"/>
      <w:lvlJc w:val="left"/>
      <w:pPr>
        <w:tabs>
          <w:tab w:val="num" w:pos="4500"/>
        </w:tabs>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800259"/>
    <w:multiLevelType w:val="hybridMultilevel"/>
    <w:tmpl w:val="A266A874"/>
    <w:lvl w:ilvl="0" w:tplc="8280FA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B161E5"/>
    <w:multiLevelType w:val="hybridMultilevel"/>
    <w:tmpl w:val="62943D1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B211A26"/>
    <w:multiLevelType w:val="hybridMultilevel"/>
    <w:tmpl w:val="B4FE1F28"/>
    <w:lvl w:ilvl="0" w:tplc="5A8E856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48924846"/>
    <w:multiLevelType w:val="hybridMultilevel"/>
    <w:tmpl w:val="DC682D7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B3863B7"/>
    <w:multiLevelType w:val="hybridMultilevel"/>
    <w:tmpl w:val="533EF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115544"/>
    <w:multiLevelType w:val="hybridMultilevel"/>
    <w:tmpl w:val="13785238"/>
    <w:lvl w:ilvl="0" w:tplc="08090013">
      <w:start w:val="1"/>
      <w:numFmt w:val="upperRoman"/>
      <w:lvlText w:val="%1."/>
      <w:lvlJc w:val="right"/>
      <w:pPr>
        <w:ind w:left="502" w:hanging="360"/>
      </w:pPr>
      <w:rPr>
        <w:rFonts w:hint="default"/>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8280FA62">
      <w:start w:val="1"/>
      <w:numFmt w:val="lowerLetter"/>
      <w:lvlText w:val="(%5)"/>
      <w:lvlJc w:val="left"/>
      <w:pPr>
        <w:ind w:left="3382" w:hanging="360"/>
      </w:pPr>
      <w:rPr>
        <w:rFonts w:hint="default"/>
      </w:r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15:restartNumberingAfterBreak="0">
    <w:nsid w:val="4E96258E"/>
    <w:multiLevelType w:val="hybridMultilevel"/>
    <w:tmpl w:val="C8620956"/>
    <w:lvl w:ilvl="0" w:tplc="08090017">
      <w:start w:val="1"/>
      <w:numFmt w:val="lowerLetter"/>
      <w:lvlText w:val="%1)"/>
      <w:lvlJc w:val="left"/>
      <w:pPr>
        <w:ind w:left="502" w:hanging="360"/>
      </w:pPr>
      <w:rPr>
        <w:rFonts w:hint="default"/>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8280FA62">
      <w:start w:val="1"/>
      <w:numFmt w:val="lowerLetter"/>
      <w:lvlText w:val="(%5)"/>
      <w:lvlJc w:val="left"/>
      <w:pPr>
        <w:ind w:left="3382" w:hanging="360"/>
      </w:pPr>
      <w:rPr>
        <w:rFonts w:hint="default"/>
      </w:r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7" w15:restartNumberingAfterBreak="0">
    <w:nsid w:val="50521CF2"/>
    <w:multiLevelType w:val="hybridMultilevel"/>
    <w:tmpl w:val="5FACA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D50EB4"/>
    <w:multiLevelType w:val="hybridMultilevel"/>
    <w:tmpl w:val="99AA77F8"/>
    <w:lvl w:ilvl="0" w:tplc="0C1E360C">
      <w:start w:val="1"/>
      <w:numFmt w:val="decimal"/>
      <w:lvlText w:val="%1."/>
      <w:lvlJc w:val="left"/>
      <w:pPr>
        <w:ind w:left="720" w:hanging="360"/>
      </w:pPr>
      <w:rPr>
        <w:rFonts w:hint="default"/>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2A66A9D"/>
    <w:multiLevelType w:val="multilevel"/>
    <w:tmpl w:val="D07A6E4C"/>
    <w:styleLink w:val="Normallist"/>
    <w:lvl w:ilvl="0">
      <w:start w:val="1"/>
      <w:numFmt w:val="decimal"/>
      <w:pStyle w:val="Normalnumber"/>
      <w:lvlText w:val="%1."/>
      <w:lvlJc w:val="left"/>
      <w:pPr>
        <w:tabs>
          <w:tab w:val="num" w:pos="1134"/>
        </w:tabs>
        <w:ind w:left="1247" w:firstLine="0"/>
      </w:pPr>
      <w:rPr>
        <w:rFonts w:hint="default"/>
      </w:rPr>
    </w:lvl>
    <w:lvl w:ilvl="1">
      <w:start w:val="1"/>
      <w:numFmt w:val="lowerLetter"/>
      <w:lvlText w:val="(%2)"/>
      <w:lvlJc w:val="left"/>
      <w:pPr>
        <w:tabs>
          <w:tab w:val="num" w:pos="1134"/>
        </w:tabs>
        <w:ind w:left="1247" w:firstLine="567"/>
      </w:pPr>
      <w:rPr>
        <w:rFonts w:hint="default"/>
      </w:rPr>
    </w:lvl>
    <w:lvl w:ilvl="2">
      <w:start w:val="1"/>
      <w:numFmt w:val="lowerRoman"/>
      <w:lvlText w:val="(%3)"/>
      <w:lvlJc w:val="left"/>
      <w:pPr>
        <w:tabs>
          <w:tab w:val="num" w:pos="1134"/>
        </w:tabs>
        <w:ind w:left="2948" w:hanging="567"/>
      </w:pPr>
      <w:rPr>
        <w:rFonts w:hint="default"/>
      </w:rPr>
    </w:lvl>
    <w:lvl w:ilvl="3">
      <w:start w:val="1"/>
      <w:numFmt w:val="lowerLetter"/>
      <w:lvlText w:val="%4."/>
      <w:lvlJc w:val="left"/>
      <w:pPr>
        <w:tabs>
          <w:tab w:val="num" w:pos="1134"/>
        </w:tabs>
        <w:ind w:left="3515" w:hanging="567"/>
      </w:pPr>
      <w:rPr>
        <w:rFonts w:hint="default"/>
      </w:rPr>
    </w:lvl>
    <w:lvl w:ilvl="4">
      <w:start w:val="1"/>
      <w:numFmt w:val="lowerRoman"/>
      <w:lvlText w:val="%5."/>
      <w:lvlJc w:val="left"/>
      <w:pPr>
        <w:tabs>
          <w:tab w:val="num" w:pos="1134"/>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30" w15:restartNumberingAfterBreak="0">
    <w:nsid w:val="544368FD"/>
    <w:multiLevelType w:val="hybridMultilevel"/>
    <w:tmpl w:val="373EB6AE"/>
    <w:lvl w:ilvl="0" w:tplc="8280FA6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7D25FF0"/>
    <w:multiLevelType w:val="hybridMultilevel"/>
    <w:tmpl w:val="13785238"/>
    <w:lvl w:ilvl="0" w:tplc="08090013">
      <w:start w:val="1"/>
      <w:numFmt w:val="upperRoman"/>
      <w:lvlText w:val="%1."/>
      <w:lvlJc w:val="right"/>
      <w:pPr>
        <w:ind w:left="502" w:hanging="360"/>
      </w:pPr>
      <w:rPr>
        <w:rFonts w:hint="default"/>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8280FA62">
      <w:start w:val="1"/>
      <w:numFmt w:val="lowerLetter"/>
      <w:lvlText w:val="(%5)"/>
      <w:lvlJc w:val="left"/>
      <w:pPr>
        <w:ind w:left="3382" w:hanging="360"/>
      </w:pPr>
      <w:rPr>
        <w:rFonts w:hint="default"/>
      </w:r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2" w15:restartNumberingAfterBreak="0">
    <w:nsid w:val="5D8E5B4F"/>
    <w:multiLevelType w:val="multilevel"/>
    <w:tmpl w:val="58AC362E"/>
    <w:lvl w:ilvl="0">
      <w:start w:val="1"/>
      <w:numFmt w:val="lowerLetter"/>
      <w:lvlText w:val="(%1)"/>
      <w:lvlJc w:val="left"/>
      <w:pPr>
        <w:tabs>
          <w:tab w:val="num" w:pos="360"/>
        </w:tabs>
        <w:ind w:left="360" w:hanging="360"/>
      </w:pPr>
      <w:rPr>
        <w:rFonts w:hint="default"/>
        <w:b/>
        <w:i w:val="0"/>
        <w:sz w:val="22"/>
      </w:rPr>
    </w:lvl>
    <w:lvl w:ilvl="1">
      <w:start w:val="1"/>
      <w:numFmt w:val="lowerLetter"/>
      <w:lvlText w:val="(%2)"/>
      <w:lvlJc w:val="left"/>
      <w:pPr>
        <w:tabs>
          <w:tab w:val="num" w:pos="1185"/>
        </w:tabs>
        <w:ind w:left="1185" w:hanging="465"/>
      </w:pPr>
      <w:rPr>
        <w:rFonts w:hint="default"/>
        <w:b w:val="0"/>
        <w:i w:val="0"/>
        <w:sz w:val="20"/>
        <w:szCs w:val="20"/>
      </w:rPr>
    </w:lvl>
    <w:lvl w:ilvl="2">
      <w:start w:val="1"/>
      <w:numFmt w:val="lowerLetter"/>
      <w:lvlText w:val="(%3)"/>
      <w:lvlJc w:val="left"/>
      <w:pPr>
        <w:tabs>
          <w:tab w:val="num" w:pos="1905"/>
        </w:tabs>
        <w:ind w:left="1905" w:hanging="465"/>
      </w:pPr>
      <w:rPr>
        <w:rFonts w:hint="default"/>
        <w:b w:val="0"/>
        <w:i w:val="0"/>
        <w:sz w:val="20"/>
        <w:szCs w:val="20"/>
      </w:rPr>
    </w:lvl>
    <w:lvl w:ilvl="3">
      <w:start w:val="1"/>
      <w:numFmt w:val="lowerRoman"/>
      <w:lvlText w:val="(%4)"/>
      <w:lvlJc w:val="left"/>
      <w:pPr>
        <w:tabs>
          <w:tab w:val="num" w:pos="2160"/>
        </w:tabs>
        <w:ind w:left="2160" w:hanging="360"/>
      </w:pPr>
      <w:rPr>
        <w:rFonts w:hint="default"/>
      </w:rPr>
    </w:lvl>
    <w:lvl w:ilvl="4">
      <w:start w:val="1"/>
      <w:numFmt w:val="upperLetter"/>
      <w:lvlText w:val="(%5)"/>
      <w:lvlJc w:val="left"/>
      <w:pPr>
        <w:tabs>
          <w:tab w:val="num" w:pos="3600"/>
        </w:tabs>
        <w:ind w:left="3600" w:hanging="360"/>
      </w:pPr>
      <w:rPr>
        <w:rFonts w:hint="default"/>
        <w:b w:val="0"/>
        <w:i w:val="0"/>
        <w:sz w:val="22"/>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622D361A"/>
    <w:multiLevelType w:val="hybridMultilevel"/>
    <w:tmpl w:val="02584B66"/>
    <w:lvl w:ilvl="0" w:tplc="37B0AD70">
      <w:start w:val="1"/>
      <w:numFmt w:val="decimal"/>
      <w:lvlText w:val="%1."/>
      <w:lvlJc w:val="left"/>
      <w:pPr>
        <w:tabs>
          <w:tab w:val="num" w:pos="3025"/>
        </w:tabs>
        <w:ind w:left="3025" w:hanging="360"/>
      </w:pPr>
      <w:rPr>
        <w:rFonts w:hint="default"/>
      </w:rPr>
    </w:lvl>
    <w:lvl w:ilvl="1" w:tplc="8280FA62">
      <w:start w:val="1"/>
      <w:numFmt w:val="lowerLetter"/>
      <w:lvlText w:val="(%2)"/>
      <w:lvlJc w:val="left"/>
      <w:pPr>
        <w:tabs>
          <w:tab w:val="num" w:pos="1545"/>
        </w:tabs>
        <w:ind w:left="1545" w:hanging="46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69035E"/>
    <w:multiLevelType w:val="hybridMultilevel"/>
    <w:tmpl w:val="C578394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49F6A61"/>
    <w:multiLevelType w:val="hybridMultilevel"/>
    <w:tmpl w:val="30849BFE"/>
    <w:lvl w:ilvl="0" w:tplc="05443D6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422BF"/>
    <w:multiLevelType w:val="hybridMultilevel"/>
    <w:tmpl w:val="6254A690"/>
    <w:lvl w:ilvl="0" w:tplc="DAF2220E">
      <w:start w:val="5"/>
      <w:numFmt w:val="decimal"/>
      <w:lvlText w:val="%1."/>
      <w:lvlJc w:val="left"/>
      <w:pPr>
        <w:ind w:left="199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3523CF"/>
    <w:multiLevelType w:val="hybridMultilevel"/>
    <w:tmpl w:val="1C343CB4"/>
    <w:lvl w:ilvl="0" w:tplc="6AE43380">
      <w:start w:val="1"/>
      <w:numFmt w:val="lowerLetter"/>
      <w:lvlText w:val="%1."/>
      <w:lvlJc w:val="left"/>
      <w:pPr>
        <w:ind w:left="990" w:hanging="63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6532921"/>
    <w:multiLevelType w:val="hybridMultilevel"/>
    <w:tmpl w:val="35DCB100"/>
    <w:lvl w:ilvl="0" w:tplc="5D2E012C">
      <w:start w:val="1"/>
      <w:numFmt w:val="lowerRoman"/>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8437FD4"/>
    <w:multiLevelType w:val="hybridMultilevel"/>
    <w:tmpl w:val="8494B1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C0C2E17"/>
    <w:multiLevelType w:val="hybridMultilevel"/>
    <w:tmpl w:val="94C027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E374E70"/>
    <w:multiLevelType w:val="hybridMultilevel"/>
    <w:tmpl w:val="113C89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BD3D85"/>
    <w:multiLevelType w:val="hybridMultilevel"/>
    <w:tmpl w:val="A266A874"/>
    <w:lvl w:ilvl="0" w:tplc="8280FA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7"/>
  </w:num>
  <w:num w:numId="3">
    <w:abstractNumId w:val="29"/>
  </w:num>
  <w:num w:numId="4">
    <w:abstractNumId w:val="29"/>
  </w:num>
  <w:num w:numId="5">
    <w:abstractNumId w:val="24"/>
  </w:num>
  <w:num w:numId="6">
    <w:abstractNumId w:val="7"/>
  </w:num>
  <w:num w:numId="7">
    <w:abstractNumId w:val="6"/>
  </w:num>
  <w:num w:numId="8">
    <w:abstractNumId w:val="3"/>
  </w:num>
  <w:num w:numId="9">
    <w:abstractNumId w:val="33"/>
  </w:num>
  <w:num w:numId="10">
    <w:abstractNumId w:val="12"/>
  </w:num>
  <w:num w:numId="11">
    <w:abstractNumId w:val="18"/>
  </w:num>
  <w:num w:numId="12">
    <w:abstractNumId w:val="19"/>
  </w:num>
  <w:num w:numId="13">
    <w:abstractNumId w:val="32"/>
  </w:num>
  <w:num w:numId="14">
    <w:abstractNumId w:val="25"/>
  </w:num>
  <w:num w:numId="15">
    <w:abstractNumId w:val="20"/>
  </w:num>
  <w:num w:numId="16">
    <w:abstractNumId w:val="30"/>
  </w:num>
  <w:num w:numId="17">
    <w:abstractNumId w:val="42"/>
  </w:num>
  <w:num w:numId="18">
    <w:abstractNumId w:val="8"/>
  </w:num>
  <w:num w:numId="19">
    <w:abstractNumId w:val="13"/>
  </w:num>
  <w:num w:numId="20">
    <w:abstractNumId w:val="31"/>
  </w:num>
  <w:num w:numId="21">
    <w:abstractNumId w:val="15"/>
  </w:num>
  <w:num w:numId="22">
    <w:abstractNumId w:val="27"/>
  </w:num>
  <w:num w:numId="23">
    <w:abstractNumId w:val="38"/>
  </w:num>
  <w:num w:numId="24">
    <w:abstractNumId w:val="16"/>
  </w:num>
  <w:num w:numId="25">
    <w:abstractNumId w:val="35"/>
  </w:num>
  <w:num w:numId="26">
    <w:abstractNumId w:val="36"/>
  </w:num>
  <w:num w:numId="27">
    <w:abstractNumId w:val="41"/>
  </w:num>
  <w:num w:numId="28">
    <w:abstractNumId w:val="29"/>
  </w:num>
  <w:num w:numId="29">
    <w:abstractNumId w:val="1"/>
  </w:num>
  <w:num w:numId="30">
    <w:abstractNumId w:val="14"/>
  </w:num>
  <w:num w:numId="31">
    <w:abstractNumId w:val="2"/>
  </w:num>
  <w:num w:numId="32">
    <w:abstractNumId w:val="37"/>
  </w:num>
  <w:num w:numId="33">
    <w:abstractNumId w:val="21"/>
  </w:num>
  <w:num w:numId="34">
    <w:abstractNumId w:val="23"/>
  </w:num>
  <w:num w:numId="35">
    <w:abstractNumId w:val="34"/>
  </w:num>
  <w:num w:numId="36">
    <w:abstractNumId w:val="28"/>
  </w:num>
  <w:num w:numId="37">
    <w:abstractNumId w:val="5"/>
  </w:num>
  <w:num w:numId="38">
    <w:abstractNumId w:val="11"/>
  </w:num>
  <w:num w:numId="39">
    <w:abstractNumId w:val="4"/>
  </w:num>
  <w:num w:numId="40">
    <w:abstractNumId w:val="39"/>
  </w:num>
  <w:num w:numId="41">
    <w:abstractNumId w:val="9"/>
  </w:num>
  <w:num w:numId="42">
    <w:abstractNumId w:val="40"/>
  </w:num>
  <w:num w:numId="43">
    <w:abstractNumId w:val="0"/>
  </w:num>
  <w:num w:numId="44">
    <w:abstractNumId w:val="26"/>
  </w:num>
  <w:num w:numId="45">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6" w:nlCheck="1" w:checkStyle="1"/>
  <w:activeWritingStyle w:appName="MSWord" w:lang="en-US" w:vendorID="64" w:dllVersion="6" w:nlCheck="1" w:checkStyle="0"/>
  <w:activeWritingStyle w:appName="MSWord" w:lang="en-GB" w:vendorID="64" w:dllVersion="6" w:nlCheck="1" w:checkStyle="0"/>
  <w:activeWritingStyle w:appName="MSWord" w:lang="es-E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CH" w:vendorID="64" w:dllVersion="6" w:nlCheck="1" w:checkStyle="0"/>
  <w:activeWritingStyle w:appName="MSWord" w:lang="en-CA" w:vendorID="64" w:dllVersion="6" w:nlCheck="1" w:checkStyle="0"/>
  <w:activeWritingStyle w:appName="MSWord" w:lang="en-GB" w:vendorID="64" w:dllVersion="131078" w:nlCheck="1" w:checkStyle="0"/>
  <w:activeWritingStyle w:appName="MSWord" w:lang="en-US" w:vendorID="64" w:dllVersion="131078" w:nlCheck="1" w:checkStyle="0"/>
  <w:activeWritingStyle w:appName="MSWord" w:lang="en-CA" w:vendorID="64" w:dllVersion="131078" w:nlCheck="1" w:checkStyle="0"/>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F7503"/>
    <w:rsid w:val="00000858"/>
    <w:rsid w:val="00006118"/>
    <w:rsid w:val="00010792"/>
    <w:rsid w:val="000108DD"/>
    <w:rsid w:val="000149E6"/>
    <w:rsid w:val="000150A0"/>
    <w:rsid w:val="0001755A"/>
    <w:rsid w:val="0002358B"/>
    <w:rsid w:val="00023A6B"/>
    <w:rsid w:val="000247B0"/>
    <w:rsid w:val="00026997"/>
    <w:rsid w:val="00033E0B"/>
    <w:rsid w:val="00034138"/>
    <w:rsid w:val="00035EDE"/>
    <w:rsid w:val="0003610D"/>
    <w:rsid w:val="000509B4"/>
    <w:rsid w:val="00056093"/>
    <w:rsid w:val="0006035B"/>
    <w:rsid w:val="00060D14"/>
    <w:rsid w:val="00065E48"/>
    <w:rsid w:val="00066A2E"/>
    <w:rsid w:val="00071886"/>
    <w:rsid w:val="00073211"/>
    <w:rsid w:val="000742BC"/>
    <w:rsid w:val="00080C27"/>
    <w:rsid w:val="00081B8C"/>
    <w:rsid w:val="00082A0C"/>
    <w:rsid w:val="00083504"/>
    <w:rsid w:val="00083D80"/>
    <w:rsid w:val="00085A61"/>
    <w:rsid w:val="00090613"/>
    <w:rsid w:val="00090B47"/>
    <w:rsid w:val="00093199"/>
    <w:rsid w:val="0009640C"/>
    <w:rsid w:val="000A1731"/>
    <w:rsid w:val="000A314B"/>
    <w:rsid w:val="000A5938"/>
    <w:rsid w:val="000A6D59"/>
    <w:rsid w:val="000A70A2"/>
    <w:rsid w:val="000B22A2"/>
    <w:rsid w:val="000B27FA"/>
    <w:rsid w:val="000B47AF"/>
    <w:rsid w:val="000C2A52"/>
    <w:rsid w:val="000D0EFE"/>
    <w:rsid w:val="000D23E0"/>
    <w:rsid w:val="000D33C0"/>
    <w:rsid w:val="000D6941"/>
    <w:rsid w:val="000D72F4"/>
    <w:rsid w:val="000F25B3"/>
    <w:rsid w:val="000F66FC"/>
    <w:rsid w:val="000F69EB"/>
    <w:rsid w:val="00110472"/>
    <w:rsid w:val="00112D3F"/>
    <w:rsid w:val="00113650"/>
    <w:rsid w:val="001202E3"/>
    <w:rsid w:val="00123699"/>
    <w:rsid w:val="00123803"/>
    <w:rsid w:val="001252F9"/>
    <w:rsid w:val="0013059D"/>
    <w:rsid w:val="00141A55"/>
    <w:rsid w:val="001446A3"/>
    <w:rsid w:val="00147973"/>
    <w:rsid w:val="00150239"/>
    <w:rsid w:val="00155395"/>
    <w:rsid w:val="00157E77"/>
    <w:rsid w:val="00157EA8"/>
    <w:rsid w:val="001604D8"/>
    <w:rsid w:val="00160D74"/>
    <w:rsid w:val="00165929"/>
    <w:rsid w:val="00167D02"/>
    <w:rsid w:val="001733EA"/>
    <w:rsid w:val="00181EC8"/>
    <w:rsid w:val="00184349"/>
    <w:rsid w:val="0018709C"/>
    <w:rsid w:val="001872C1"/>
    <w:rsid w:val="0019393C"/>
    <w:rsid w:val="0019515D"/>
    <w:rsid w:val="00195F33"/>
    <w:rsid w:val="00196051"/>
    <w:rsid w:val="001B1617"/>
    <w:rsid w:val="001B1F8D"/>
    <w:rsid w:val="001B45F8"/>
    <w:rsid w:val="001B504B"/>
    <w:rsid w:val="001B5253"/>
    <w:rsid w:val="001B5F45"/>
    <w:rsid w:val="001B64B2"/>
    <w:rsid w:val="001D355B"/>
    <w:rsid w:val="001D3874"/>
    <w:rsid w:val="001D7E75"/>
    <w:rsid w:val="001E4C25"/>
    <w:rsid w:val="001E56D2"/>
    <w:rsid w:val="001E7D56"/>
    <w:rsid w:val="001F32E4"/>
    <w:rsid w:val="001F5F40"/>
    <w:rsid w:val="001F6143"/>
    <w:rsid w:val="001F75DE"/>
    <w:rsid w:val="002001C7"/>
    <w:rsid w:val="00200D58"/>
    <w:rsid w:val="002013BE"/>
    <w:rsid w:val="002063A4"/>
    <w:rsid w:val="00207DD4"/>
    <w:rsid w:val="00210DB3"/>
    <w:rsid w:val="0021145B"/>
    <w:rsid w:val="0021287E"/>
    <w:rsid w:val="00212AB3"/>
    <w:rsid w:val="00212F23"/>
    <w:rsid w:val="00217C34"/>
    <w:rsid w:val="00221E5F"/>
    <w:rsid w:val="00223C18"/>
    <w:rsid w:val="00223FC9"/>
    <w:rsid w:val="002365C0"/>
    <w:rsid w:val="00243D36"/>
    <w:rsid w:val="002440A1"/>
    <w:rsid w:val="00245EEE"/>
    <w:rsid w:val="0024760C"/>
    <w:rsid w:val="00247707"/>
    <w:rsid w:val="00254B79"/>
    <w:rsid w:val="00260078"/>
    <w:rsid w:val="0026018E"/>
    <w:rsid w:val="00262436"/>
    <w:rsid w:val="00273CBA"/>
    <w:rsid w:val="00274586"/>
    <w:rsid w:val="00274BB6"/>
    <w:rsid w:val="00280A83"/>
    <w:rsid w:val="00286740"/>
    <w:rsid w:val="002929D8"/>
    <w:rsid w:val="0029784F"/>
    <w:rsid w:val="002A02EB"/>
    <w:rsid w:val="002A237D"/>
    <w:rsid w:val="002A4C53"/>
    <w:rsid w:val="002A69CE"/>
    <w:rsid w:val="002A7E18"/>
    <w:rsid w:val="002B0672"/>
    <w:rsid w:val="002B247F"/>
    <w:rsid w:val="002B7733"/>
    <w:rsid w:val="002B7929"/>
    <w:rsid w:val="002C0546"/>
    <w:rsid w:val="002C145D"/>
    <w:rsid w:val="002C1C29"/>
    <w:rsid w:val="002C2C3E"/>
    <w:rsid w:val="002C533E"/>
    <w:rsid w:val="002D027F"/>
    <w:rsid w:val="002D0D9F"/>
    <w:rsid w:val="002D1319"/>
    <w:rsid w:val="002D4DBC"/>
    <w:rsid w:val="002D703C"/>
    <w:rsid w:val="002D7A85"/>
    <w:rsid w:val="002D7B60"/>
    <w:rsid w:val="002E03D8"/>
    <w:rsid w:val="002E16CD"/>
    <w:rsid w:val="002E217A"/>
    <w:rsid w:val="002E7FEE"/>
    <w:rsid w:val="002F1BF0"/>
    <w:rsid w:val="002F36C3"/>
    <w:rsid w:val="002F3FF5"/>
    <w:rsid w:val="002F4761"/>
    <w:rsid w:val="002F5C79"/>
    <w:rsid w:val="002F7839"/>
    <w:rsid w:val="00300A99"/>
    <w:rsid w:val="003019E2"/>
    <w:rsid w:val="00304F87"/>
    <w:rsid w:val="00306948"/>
    <w:rsid w:val="00312931"/>
    <w:rsid w:val="0031413F"/>
    <w:rsid w:val="003148BB"/>
    <w:rsid w:val="00317976"/>
    <w:rsid w:val="00321A89"/>
    <w:rsid w:val="00324520"/>
    <w:rsid w:val="00325D8A"/>
    <w:rsid w:val="003334EC"/>
    <w:rsid w:val="00335342"/>
    <w:rsid w:val="003358B6"/>
    <w:rsid w:val="0034575F"/>
    <w:rsid w:val="003544FB"/>
    <w:rsid w:val="00354BF7"/>
    <w:rsid w:val="00355EA9"/>
    <w:rsid w:val="0035769D"/>
    <w:rsid w:val="003578DE"/>
    <w:rsid w:val="0036046B"/>
    <w:rsid w:val="003728D9"/>
    <w:rsid w:val="00376D3F"/>
    <w:rsid w:val="0038063E"/>
    <w:rsid w:val="00387BB8"/>
    <w:rsid w:val="0039045C"/>
    <w:rsid w:val="00393050"/>
    <w:rsid w:val="00393327"/>
    <w:rsid w:val="00394841"/>
    <w:rsid w:val="00396257"/>
    <w:rsid w:val="00397EB8"/>
    <w:rsid w:val="003A18FD"/>
    <w:rsid w:val="003A3270"/>
    <w:rsid w:val="003A4FD0"/>
    <w:rsid w:val="003A53BF"/>
    <w:rsid w:val="003A54D5"/>
    <w:rsid w:val="003A69D1"/>
    <w:rsid w:val="003A7705"/>
    <w:rsid w:val="003A77F1"/>
    <w:rsid w:val="003B1545"/>
    <w:rsid w:val="003B4A35"/>
    <w:rsid w:val="003B604F"/>
    <w:rsid w:val="003C02E5"/>
    <w:rsid w:val="003C0A8A"/>
    <w:rsid w:val="003C409D"/>
    <w:rsid w:val="003C5BA6"/>
    <w:rsid w:val="003D09B4"/>
    <w:rsid w:val="003D5BC7"/>
    <w:rsid w:val="003D5CD8"/>
    <w:rsid w:val="003D6CB6"/>
    <w:rsid w:val="003E313D"/>
    <w:rsid w:val="003E7624"/>
    <w:rsid w:val="003F0E85"/>
    <w:rsid w:val="003F14EF"/>
    <w:rsid w:val="003F2380"/>
    <w:rsid w:val="00410C55"/>
    <w:rsid w:val="00411D27"/>
    <w:rsid w:val="004142C2"/>
    <w:rsid w:val="00414D81"/>
    <w:rsid w:val="00416854"/>
    <w:rsid w:val="00417725"/>
    <w:rsid w:val="0042013A"/>
    <w:rsid w:val="00420AB3"/>
    <w:rsid w:val="00423FEE"/>
    <w:rsid w:val="00424A23"/>
    <w:rsid w:val="004254D3"/>
    <w:rsid w:val="004266FC"/>
    <w:rsid w:val="00437F26"/>
    <w:rsid w:val="00444097"/>
    <w:rsid w:val="00444EDD"/>
    <w:rsid w:val="00445487"/>
    <w:rsid w:val="00445967"/>
    <w:rsid w:val="004471BD"/>
    <w:rsid w:val="004528BA"/>
    <w:rsid w:val="00452A02"/>
    <w:rsid w:val="00454769"/>
    <w:rsid w:val="004549F3"/>
    <w:rsid w:val="00462FDD"/>
    <w:rsid w:val="00465924"/>
    <w:rsid w:val="00466991"/>
    <w:rsid w:val="0047064C"/>
    <w:rsid w:val="00473EA9"/>
    <w:rsid w:val="00490115"/>
    <w:rsid w:val="00491579"/>
    <w:rsid w:val="004958AA"/>
    <w:rsid w:val="004A3926"/>
    <w:rsid w:val="004A42E1"/>
    <w:rsid w:val="004A5C16"/>
    <w:rsid w:val="004B162C"/>
    <w:rsid w:val="004B1FCE"/>
    <w:rsid w:val="004B2B86"/>
    <w:rsid w:val="004B2CBA"/>
    <w:rsid w:val="004B5021"/>
    <w:rsid w:val="004C15DE"/>
    <w:rsid w:val="004C2CCC"/>
    <w:rsid w:val="004C3DBE"/>
    <w:rsid w:val="004C5C96"/>
    <w:rsid w:val="004D06A4"/>
    <w:rsid w:val="004E4B83"/>
    <w:rsid w:val="004E5852"/>
    <w:rsid w:val="004F07DC"/>
    <w:rsid w:val="004F1A81"/>
    <w:rsid w:val="004F4B9A"/>
    <w:rsid w:val="0050434B"/>
    <w:rsid w:val="0051759F"/>
    <w:rsid w:val="00517FD3"/>
    <w:rsid w:val="005218D9"/>
    <w:rsid w:val="00522A1F"/>
    <w:rsid w:val="00524FDC"/>
    <w:rsid w:val="00525AE5"/>
    <w:rsid w:val="005300E6"/>
    <w:rsid w:val="00531BFF"/>
    <w:rsid w:val="00533631"/>
    <w:rsid w:val="00534553"/>
    <w:rsid w:val="0053603E"/>
    <w:rsid w:val="00536186"/>
    <w:rsid w:val="00537C16"/>
    <w:rsid w:val="00543F86"/>
    <w:rsid w:val="00544CBB"/>
    <w:rsid w:val="00544F3C"/>
    <w:rsid w:val="00545619"/>
    <w:rsid w:val="005473E0"/>
    <w:rsid w:val="0055183D"/>
    <w:rsid w:val="00551932"/>
    <w:rsid w:val="00557E31"/>
    <w:rsid w:val="0056200D"/>
    <w:rsid w:val="00562025"/>
    <w:rsid w:val="00562771"/>
    <w:rsid w:val="005639B4"/>
    <w:rsid w:val="00572E61"/>
    <w:rsid w:val="0057315F"/>
    <w:rsid w:val="00576104"/>
    <w:rsid w:val="00581E10"/>
    <w:rsid w:val="00581EA0"/>
    <w:rsid w:val="005826B9"/>
    <w:rsid w:val="00592607"/>
    <w:rsid w:val="005A1223"/>
    <w:rsid w:val="005A5CB6"/>
    <w:rsid w:val="005A78A7"/>
    <w:rsid w:val="005A79FE"/>
    <w:rsid w:val="005B08CE"/>
    <w:rsid w:val="005B0C65"/>
    <w:rsid w:val="005B4DB2"/>
    <w:rsid w:val="005C32E1"/>
    <w:rsid w:val="005C45B3"/>
    <w:rsid w:val="005C67C8"/>
    <w:rsid w:val="005C7E12"/>
    <w:rsid w:val="005D0249"/>
    <w:rsid w:val="005D6E8C"/>
    <w:rsid w:val="005D7684"/>
    <w:rsid w:val="005E037F"/>
    <w:rsid w:val="005E5A50"/>
    <w:rsid w:val="005E6ADE"/>
    <w:rsid w:val="005F100C"/>
    <w:rsid w:val="005F5B6F"/>
    <w:rsid w:val="005F68DA"/>
    <w:rsid w:val="006003C6"/>
    <w:rsid w:val="00600D9D"/>
    <w:rsid w:val="006015E9"/>
    <w:rsid w:val="00606414"/>
    <w:rsid w:val="0060773B"/>
    <w:rsid w:val="00611134"/>
    <w:rsid w:val="00613020"/>
    <w:rsid w:val="0061573E"/>
    <w:rsid w:val="006157B5"/>
    <w:rsid w:val="006246AF"/>
    <w:rsid w:val="00625DD8"/>
    <w:rsid w:val="0062648A"/>
    <w:rsid w:val="00626FC6"/>
    <w:rsid w:val="00627EB0"/>
    <w:rsid w:val="006303B4"/>
    <w:rsid w:val="00633D3D"/>
    <w:rsid w:val="00635A51"/>
    <w:rsid w:val="00637694"/>
    <w:rsid w:val="00641703"/>
    <w:rsid w:val="006431A6"/>
    <w:rsid w:val="006459F6"/>
    <w:rsid w:val="00646B04"/>
    <w:rsid w:val="006501AD"/>
    <w:rsid w:val="00650839"/>
    <w:rsid w:val="00651BFA"/>
    <w:rsid w:val="00654475"/>
    <w:rsid w:val="006549C3"/>
    <w:rsid w:val="006634B6"/>
    <w:rsid w:val="00665A4B"/>
    <w:rsid w:val="00666353"/>
    <w:rsid w:val="00667E03"/>
    <w:rsid w:val="00672D17"/>
    <w:rsid w:val="0067667F"/>
    <w:rsid w:val="006838AE"/>
    <w:rsid w:val="00687F10"/>
    <w:rsid w:val="0069029B"/>
    <w:rsid w:val="00691343"/>
    <w:rsid w:val="00692E2A"/>
    <w:rsid w:val="0069409B"/>
    <w:rsid w:val="006A5F2F"/>
    <w:rsid w:val="006A76F2"/>
    <w:rsid w:val="006B487B"/>
    <w:rsid w:val="006B4BF7"/>
    <w:rsid w:val="006B6484"/>
    <w:rsid w:val="006C0813"/>
    <w:rsid w:val="006C101D"/>
    <w:rsid w:val="006C1782"/>
    <w:rsid w:val="006C4640"/>
    <w:rsid w:val="006D13B1"/>
    <w:rsid w:val="006D7EFB"/>
    <w:rsid w:val="006E35F4"/>
    <w:rsid w:val="006E4608"/>
    <w:rsid w:val="006E611F"/>
    <w:rsid w:val="006E6672"/>
    <w:rsid w:val="006E6722"/>
    <w:rsid w:val="006F1893"/>
    <w:rsid w:val="006F2AB7"/>
    <w:rsid w:val="006F465E"/>
    <w:rsid w:val="007027B9"/>
    <w:rsid w:val="007028C7"/>
    <w:rsid w:val="00715E88"/>
    <w:rsid w:val="00717B4D"/>
    <w:rsid w:val="00725389"/>
    <w:rsid w:val="00727FA1"/>
    <w:rsid w:val="00730E33"/>
    <w:rsid w:val="00730F40"/>
    <w:rsid w:val="00732239"/>
    <w:rsid w:val="00734CAA"/>
    <w:rsid w:val="00740B24"/>
    <w:rsid w:val="00742611"/>
    <w:rsid w:val="00745D8C"/>
    <w:rsid w:val="00750473"/>
    <w:rsid w:val="0075353F"/>
    <w:rsid w:val="007538D8"/>
    <w:rsid w:val="0075525D"/>
    <w:rsid w:val="007552FF"/>
    <w:rsid w:val="0075533C"/>
    <w:rsid w:val="00757581"/>
    <w:rsid w:val="00760D4F"/>
    <w:rsid w:val="007611A0"/>
    <w:rsid w:val="007708A9"/>
    <w:rsid w:val="00771FE3"/>
    <w:rsid w:val="00781BED"/>
    <w:rsid w:val="00793959"/>
    <w:rsid w:val="007960D2"/>
    <w:rsid w:val="007961B3"/>
    <w:rsid w:val="0079698D"/>
    <w:rsid w:val="00796D3F"/>
    <w:rsid w:val="007A1683"/>
    <w:rsid w:val="007A5329"/>
    <w:rsid w:val="007A5C12"/>
    <w:rsid w:val="007A65D9"/>
    <w:rsid w:val="007A7CB0"/>
    <w:rsid w:val="007B68A3"/>
    <w:rsid w:val="007C2541"/>
    <w:rsid w:val="007C3E8C"/>
    <w:rsid w:val="007C535E"/>
    <w:rsid w:val="007D41EB"/>
    <w:rsid w:val="007D66A8"/>
    <w:rsid w:val="007E003F"/>
    <w:rsid w:val="007E4474"/>
    <w:rsid w:val="007E4A3D"/>
    <w:rsid w:val="007F3986"/>
    <w:rsid w:val="007F5151"/>
    <w:rsid w:val="00802185"/>
    <w:rsid w:val="0080332F"/>
    <w:rsid w:val="00803400"/>
    <w:rsid w:val="00807D3D"/>
    <w:rsid w:val="00813F2E"/>
    <w:rsid w:val="008164F2"/>
    <w:rsid w:val="00821395"/>
    <w:rsid w:val="008238FD"/>
    <w:rsid w:val="00826FE5"/>
    <w:rsid w:val="00830E26"/>
    <w:rsid w:val="00831BC9"/>
    <w:rsid w:val="00832B9D"/>
    <w:rsid w:val="00834AB0"/>
    <w:rsid w:val="00837FCA"/>
    <w:rsid w:val="00843576"/>
    <w:rsid w:val="0084376C"/>
    <w:rsid w:val="00843B64"/>
    <w:rsid w:val="00843D6B"/>
    <w:rsid w:val="008443FE"/>
    <w:rsid w:val="0084470F"/>
    <w:rsid w:val="00845AF2"/>
    <w:rsid w:val="0084764B"/>
    <w:rsid w:val="008478FC"/>
    <w:rsid w:val="00850CF5"/>
    <w:rsid w:val="00853ECD"/>
    <w:rsid w:val="008554F0"/>
    <w:rsid w:val="0085695D"/>
    <w:rsid w:val="008614C2"/>
    <w:rsid w:val="00861AB8"/>
    <w:rsid w:val="00861F36"/>
    <w:rsid w:val="00862E77"/>
    <w:rsid w:val="008639BD"/>
    <w:rsid w:val="00863A4A"/>
    <w:rsid w:val="008663CD"/>
    <w:rsid w:val="00866EF2"/>
    <w:rsid w:val="00867BFF"/>
    <w:rsid w:val="008741D6"/>
    <w:rsid w:val="00883BA2"/>
    <w:rsid w:val="0088480A"/>
    <w:rsid w:val="0088757A"/>
    <w:rsid w:val="00894AAC"/>
    <w:rsid w:val="00894D2A"/>
    <w:rsid w:val="008957DD"/>
    <w:rsid w:val="00897D98"/>
    <w:rsid w:val="008A4472"/>
    <w:rsid w:val="008A4A91"/>
    <w:rsid w:val="008A6DF2"/>
    <w:rsid w:val="008A7807"/>
    <w:rsid w:val="008B2B8C"/>
    <w:rsid w:val="008B4466"/>
    <w:rsid w:val="008B4CC9"/>
    <w:rsid w:val="008C350C"/>
    <w:rsid w:val="008C5802"/>
    <w:rsid w:val="008C6233"/>
    <w:rsid w:val="008C6850"/>
    <w:rsid w:val="008C722E"/>
    <w:rsid w:val="008D0370"/>
    <w:rsid w:val="008D4033"/>
    <w:rsid w:val="008D57A2"/>
    <w:rsid w:val="008D7C99"/>
    <w:rsid w:val="008E0FCB"/>
    <w:rsid w:val="008E32B4"/>
    <w:rsid w:val="008E53A8"/>
    <w:rsid w:val="008E5D17"/>
    <w:rsid w:val="008F554F"/>
    <w:rsid w:val="008F5947"/>
    <w:rsid w:val="009017D0"/>
    <w:rsid w:val="00911406"/>
    <w:rsid w:val="009117FE"/>
    <w:rsid w:val="00912791"/>
    <w:rsid w:val="009203C9"/>
    <w:rsid w:val="0092178C"/>
    <w:rsid w:val="00923EDA"/>
    <w:rsid w:val="0092750C"/>
    <w:rsid w:val="00930B88"/>
    <w:rsid w:val="00931DFC"/>
    <w:rsid w:val="009332C4"/>
    <w:rsid w:val="009379B9"/>
    <w:rsid w:val="00940DCC"/>
    <w:rsid w:val="0094179A"/>
    <w:rsid w:val="009420E5"/>
    <w:rsid w:val="0094459E"/>
    <w:rsid w:val="00944DBC"/>
    <w:rsid w:val="00945921"/>
    <w:rsid w:val="00945B7D"/>
    <w:rsid w:val="0094628A"/>
    <w:rsid w:val="00946E85"/>
    <w:rsid w:val="00950977"/>
    <w:rsid w:val="00951A7B"/>
    <w:rsid w:val="00953A1F"/>
    <w:rsid w:val="00953F5C"/>
    <w:rsid w:val="0095444E"/>
    <w:rsid w:val="009564A6"/>
    <w:rsid w:val="00957678"/>
    <w:rsid w:val="0095772E"/>
    <w:rsid w:val="009604F8"/>
    <w:rsid w:val="00967621"/>
    <w:rsid w:val="00967867"/>
    <w:rsid w:val="00967E6A"/>
    <w:rsid w:val="009775DC"/>
    <w:rsid w:val="00980228"/>
    <w:rsid w:val="00981D2B"/>
    <w:rsid w:val="00982B86"/>
    <w:rsid w:val="00996388"/>
    <w:rsid w:val="009973B5"/>
    <w:rsid w:val="009B261E"/>
    <w:rsid w:val="009B4A0F"/>
    <w:rsid w:val="009C11D2"/>
    <w:rsid w:val="009C3A66"/>
    <w:rsid w:val="009C6C70"/>
    <w:rsid w:val="009D0B63"/>
    <w:rsid w:val="009D3021"/>
    <w:rsid w:val="009D6BB2"/>
    <w:rsid w:val="009E307E"/>
    <w:rsid w:val="009E788A"/>
    <w:rsid w:val="009F2CCA"/>
    <w:rsid w:val="00A006EE"/>
    <w:rsid w:val="00A03B7F"/>
    <w:rsid w:val="00A03FE0"/>
    <w:rsid w:val="00A042C4"/>
    <w:rsid w:val="00A0454B"/>
    <w:rsid w:val="00A057C8"/>
    <w:rsid w:val="00A07870"/>
    <w:rsid w:val="00A07F19"/>
    <w:rsid w:val="00A1348D"/>
    <w:rsid w:val="00A21B0D"/>
    <w:rsid w:val="00A232EE"/>
    <w:rsid w:val="00A263EF"/>
    <w:rsid w:val="00A31FB2"/>
    <w:rsid w:val="00A35DA0"/>
    <w:rsid w:val="00A4175F"/>
    <w:rsid w:val="00A44411"/>
    <w:rsid w:val="00A462CB"/>
    <w:rsid w:val="00A469FA"/>
    <w:rsid w:val="00A46DFB"/>
    <w:rsid w:val="00A47E6C"/>
    <w:rsid w:val="00A5212F"/>
    <w:rsid w:val="00A52367"/>
    <w:rsid w:val="00A55B01"/>
    <w:rsid w:val="00A56B5B"/>
    <w:rsid w:val="00A603FF"/>
    <w:rsid w:val="00A60D7F"/>
    <w:rsid w:val="00A61E8C"/>
    <w:rsid w:val="00A6297E"/>
    <w:rsid w:val="00A62CE9"/>
    <w:rsid w:val="00A657DD"/>
    <w:rsid w:val="00A665AD"/>
    <w:rsid w:val="00A666A6"/>
    <w:rsid w:val="00A66DA7"/>
    <w:rsid w:val="00A675FD"/>
    <w:rsid w:val="00A72437"/>
    <w:rsid w:val="00A77E7C"/>
    <w:rsid w:val="00A80611"/>
    <w:rsid w:val="00A8404C"/>
    <w:rsid w:val="00A912EA"/>
    <w:rsid w:val="00A91C98"/>
    <w:rsid w:val="00A92411"/>
    <w:rsid w:val="00A9356E"/>
    <w:rsid w:val="00A95AE4"/>
    <w:rsid w:val="00AA18BD"/>
    <w:rsid w:val="00AA2C51"/>
    <w:rsid w:val="00AA568B"/>
    <w:rsid w:val="00AA5809"/>
    <w:rsid w:val="00AB0849"/>
    <w:rsid w:val="00AB41AD"/>
    <w:rsid w:val="00AB5340"/>
    <w:rsid w:val="00AB7DF4"/>
    <w:rsid w:val="00AC0A89"/>
    <w:rsid w:val="00AC1769"/>
    <w:rsid w:val="00AC4DF9"/>
    <w:rsid w:val="00AC573A"/>
    <w:rsid w:val="00AC5888"/>
    <w:rsid w:val="00AC6FA3"/>
    <w:rsid w:val="00AC7B5F"/>
    <w:rsid w:val="00AC7C96"/>
    <w:rsid w:val="00AD175A"/>
    <w:rsid w:val="00AD2E28"/>
    <w:rsid w:val="00AD5252"/>
    <w:rsid w:val="00AD6B0E"/>
    <w:rsid w:val="00AD7363"/>
    <w:rsid w:val="00AD7DC7"/>
    <w:rsid w:val="00AE237D"/>
    <w:rsid w:val="00AE2695"/>
    <w:rsid w:val="00AE4110"/>
    <w:rsid w:val="00AE502A"/>
    <w:rsid w:val="00AF44CB"/>
    <w:rsid w:val="00AF7C07"/>
    <w:rsid w:val="00B00AC2"/>
    <w:rsid w:val="00B00B80"/>
    <w:rsid w:val="00B01B79"/>
    <w:rsid w:val="00B026A4"/>
    <w:rsid w:val="00B04620"/>
    <w:rsid w:val="00B062D4"/>
    <w:rsid w:val="00B17289"/>
    <w:rsid w:val="00B22C93"/>
    <w:rsid w:val="00B27589"/>
    <w:rsid w:val="00B405B7"/>
    <w:rsid w:val="00B41003"/>
    <w:rsid w:val="00B52222"/>
    <w:rsid w:val="00B52E0C"/>
    <w:rsid w:val="00B547AC"/>
    <w:rsid w:val="00B54FE7"/>
    <w:rsid w:val="00B56F6F"/>
    <w:rsid w:val="00B610D0"/>
    <w:rsid w:val="00B61BB5"/>
    <w:rsid w:val="00B66901"/>
    <w:rsid w:val="00B71E6D"/>
    <w:rsid w:val="00B72070"/>
    <w:rsid w:val="00B73484"/>
    <w:rsid w:val="00B779E1"/>
    <w:rsid w:val="00B8160B"/>
    <w:rsid w:val="00B81B43"/>
    <w:rsid w:val="00B82583"/>
    <w:rsid w:val="00B82E2A"/>
    <w:rsid w:val="00B85F20"/>
    <w:rsid w:val="00B91EE1"/>
    <w:rsid w:val="00B926AD"/>
    <w:rsid w:val="00B94E22"/>
    <w:rsid w:val="00BA0090"/>
    <w:rsid w:val="00BA1A67"/>
    <w:rsid w:val="00BA255E"/>
    <w:rsid w:val="00BA34BF"/>
    <w:rsid w:val="00BA3E04"/>
    <w:rsid w:val="00BA532B"/>
    <w:rsid w:val="00BA6575"/>
    <w:rsid w:val="00BB2308"/>
    <w:rsid w:val="00BB3056"/>
    <w:rsid w:val="00BB3530"/>
    <w:rsid w:val="00BB5518"/>
    <w:rsid w:val="00BC488B"/>
    <w:rsid w:val="00BD230D"/>
    <w:rsid w:val="00BD2806"/>
    <w:rsid w:val="00BD620E"/>
    <w:rsid w:val="00BE1447"/>
    <w:rsid w:val="00BE5B5F"/>
    <w:rsid w:val="00BE5DE0"/>
    <w:rsid w:val="00BE69E0"/>
    <w:rsid w:val="00BE7751"/>
    <w:rsid w:val="00BE7B17"/>
    <w:rsid w:val="00BF073D"/>
    <w:rsid w:val="00BF0E22"/>
    <w:rsid w:val="00BF6A71"/>
    <w:rsid w:val="00C04F1F"/>
    <w:rsid w:val="00C05C2B"/>
    <w:rsid w:val="00C1049E"/>
    <w:rsid w:val="00C13F61"/>
    <w:rsid w:val="00C15EDF"/>
    <w:rsid w:val="00C16B22"/>
    <w:rsid w:val="00C16FEC"/>
    <w:rsid w:val="00C171E1"/>
    <w:rsid w:val="00C22B2A"/>
    <w:rsid w:val="00C26F55"/>
    <w:rsid w:val="00C30C63"/>
    <w:rsid w:val="00C30F44"/>
    <w:rsid w:val="00C36539"/>
    <w:rsid w:val="00C36B8B"/>
    <w:rsid w:val="00C3736F"/>
    <w:rsid w:val="00C37523"/>
    <w:rsid w:val="00C3772A"/>
    <w:rsid w:val="00C415C1"/>
    <w:rsid w:val="00C438CC"/>
    <w:rsid w:val="00C47183"/>
    <w:rsid w:val="00C47DBF"/>
    <w:rsid w:val="00C47FDF"/>
    <w:rsid w:val="00C552FF"/>
    <w:rsid w:val="00C558DA"/>
    <w:rsid w:val="00C55AF3"/>
    <w:rsid w:val="00C617CB"/>
    <w:rsid w:val="00C66BB8"/>
    <w:rsid w:val="00C66F05"/>
    <w:rsid w:val="00C70CC7"/>
    <w:rsid w:val="00C7394E"/>
    <w:rsid w:val="00C75B3E"/>
    <w:rsid w:val="00C82831"/>
    <w:rsid w:val="00C83A68"/>
    <w:rsid w:val="00C84759"/>
    <w:rsid w:val="00C86D5D"/>
    <w:rsid w:val="00C90A4C"/>
    <w:rsid w:val="00C91423"/>
    <w:rsid w:val="00C91C90"/>
    <w:rsid w:val="00C9467C"/>
    <w:rsid w:val="00CA04C9"/>
    <w:rsid w:val="00CA5743"/>
    <w:rsid w:val="00CA6C7F"/>
    <w:rsid w:val="00CA6CD1"/>
    <w:rsid w:val="00CB1B2E"/>
    <w:rsid w:val="00CB3516"/>
    <w:rsid w:val="00CB42F0"/>
    <w:rsid w:val="00CB4C63"/>
    <w:rsid w:val="00CB4D08"/>
    <w:rsid w:val="00CC10A6"/>
    <w:rsid w:val="00CC6E33"/>
    <w:rsid w:val="00CC70C6"/>
    <w:rsid w:val="00CD5EB8"/>
    <w:rsid w:val="00CD7044"/>
    <w:rsid w:val="00CE08B9"/>
    <w:rsid w:val="00CE1A77"/>
    <w:rsid w:val="00CE524C"/>
    <w:rsid w:val="00CF141F"/>
    <w:rsid w:val="00CF4777"/>
    <w:rsid w:val="00D016FB"/>
    <w:rsid w:val="00D03900"/>
    <w:rsid w:val="00D03A28"/>
    <w:rsid w:val="00D067BB"/>
    <w:rsid w:val="00D07FDC"/>
    <w:rsid w:val="00D1352A"/>
    <w:rsid w:val="00D13F2D"/>
    <w:rsid w:val="00D16638"/>
    <w:rsid w:val="00D169AF"/>
    <w:rsid w:val="00D25249"/>
    <w:rsid w:val="00D265EA"/>
    <w:rsid w:val="00D302B4"/>
    <w:rsid w:val="00D317D4"/>
    <w:rsid w:val="00D324E4"/>
    <w:rsid w:val="00D35BE7"/>
    <w:rsid w:val="00D44172"/>
    <w:rsid w:val="00D45D96"/>
    <w:rsid w:val="00D51160"/>
    <w:rsid w:val="00D51A07"/>
    <w:rsid w:val="00D547B7"/>
    <w:rsid w:val="00D63B8C"/>
    <w:rsid w:val="00D70674"/>
    <w:rsid w:val="00D739CC"/>
    <w:rsid w:val="00D75F84"/>
    <w:rsid w:val="00D80100"/>
    <w:rsid w:val="00D8093D"/>
    <w:rsid w:val="00D8108C"/>
    <w:rsid w:val="00D8275B"/>
    <w:rsid w:val="00D842AE"/>
    <w:rsid w:val="00D85E21"/>
    <w:rsid w:val="00D9211C"/>
    <w:rsid w:val="00D92DE0"/>
    <w:rsid w:val="00D92FEF"/>
    <w:rsid w:val="00D93507"/>
    <w:rsid w:val="00D93A0F"/>
    <w:rsid w:val="00D95AA5"/>
    <w:rsid w:val="00DA03EB"/>
    <w:rsid w:val="00DA1BCA"/>
    <w:rsid w:val="00DA1FED"/>
    <w:rsid w:val="00DA31C5"/>
    <w:rsid w:val="00DA5612"/>
    <w:rsid w:val="00DB0F22"/>
    <w:rsid w:val="00DB3181"/>
    <w:rsid w:val="00DB561A"/>
    <w:rsid w:val="00DB71F8"/>
    <w:rsid w:val="00DC3092"/>
    <w:rsid w:val="00DC3C34"/>
    <w:rsid w:val="00DC46FF"/>
    <w:rsid w:val="00DC5254"/>
    <w:rsid w:val="00DD0EB6"/>
    <w:rsid w:val="00DD1A4F"/>
    <w:rsid w:val="00DD3107"/>
    <w:rsid w:val="00DD6AB7"/>
    <w:rsid w:val="00DD7C2C"/>
    <w:rsid w:val="00DE3FD6"/>
    <w:rsid w:val="00DE4F7E"/>
    <w:rsid w:val="00DE5131"/>
    <w:rsid w:val="00DF287B"/>
    <w:rsid w:val="00DF51B9"/>
    <w:rsid w:val="00E0473E"/>
    <w:rsid w:val="00E06797"/>
    <w:rsid w:val="00E1078C"/>
    <w:rsid w:val="00E1265B"/>
    <w:rsid w:val="00E13B48"/>
    <w:rsid w:val="00E1404F"/>
    <w:rsid w:val="00E14A15"/>
    <w:rsid w:val="00E17D40"/>
    <w:rsid w:val="00E21C83"/>
    <w:rsid w:val="00E24ADA"/>
    <w:rsid w:val="00E24F65"/>
    <w:rsid w:val="00E30AF5"/>
    <w:rsid w:val="00E31058"/>
    <w:rsid w:val="00E32F59"/>
    <w:rsid w:val="00E3428E"/>
    <w:rsid w:val="00E35014"/>
    <w:rsid w:val="00E35107"/>
    <w:rsid w:val="00E4207F"/>
    <w:rsid w:val="00E468D6"/>
    <w:rsid w:val="00E46D9A"/>
    <w:rsid w:val="00E50167"/>
    <w:rsid w:val="00E506BA"/>
    <w:rsid w:val="00E52F4E"/>
    <w:rsid w:val="00E53A72"/>
    <w:rsid w:val="00E565FF"/>
    <w:rsid w:val="00E57D74"/>
    <w:rsid w:val="00E60999"/>
    <w:rsid w:val="00E65388"/>
    <w:rsid w:val="00E70A76"/>
    <w:rsid w:val="00E7365B"/>
    <w:rsid w:val="00E82372"/>
    <w:rsid w:val="00E84468"/>
    <w:rsid w:val="00E85819"/>
    <w:rsid w:val="00E85B7D"/>
    <w:rsid w:val="00E866E3"/>
    <w:rsid w:val="00E9121B"/>
    <w:rsid w:val="00E9127F"/>
    <w:rsid w:val="00E93698"/>
    <w:rsid w:val="00EA0AE2"/>
    <w:rsid w:val="00EA33BF"/>
    <w:rsid w:val="00EA39E5"/>
    <w:rsid w:val="00EA4317"/>
    <w:rsid w:val="00EA6466"/>
    <w:rsid w:val="00EB0F03"/>
    <w:rsid w:val="00EB36FB"/>
    <w:rsid w:val="00EB37D1"/>
    <w:rsid w:val="00EB4933"/>
    <w:rsid w:val="00EB5133"/>
    <w:rsid w:val="00EB7252"/>
    <w:rsid w:val="00EC153C"/>
    <w:rsid w:val="00EC5A46"/>
    <w:rsid w:val="00EC63E2"/>
    <w:rsid w:val="00ED3BA9"/>
    <w:rsid w:val="00ED50C1"/>
    <w:rsid w:val="00EE02D3"/>
    <w:rsid w:val="00EE0458"/>
    <w:rsid w:val="00EE2CDF"/>
    <w:rsid w:val="00EE78C6"/>
    <w:rsid w:val="00EF0560"/>
    <w:rsid w:val="00EF22B3"/>
    <w:rsid w:val="00EF2EE8"/>
    <w:rsid w:val="00EF5986"/>
    <w:rsid w:val="00F00024"/>
    <w:rsid w:val="00F00260"/>
    <w:rsid w:val="00F00BB3"/>
    <w:rsid w:val="00F01D71"/>
    <w:rsid w:val="00F03B69"/>
    <w:rsid w:val="00F03FB0"/>
    <w:rsid w:val="00F05E9C"/>
    <w:rsid w:val="00F062A9"/>
    <w:rsid w:val="00F07371"/>
    <w:rsid w:val="00F07656"/>
    <w:rsid w:val="00F07A50"/>
    <w:rsid w:val="00F07C15"/>
    <w:rsid w:val="00F11142"/>
    <w:rsid w:val="00F113DA"/>
    <w:rsid w:val="00F12AB1"/>
    <w:rsid w:val="00F22936"/>
    <w:rsid w:val="00F35D2B"/>
    <w:rsid w:val="00F37128"/>
    <w:rsid w:val="00F37DC8"/>
    <w:rsid w:val="00F41551"/>
    <w:rsid w:val="00F439B3"/>
    <w:rsid w:val="00F45794"/>
    <w:rsid w:val="00F46371"/>
    <w:rsid w:val="00F56A0F"/>
    <w:rsid w:val="00F650C3"/>
    <w:rsid w:val="00F65D85"/>
    <w:rsid w:val="00F67DF2"/>
    <w:rsid w:val="00F67FAD"/>
    <w:rsid w:val="00F722D5"/>
    <w:rsid w:val="00F76E51"/>
    <w:rsid w:val="00F77F29"/>
    <w:rsid w:val="00F8091E"/>
    <w:rsid w:val="00F82B52"/>
    <w:rsid w:val="00F8615C"/>
    <w:rsid w:val="00F93844"/>
    <w:rsid w:val="00F94FB4"/>
    <w:rsid w:val="00F96245"/>
    <w:rsid w:val="00F969E5"/>
    <w:rsid w:val="00FA081D"/>
    <w:rsid w:val="00FA1244"/>
    <w:rsid w:val="00FA2C49"/>
    <w:rsid w:val="00FA436E"/>
    <w:rsid w:val="00FA5345"/>
    <w:rsid w:val="00FA6BB0"/>
    <w:rsid w:val="00FB35EC"/>
    <w:rsid w:val="00FB6895"/>
    <w:rsid w:val="00FB767A"/>
    <w:rsid w:val="00FB7A95"/>
    <w:rsid w:val="00FB7ABF"/>
    <w:rsid w:val="00FC0655"/>
    <w:rsid w:val="00FC6239"/>
    <w:rsid w:val="00FC796B"/>
    <w:rsid w:val="00FD1356"/>
    <w:rsid w:val="00FD3A9E"/>
    <w:rsid w:val="00FD5860"/>
    <w:rsid w:val="00FD5C71"/>
    <w:rsid w:val="00FD5E8A"/>
    <w:rsid w:val="00FD76F9"/>
    <w:rsid w:val="00FE352D"/>
    <w:rsid w:val="00FE384E"/>
    <w:rsid w:val="00FE40A8"/>
    <w:rsid w:val="00FE40EB"/>
    <w:rsid w:val="00FE4D02"/>
    <w:rsid w:val="00FE7D62"/>
    <w:rsid w:val="00FF358C"/>
    <w:rsid w:val="00FF3819"/>
    <w:rsid w:val="00FF4D6F"/>
    <w:rsid w:val="00FF7503"/>
    <w:rsid w:val="00FF7C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1807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F7503"/>
    <w:pPr>
      <w:spacing w:after="200" w:line="276" w:lineRule="auto"/>
    </w:pPr>
    <w:rPr>
      <w:rFonts w:ascii="Calibri" w:eastAsia="SimSun" w:hAnsi="Calibri" w:cs="Arial"/>
      <w:sz w:val="22"/>
      <w:szCs w:val="22"/>
      <w:lang w:eastAsia="zh-CN"/>
    </w:rPr>
  </w:style>
  <w:style w:type="paragraph" w:styleId="Heading1">
    <w:name w:val="heading 1"/>
    <w:basedOn w:val="Normal"/>
    <w:next w:val="Normalnumber"/>
    <w:qFormat/>
    <w:rsid w:val="000D6941"/>
    <w:pPr>
      <w:keepNext/>
      <w:tabs>
        <w:tab w:val="left" w:pos="1247"/>
        <w:tab w:val="left" w:pos="1814"/>
      </w:tabs>
      <w:spacing w:before="240" w:after="120"/>
      <w:ind w:left="1247" w:hanging="680"/>
      <w:outlineLvl w:val="0"/>
    </w:pPr>
    <w:rPr>
      <w:b/>
      <w:sz w:val="28"/>
    </w:rPr>
  </w:style>
  <w:style w:type="paragraph" w:styleId="Heading2">
    <w:name w:val="heading 2"/>
    <w:basedOn w:val="Normal"/>
    <w:next w:val="Normalnumber"/>
    <w:qFormat/>
    <w:rsid w:val="000D6941"/>
    <w:pPr>
      <w:keepNext/>
      <w:spacing w:before="240" w:after="120"/>
      <w:ind w:left="1247" w:hanging="680"/>
      <w:outlineLvl w:val="1"/>
    </w:pPr>
    <w:rPr>
      <w:b/>
      <w:sz w:val="24"/>
      <w:szCs w:val="24"/>
    </w:rPr>
  </w:style>
  <w:style w:type="paragraph" w:styleId="Heading3">
    <w:name w:val="heading 3"/>
    <w:basedOn w:val="Normal"/>
    <w:next w:val="Normalnumber"/>
    <w:qFormat/>
    <w:rsid w:val="000D6941"/>
    <w:pPr>
      <w:spacing w:after="120"/>
      <w:ind w:left="1247" w:hanging="680"/>
      <w:outlineLvl w:val="2"/>
    </w:pPr>
    <w:rPr>
      <w:b/>
    </w:rPr>
  </w:style>
  <w:style w:type="paragraph" w:styleId="Heading4">
    <w:name w:val="heading 4"/>
    <w:basedOn w:val="Heading3"/>
    <w:next w:val="Normalnumber"/>
    <w:qFormat/>
    <w:rsid w:val="000D6941"/>
    <w:pPr>
      <w:keepNext/>
      <w:outlineLvl w:val="3"/>
    </w:pPr>
  </w:style>
  <w:style w:type="paragraph" w:styleId="Heading5">
    <w:name w:val="heading 5"/>
    <w:basedOn w:val="Normal"/>
    <w:next w:val="Normal"/>
    <w:qFormat/>
    <w:rsid w:val="000D6941"/>
    <w:pPr>
      <w:keepNext/>
      <w:outlineLvl w:val="4"/>
    </w:pPr>
    <w:rPr>
      <w:rFonts w:ascii="Univers" w:hAnsi="Univers"/>
      <w:b/>
      <w:sz w:val="24"/>
    </w:rPr>
  </w:style>
  <w:style w:type="paragraph" w:styleId="Heading6">
    <w:name w:val="heading 6"/>
    <w:basedOn w:val="Normal"/>
    <w:next w:val="Normal"/>
    <w:qFormat/>
    <w:rsid w:val="000D6941"/>
    <w:pPr>
      <w:keepNext/>
      <w:ind w:left="578"/>
      <w:outlineLvl w:val="5"/>
    </w:pPr>
    <w:rPr>
      <w:b/>
      <w:bCs/>
      <w:sz w:val="24"/>
    </w:rPr>
  </w:style>
  <w:style w:type="paragraph" w:styleId="Heading7">
    <w:name w:val="heading 7"/>
    <w:basedOn w:val="Normal"/>
    <w:next w:val="Normal"/>
    <w:qFormat/>
    <w:rsid w:val="000D6941"/>
    <w:pPr>
      <w:keepNext/>
      <w:widowControl w:val="0"/>
      <w:jc w:val="center"/>
      <w:outlineLvl w:val="6"/>
    </w:pPr>
    <w:rPr>
      <w:snapToGrid w:val="0"/>
      <w:u w:val="single"/>
    </w:rPr>
  </w:style>
  <w:style w:type="paragraph" w:styleId="Heading8">
    <w:name w:val="heading 8"/>
    <w:basedOn w:val="Normal"/>
    <w:next w:val="Normal"/>
    <w:qFormat/>
    <w:rsid w:val="000D6941"/>
    <w:pPr>
      <w:keepNext/>
      <w:widowControl w:val="0"/>
      <w:numPr>
        <w:numId w:val="1"/>
      </w:numPr>
      <w:tabs>
        <w:tab w:val="left" w:pos="-1440"/>
        <w:tab w:val="left" w:pos="-720"/>
      </w:tabs>
      <w:suppressAutoHyphens/>
      <w:jc w:val="center"/>
      <w:outlineLvl w:val="7"/>
    </w:pPr>
    <w:rPr>
      <w:snapToGrid w:val="0"/>
      <w:u w:val="single"/>
    </w:rPr>
  </w:style>
  <w:style w:type="paragraph" w:styleId="Heading9">
    <w:name w:val="heading 9"/>
    <w:basedOn w:val="Normal"/>
    <w:next w:val="Normal"/>
    <w:qFormat/>
    <w:rsid w:val="000D6941"/>
    <w:pPr>
      <w:keepNext/>
      <w:widowControl w:val="0"/>
      <w:numPr>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0D6941"/>
    <w:rPr>
      <w:rFonts w:ascii="Times New Roman" w:hAnsi="Times New Roman"/>
      <w:b/>
      <w:sz w:val="18"/>
    </w:rPr>
  </w:style>
  <w:style w:type="table" w:customStyle="1" w:styleId="Tabledocright">
    <w:name w:val="Table_doc_right"/>
    <w:basedOn w:val="TableNormal"/>
    <w:rsid w:val="003A77F1"/>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autoRedefine/>
    <w:semiHidden/>
    <w:rsid w:val="000D6941"/>
    <w:pPr>
      <w:ind w:left="1000"/>
    </w:pPr>
    <w:rPr>
      <w:sz w:val="18"/>
      <w:szCs w:val="18"/>
    </w:rPr>
  </w:style>
  <w:style w:type="paragraph" w:styleId="TOC7">
    <w:name w:val="toc 7"/>
    <w:basedOn w:val="Normal"/>
    <w:next w:val="Normal"/>
    <w:autoRedefine/>
    <w:semiHidden/>
    <w:rsid w:val="000D6941"/>
    <w:pPr>
      <w:ind w:left="1200"/>
    </w:pPr>
    <w:rPr>
      <w:sz w:val="18"/>
      <w:szCs w:val="18"/>
    </w:rPr>
  </w:style>
  <w:style w:type="paragraph" w:styleId="TOC8">
    <w:name w:val="toc 8"/>
    <w:basedOn w:val="Normal"/>
    <w:next w:val="Normal"/>
    <w:autoRedefine/>
    <w:semiHidden/>
    <w:rsid w:val="000D6941"/>
    <w:pPr>
      <w:ind w:left="1400"/>
    </w:pPr>
    <w:rPr>
      <w:sz w:val="18"/>
      <w:szCs w:val="18"/>
    </w:rPr>
  </w:style>
  <w:style w:type="paragraph" w:styleId="TOC9">
    <w:name w:val="toc 9"/>
    <w:basedOn w:val="Normal"/>
    <w:next w:val="Normal"/>
    <w:autoRedefine/>
    <w:semiHidden/>
    <w:rsid w:val="000D6941"/>
    <w:pPr>
      <w:ind w:left="1600"/>
    </w:pPr>
    <w:rPr>
      <w:sz w:val="18"/>
      <w:szCs w:val="18"/>
    </w:rPr>
  </w:style>
  <w:style w:type="paragraph" w:customStyle="1" w:styleId="Titlefigure">
    <w:name w:val="Title_figure"/>
    <w:basedOn w:val="Titletable"/>
    <w:next w:val="NormalNonumber"/>
    <w:rsid w:val="003A77F1"/>
    <w:rPr>
      <w:bCs w:val="0"/>
    </w:rPr>
  </w:style>
  <w:style w:type="paragraph" w:styleId="TableofFigures">
    <w:name w:val="table of figures"/>
    <w:basedOn w:val="Normal"/>
    <w:next w:val="Normal"/>
    <w:autoRedefine/>
    <w:semiHidden/>
    <w:rsid w:val="000D6941"/>
    <w:pPr>
      <w:ind w:left="1814" w:hanging="567"/>
    </w:pPr>
  </w:style>
  <w:style w:type="paragraph" w:customStyle="1" w:styleId="CH1">
    <w:name w:val="CH1"/>
    <w:basedOn w:val="Normalpool"/>
    <w:next w:val="CH2"/>
    <w:rsid w:val="00160D74"/>
    <w:pPr>
      <w:keepNext/>
      <w:keepLines/>
      <w:tabs>
        <w:tab w:val="right" w:pos="851"/>
      </w:tabs>
      <w:suppressAutoHyphens/>
      <w:spacing w:before="240" w:after="120"/>
      <w:ind w:left="1247" w:right="284" w:hanging="1247"/>
    </w:pPr>
    <w:rPr>
      <w:b/>
      <w:sz w:val="28"/>
      <w:szCs w:val="28"/>
      <w:lang w:val="en-GB"/>
    </w:rPr>
  </w:style>
  <w:style w:type="paragraph" w:customStyle="1" w:styleId="CH2">
    <w:name w:val="CH2"/>
    <w:basedOn w:val="Normalpool"/>
    <w:next w:val="Normalnumber"/>
    <w:rsid w:val="00160D74"/>
    <w:pPr>
      <w:keepNext/>
      <w:keepLines/>
      <w:tabs>
        <w:tab w:val="right" w:pos="851"/>
      </w:tabs>
      <w:suppressAutoHyphens/>
      <w:spacing w:before="80" w:after="120"/>
      <w:ind w:left="1247" w:right="284" w:hanging="1247"/>
    </w:pPr>
    <w:rPr>
      <w:b/>
      <w:sz w:val="24"/>
      <w:szCs w:val="24"/>
      <w:lang w:val="en-GB"/>
    </w:rPr>
  </w:style>
  <w:style w:type="paragraph" w:customStyle="1" w:styleId="CH3">
    <w:name w:val="CH3"/>
    <w:basedOn w:val="Normalpool"/>
    <w:next w:val="Normalnumber"/>
    <w:rsid w:val="00160D74"/>
    <w:pPr>
      <w:keepNext/>
      <w:keepLines/>
      <w:tabs>
        <w:tab w:val="right" w:pos="851"/>
      </w:tabs>
      <w:suppressAutoHyphens/>
      <w:spacing w:after="120"/>
      <w:ind w:left="1247" w:right="284" w:hanging="1247"/>
    </w:pPr>
    <w:rPr>
      <w:b/>
      <w:lang w:val="en-GB"/>
    </w:rPr>
  </w:style>
  <w:style w:type="paragraph" w:customStyle="1" w:styleId="CH4">
    <w:name w:val="CH4"/>
    <w:basedOn w:val="Normalpool"/>
    <w:next w:val="Normalnumber"/>
    <w:rsid w:val="00160D74"/>
    <w:pPr>
      <w:keepNext/>
      <w:keepLines/>
      <w:tabs>
        <w:tab w:val="right" w:pos="851"/>
      </w:tabs>
      <w:suppressAutoHyphens/>
      <w:spacing w:after="120"/>
      <w:ind w:left="1247" w:right="284" w:hanging="1247"/>
    </w:pPr>
    <w:rPr>
      <w:b/>
      <w:lang w:val="en-GB"/>
    </w:rPr>
  </w:style>
  <w:style w:type="table" w:customStyle="1" w:styleId="Footertable">
    <w:name w:val="Footer_table"/>
    <w:basedOn w:val="TableNormal"/>
    <w:semiHidden/>
    <w:rsid w:val="003A77F1"/>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160D74"/>
    <w:pPr>
      <w:keepNext/>
      <w:keepLines/>
      <w:tabs>
        <w:tab w:val="right" w:pos="851"/>
      </w:tabs>
      <w:suppressAutoHyphens/>
      <w:spacing w:after="120"/>
      <w:ind w:left="1247" w:right="284" w:hanging="1247"/>
    </w:pPr>
    <w:rPr>
      <w:b/>
      <w:lang w:val="en-GB"/>
    </w:rPr>
  </w:style>
  <w:style w:type="paragraph" w:customStyle="1" w:styleId="Footerpool">
    <w:name w:val="Footer_pool"/>
    <w:basedOn w:val="Normal"/>
    <w:next w:val="Normal"/>
    <w:semiHidden/>
    <w:rsid w:val="003A77F1"/>
    <w:pPr>
      <w:tabs>
        <w:tab w:val="left" w:pos="4321"/>
        <w:tab w:val="right" w:pos="8641"/>
      </w:tabs>
      <w:spacing w:before="60" w:after="120"/>
    </w:pPr>
    <w:rPr>
      <w:b/>
      <w:sz w:val="18"/>
    </w:rPr>
  </w:style>
  <w:style w:type="paragraph" w:customStyle="1" w:styleId="Headerpool">
    <w:name w:val="Header_pool"/>
    <w:basedOn w:val="Normal"/>
    <w:next w:val="Normal"/>
    <w:semiHidden/>
    <w:rsid w:val="003A77F1"/>
    <w:pPr>
      <w:pBdr>
        <w:bottom w:val="single" w:sz="4" w:space="1" w:color="auto"/>
      </w:pBdr>
      <w:tabs>
        <w:tab w:val="center" w:pos="4536"/>
        <w:tab w:val="right" w:pos="9072"/>
      </w:tabs>
      <w:spacing w:after="120"/>
    </w:pPr>
    <w:rPr>
      <w:b/>
      <w:sz w:val="18"/>
    </w:rPr>
  </w:style>
  <w:style w:type="paragraph" w:customStyle="1" w:styleId="Normalpool">
    <w:name w:val="Normal_pool"/>
    <w:semiHidden/>
    <w:rsid w:val="003A77F1"/>
    <w:pPr>
      <w:tabs>
        <w:tab w:val="left" w:pos="1247"/>
        <w:tab w:val="left" w:pos="1814"/>
        <w:tab w:val="left" w:pos="2381"/>
        <w:tab w:val="left" w:pos="2948"/>
        <w:tab w:val="left" w:pos="3515"/>
        <w:tab w:val="left" w:pos="4082"/>
      </w:tabs>
    </w:pPr>
    <w:rPr>
      <w:lang w:val="fr-FR"/>
    </w:rPr>
  </w:style>
  <w:style w:type="paragraph" w:customStyle="1" w:styleId="Footer-pool">
    <w:name w:val="Footer-pool"/>
    <w:basedOn w:val="Normal-pool"/>
    <w:next w:val="Normal-pool"/>
    <w:rsid w:val="003A77F1"/>
    <w:pPr>
      <w:tabs>
        <w:tab w:val="left" w:pos="4321"/>
        <w:tab w:val="right" w:pos="8641"/>
      </w:tabs>
      <w:spacing w:before="60" w:after="120"/>
    </w:pPr>
    <w:rPr>
      <w:b/>
      <w:sz w:val="18"/>
    </w:rPr>
  </w:style>
  <w:style w:type="paragraph" w:customStyle="1" w:styleId="Header-pool">
    <w:name w:val="Header-pool"/>
    <w:basedOn w:val="Normal-pool"/>
    <w:next w:val="Normal-pool"/>
    <w:rsid w:val="003A77F1"/>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pool"/>
    <w:rsid w:val="00160D74"/>
    <w:pPr>
      <w:tabs>
        <w:tab w:val="left" w:pos="1247"/>
        <w:tab w:val="left" w:pos="1814"/>
        <w:tab w:val="left" w:pos="2381"/>
        <w:tab w:val="left" w:pos="2948"/>
        <w:tab w:val="left" w:pos="3515"/>
        <w:tab w:val="left" w:pos="4082"/>
      </w:tabs>
    </w:pPr>
    <w:rPr>
      <w:lang w:val="en-GB"/>
    </w:rPr>
  </w:style>
  <w:style w:type="character" w:styleId="FootnoteReference">
    <w:name w:val="footnote reference"/>
    <w:aliases w:val="SUPERS"/>
    <w:basedOn w:val="DefaultParagraphFont"/>
    <w:uiPriority w:val="99"/>
    <w:rsid w:val="000D6941"/>
    <w:rPr>
      <w:rFonts w:ascii="Times New Roman" w:hAnsi="Times New Roman"/>
      <w:color w:val="auto"/>
      <w:sz w:val="20"/>
      <w:szCs w:val="18"/>
      <w:vertAlign w:val="superscript"/>
    </w:rPr>
  </w:style>
  <w:style w:type="paragraph" w:styleId="FootnoteText">
    <w:name w:val="footnote text"/>
    <w:aliases w:val="Geneva 9,Font: Geneva 9,Boston 10,f,DNV-FT,Footnote01"/>
    <w:basedOn w:val="Normalpool"/>
    <w:link w:val="FootnoteTextChar"/>
    <w:uiPriority w:val="99"/>
    <w:rsid w:val="000D6941"/>
    <w:pPr>
      <w:spacing w:before="20" w:after="40"/>
      <w:ind w:left="1247"/>
    </w:pPr>
    <w:rPr>
      <w:sz w:val="18"/>
    </w:rPr>
  </w:style>
  <w:style w:type="character" w:customStyle="1" w:styleId="FootnoteTextChar">
    <w:name w:val="Footnote Text Char"/>
    <w:aliases w:val="Geneva 9 Char,Font: Geneva 9 Char,Boston 10 Char,f Char,DNV-FT Char,Footnote01 Char"/>
    <w:link w:val="FootnoteText"/>
    <w:uiPriority w:val="99"/>
    <w:rsid w:val="00FF7503"/>
    <w:rPr>
      <w:sz w:val="18"/>
      <w:lang w:val="fr-FR"/>
    </w:rPr>
  </w:style>
  <w:style w:type="paragraph" w:styleId="ListParagraph">
    <w:name w:val="List Paragraph"/>
    <w:basedOn w:val="Normal"/>
    <w:uiPriority w:val="34"/>
    <w:qFormat/>
    <w:rsid w:val="00FF7503"/>
    <w:pPr>
      <w:ind w:left="720"/>
      <w:contextualSpacing/>
    </w:pPr>
  </w:style>
  <w:style w:type="character" w:customStyle="1" w:styleId="NormalnumberChar">
    <w:name w:val="Normal_number Char"/>
    <w:link w:val="Normalnumber"/>
    <w:locked/>
    <w:rsid w:val="00FF7503"/>
    <w:rPr>
      <w:lang w:val="en-GB"/>
    </w:rPr>
  </w:style>
  <w:style w:type="paragraph" w:styleId="BodyText">
    <w:name w:val="Body Text"/>
    <w:basedOn w:val="Normal"/>
    <w:link w:val="BodyTextChar"/>
    <w:uiPriority w:val="1"/>
    <w:qFormat/>
    <w:rsid w:val="00FF7503"/>
    <w:pPr>
      <w:widowControl w:val="0"/>
      <w:spacing w:after="0" w:line="240" w:lineRule="auto"/>
      <w:ind w:left="488" w:hanging="336"/>
    </w:pPr>
    <w:rPr>
      <w:rFonts w:ascii="Times New Roman" w:eastAsia="Times New Roman" w:hAnsi="Times New Roman"/>
      <w:lang w:eastAsia="en-US"/>
    </w:rPr>
  </w:style>
  <w:style w:type="character" w:customStyle="1" w:styleId="BodyTextChar">
    <w:name w:val="Body Text Char"/>
    <w:basedOn w:val="DefaultParagraphFont"/>
    <w:link w:val="BodyText"/>
    <w:uiPriority w:val="1"/>
    <w:rsid w:val="00FF7503"/>
    <w:rPr>
      <w:rFonts w:cs="Arial"/>
      <w:sz w:val="22"/>
      <w:szCs w:val="22"/>
    </w:rPr>
  </w:style>
  <w:style w:type="table" w:styleId="TableGrid">
    <w:name w:val="Table Grid"/>
    <w:basedOn w:val="TableNormal"/>
    <w:uiPriority w:val="39"/>
    <w:rsid w:val="00FF7503"/>
    <w:rPr>
      <w:rFonts w:ascii="Calibri" w:eastAsia="SimSun" w:hAnsi="Calibri" w:cs="Arial"/>
      <w:sz w:val="22"/>
      <w:szCs w:val="22"/>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ATable">
    <w:name w:val="AA_Table"/>
    <w:basedOn w:val="TableNormal"/>
    <w:semiHidden/>
    <w:rsid w:val="003A77F1"/>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160D74"/>
    <w:pPr>
      <w:keepNext/>
      <w:keepLines/>
      <w:suppressAutoHyphens/>
      <w:ind w:right="5103"/>
    </w:pPr>
    <w:rPr>
      <w:b/>
      <w:lang w:val="en-GB"/>
    </w:rPr>
  </w:style>
  <w:style w:type="paragraph" w:customStyle="1" w:styleId="AATitle2">
    <w:name w:val="AA_Title2"/>
    <w:basedOn w:val="AATitle"/>
    <w:rsid w:val="00160D74"/>
    <w:pPr>
      <w:tabs>
        <w:tab w:val="clear" w:pos="4082"/>
      </w:tabs>
      <w:spacing w:before="120" w:after="120"/>
      <w:ind w:right="4536"/>
    </w:pPr>
  </w:style>
  <w:style w:type="paragraph" w:customStyle="1" w:styleId="BBTitle">
    <w:name w:val="BB_Title"/>
    <w:basedOn w:val="Normalpool"/>
    <w:rsid w:val="00160D74"/>
    <w:pPr>
      <w:keepNext/>
      <w:keepLines/>
      <w:suppressAutoHyphens/>
      <w:spacing w:before="320" w:after="240"/>
      <w:ind w:left="1247" w:right="567"/>
    </w:pPr>
    <w:rPr>
      <w:b/>
      <w:sz w:val="28"/>
      <w:szCs w:val="28"/>
      <w:lang w:val="en-GB"/>
    </w:rPr>
  </w:style>
  <w:style w:type="paragraph" w:styleId="Footer">
    <w:name w:val="footer"/>
    <w:basedOn w:val="Normal"/>
    <w:semiHidden/>
    <w:rsid w:val="00821395"/>
    <w:pPr>
      <w:tabs>
        <w:tab w:val="center" w:pos="4320"/>
        <w:tab w:val="right" w:pos="8640"/>
      </w:tabs>
      <w:spacing w:before="60" w:after="120"/>
    </w:pPr>
    <w:rPr>
      <w:sz w:val="18"/>
    </w:rPr>
  </w:style>
  <w:style w:type="paragraph" w:styleId="Header">
    <w:name w:val="header"/>
    <w:basedOn w:val="Normal"/>
    <w:link w:val="HeaderChar"/>
    <w:uiPriority w:val="99"/>
    <w:rsid w:val="000D6941"/>
    <w:pPr>
      <w:pBdr>
        <w:bottom w:val="single" w:sz="4" w:space="1" w:color="auto"/>
      </w:pBdr>
      <w:tabs>
        <w:tab w:val="center" w:pos="4536"/>
        <w:tab w:val="right" w:pos="9072"/>
      </w:tabs>
      <w:spacing w:after="120"/>
    </w:pPr>
    <w:rPr>
      <w:b/>
      <w:sz w:val="18"/>
    </w:rPr>
  </w:style>
  <w:style w:type="character" w:styleId="Hyperlink">
    <w:name w:val="Hyperlink"/>
    <w:basedOn w:val="DefaultParagraphFont"/>
    <w:semiHidden/>
    <w:rsid w:val="000D6941"/>
    <w:rPr>
      <w:rFonts w:ascii="Times New Roman" w:hAnsi="Times New Roman"/>
      <w:color w:val="auto"/>
      <w:sz w:val="20"/>
      <w:szCs w:val="20"/>
      <w:u w:val="none"/>
      <w:lang w:val="fr-FR"/>
    </w:rPr>
  </w:style>
  <w:style w:type="numbering" w:customStyle="1" w:styleId="Normallist">
    <w:name w:val="Normal_list"/>
    <w:basedOn w:val="NoList"/>
    <w:rsid w:val="003A77F1"/>
    <w:pPr>
      <w:numPr>
        <w:numId w:val="3"/>
      </w:numPr>
    </w:pPr>
  </w:style>
  <w:style w:type="paragraph" w:customStyle="1" w:styleId="NormalNonumber">
    <w:name w:val="Normal_No_number"/>
    <w:basedOn w:val="Normalpool"/>
    <w:rsid w:val="00160D74"/>
    <w:pPr>
      <w:spacing w:after="120"/>
      <w:ind w:left="1247"/>
    </w:pPr>
    <w:rPr>
      <w:lang w:val="en-GB"/>
    </w:rPr>
  </w:style>
  <w:style w:type="paragraph" w:customStyle="1" w:styleId="Normalnumber">
    <w:name w:val="Normal_number"/>
    <w:basedOn w:val="Normalpool"/>
    <w:link w:val="NormalnumberChar"/>
    <w:rsid w:val="00160D74"/>
    <w:pPr>
      <w:numPr>
        <w:numId w:val="4"/>
      </w:numPr>
      <w:spacing w:after="120"/>
    </w:pPr>
    <w:rPr>
      <w:lang w:val="en-GB"/>
    </w:rPr>
  </w:style>
  <w:style w:type="paragraph" w:customStyle="1" w:styleId="Titletable">
    <w:name w:val="Title_table"/>
    <w:basedOn w:val="Normalpool"/>
    <w:rsid w:val="00160D74"/>
    <w:pPr>
      <w:keepNext/>
      <w:keepLines/>
      <w:suppressAutoHyphens/>
      <w:spacing w:after="60"/>
      <w:ind w:left="1247"/>
    </w:pPr>
    <w:rPr>
      <w:b/>
      <w:bCs/>
      <w:lang w:val="en-GB"/>
    </w:rPr>
  </w:style>
  <w:style w:type="paragraph" w:styleId="TOC1">
    <w:name w:val="toc 1"/>
    <w:basedOn w:val="Normalpool"/>
    <w:next w:val="Normalpool"/>
    <w:rsid w:val="000D6941"/>
    <w:pPr>
      <w:tabs>
        <w:tab w:val="clear" w:pos="2381"/>
        <w:tab w:val="clear" w:pos="2948"/>
        <w:tab w:val="clear" w:pos="3515"/>
        <w:tab w:val="clear" w:pos="4082"/>
        <w:tab w:val="right" w:leader="dot" w:pos="9486"/>
      </w:tabs>
      <w:spacing w:before="240"/>
      <w:ind w:left="1814" w:hanging="567"/>
    </w:pPr>
    <w:rPr>
      <w:bCs/>
    </w:rPr>
  </w:style>
  <w:style w:type="paragraph" w:styleId="TOC2">
    <w:name w:val="toc 2"/>
    <w:basedOn w:val="Normalpool"/>
    <w:next w:val="Normalpool"/>
    <w:rsid w:val="000D6941"/>
    <w:pPr>
      <w:tabs>
        <w:tab w:val="clear" w:pos="1814"/>
        <w:tab w:val="clear" w:pos="2948"/>
        <w:tab w:val="clear" w:pos="3515"/>
        <w:tab w:val="clear" w:pos="4082"/>
        <w:tab w:val="right" w:leader="dot" w:pos="9486"/>
      </w:tabs>
      <w:ind w:left="2381" w:hanging="567"/>
    </w:pPr>
  </w:style>
  <w:style w:type="paragraph" w:styleId="TOC3">
    <w:name w:val="toc 3"/>
    <w:basedOn w:val="Normalpool"/>
    <w:next w:val="Normalpool"/>
    <w:rsid w:val="000D6941"/>
    <w:pPr>
      <w:tabs>
        <w:tab w:val="clear" w:pos="1814"/>
        <w:tab w:val="clear" w:pos="2381"/>
        <w:tab w:val="clear" w:pos="2948"/>
        <w:tab w:val="clear" w:pos="3515"/>
        <w:tab w:val="right" w:leader="dot" w:pos="9486"/>
      </w:tabs>
      <w:ind w:left="2948" w:hanging="567"/>
    </w:pPr>
    <w:rPr>
      <w:iCs/>
    </w:rPr>
  </w:style>
  <w:style w:type="paragraph" w:styleId="TOC4">
    <w:name w:val="toc 4"/>
    <w:basedOn w:val="Normalpool"/>
    <w:next w:val="Normalpool"/>
    <w:rsid w:val="000D6941"/>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0D6941"/>
    <w:pPr>
      <w:ind w:left="800"/>
    </w:pPr>
    <w:rPr>
      <w:sz w:val="18"/>
      <w:szCs w:val="18"/>
    </w:rPr>
  </w:style>
  <w:style w:type="paragraph" w:customStyle="1" w:styleId="ZZAnxheader">
    <w:name w:val="ZZ_Anx_header"/>
    <w:basedOn w:val="Normalpool"/>
    <w:rsid w:val="00160D74"/>
    <w:rPr>
      <w:b/>
      <w:bCs/>
      <w:sz w:val="28"/>
      <w:szCs w:val="22"/>
      <w:lang w:val="en-GB"/>
    </w:rPr>
  </w:style>
  <w:style w:type="paragraph" w:customStyle="1" w:styleId="ZZAnxtitle">
    <w:name w:val="ZZ_Anx_title"/>
    <w:basedOn w:val="Normalpool"/>
    <w:rsid w:val="00160D74"/>
    <w:pPr>
      <w:spacing w:before="360" w:after="120"/>
      <w:ind w:left="1247"/>
    </w:pPr>
    <w:rPr>
      <w:b/>
      <w:bCs/>
      <w:sz w:val="28"/>
      <w:szCs w:val="26"/>
      <w:lang w:val="en-GB"/>
    </w:rPr>
  </w:style>
  <w:style w:type="paragraph" w:styleId="BalloonText">
    <w:name w:val="Balloon Text"/>
    <w:basedOn w:val="Normal"/>
    <w:link w:val="BalloonTextChar"/>
    <w:rsid w:val="00C828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82831"/>
    <w:rPr>
      <w:rFonts w:ascii="Tahoma" w:eastAsia="SimSun" w:hAnsi="Tahoma" w:cs="Tahoma"/>
      <w:sz w:val="16"/>
      <w:szCs w:val="16"/>
      <w:lang w:eastAsia="zh-CN"/>
    </w:rPr>
  </w:style>
  <w:style w:type="character" w:styleId="CommentReference">
    <w:name w:val="annotation reference"/>
    <w:basedOn w:val="DefaultParagraphFont"/>
    <w:uiPriority w:val="99"/>
    <w:semiHidden/>
    <w:unhideWhenUsed/>
    <w:rsid w:val="0061573E"/>
    <w:rPr>
      <w:sz w:val="16"/>
      <w:szCs w:val="16"/>
    </w:rPr>
  </w:style>
  <w:style w:type="paragraph" w:styleId="CommentText">
    <w:name w:val="annotation text"/>
    <w:basedOn w:val="Normal"/>
    <w:link w:val="CommentTextChar"/>
    <w:uiPriority w:val="99"/>
    <w:unhideWhenUsed/>
    <w:rsid w:val="0061573E"/>
    <w:pPr>
      <w:spacing w:line="240" w:lineRule="auto"/>
    </w:pPr>
    <w:rPr>
      <w:sz w:val="20"/>
      <w:szCs w:val="20"/>
    </w:rPr>
  </w:style>
  <w:style w:type="character" w:customStyle="1" w:styleId="CommentTextChar">
    <w:name w:val="Comment Text Char"/>
    <w:basedOn w:val="DefaultParagraphFont"/>
    <w:link w:val="CommentText"/>
    <w:uiPriority w:val="99"/>
    <w:rsid w:val="0061573E"/>
    <w:rPr>
      <w:rFonts w:ascii="Calibri" w:eastAsia="SimSun" w:hAnsi="Calibri" w:cs="Arial"/>
      <w:lang w:eastAsia="zh-CN"/>
    </w:rPr>
  </w:style>
  <w:style w:type="paragraph" w:styleId="CommentSubject">
    <w:name w:val="annotation subject"/>
    <w:basedOn w:val="CommentText"/>
    <w:next w:val="CommentText"/>
    <w:link w:val="CommentSubjectChar"/>
    <w:semiHidden/>
    <w:unhideWhenUsed/>
    <w:rsid w:val="0061573E"/>
    <w:rPr>
      <w:b/>
      <w:bCs/>
    </w:rPr>
  </w:style>
  <w:style w:type="character" w:customStyle="1" w:styleId="CommentSubjectChar">
    <w:name w:val="Comment Subject Char"/>
    <w:basedOn w:val="CommentTextChar"/>
    <w:link w:val="CommentSubject"/>
    <w:semiHidden/>
    <w:rsid w:val="0061573E"/>
    <w:rPr>
      <w:rFonts w:ascii="Calibri" w:eastAsia="SimSun" w:hAnsi="Calibri" w:cs="Arial"/>
      <w:b/>
      <w:bCs/>
      <w:lang w:eastAsia="zh-CN"/>
    </w:rPr>
  </w:style>
  <w:style w:type="paragraph" w:styleId="Revision">
    <w:name w:val="Revision"/>
    <w:hidden/>
    <w:uiPriority w:val="99"/>
    <w:semiHidden/>
    <w:rsid w:val="0061573E"/>
    <w:rPr>
      <w:rFonts w:ascii="Calibri" w:eastAsia="SimSun" w:hAnsi="Calibri" w:cs="Arial"/>
      <w:sz w:val="22"/>
      <w:szCs w:val="22"/>
      <w:lang w:eastAsia="zh-CN"/>
    </w:rPr>
  </w:style>
  <w:style w:type="character" w:customStyle="1" w:styleId="HeaderChar">
    <w:name w:val="Header Char"/>
    <w:basedOn w:val="DefaultParagraphFont"/>
    <w:link w:val="Header"/>
    <w:uiPriority w:val="99"/>
    <w:rsid w:val="00E866E3"/>
    <w:rPr>
      <w:rFonts w:ascii="Calibri" w:eastAsia="SimSun" w:hAnsi="Calibri" w:cs="Arial"/>
      <w:b/>
      <w:sz w:val="18"/>
      <w:szCs w:val="22"/>
      <w:lang w:eastAsia="zh-CN"/>
    </w:rPr>
  </w:style>
  <w:style w:type="paragraph" w:customStyle="1" w:styleId="Headingunnumbered">
    <w:name w:val="Heading unnumbered"/>
    <w:basedOn w:val="Normal"/>
    <w:next w:val="Normal"/>
    <w:rsid w:val="00E57D74"/>
    <w:pPr>
      <w:keepNext/>
      <w:spacing w:after="240" w:line="240" w:lineRule="auto"/>
    </w:pPr>
    <w:rPr>
      <w:rFonts w:ascii="Times New Roman" w:eastAsia="Times New Roman" w:hAnsi="Times New Roman" w:cs="Times New Roman"/>
      <w:b/>
      <w:sz w:val="24"/>
      <w:szCs w:val="20"/>
      <w:lang w:eastAsia="en-US"/>
    </w:rPr>
  </w:style>
  <w:style w:type="character" w:styleId="Emphasis">
    <w:name w:val="Emphasis"/>
    <w:basedOn w:val="DefaultParagraphFont"/>
    <w:uiPriority w:val="20"/>
    <w:qFormat/>
    <w:rsid w:val="008D57A2"/>
    <w:rPr>
      <w:i/>
      <w:iCs/>
    </w:rPr>
  </w:style>
  <w:style w:type="character" w:customStyle="1" w:styleId="highlight">
    <w:name w:val="highlight"/>
    <w:basedOn w:val="DefaultParagraphFont"/>
    <w:rsid w:val="00625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472060250">
      <w:bodyDiv w:val="1"/>
      <w:marLeft w:val="0"/>
      <w:marRight w:val="0"/>
      <w:marTop w:val="0"/>
      <w:marBottom w:val="0"/>
      <w:divBdr>
        <w:top w:val="none" w:sz="0" w:space="0" w:color="auto"/>
        <w:left w:val="none" w:sz="0" w:space="0" w:color="auto"/>
        <w:bottom w:val="none" w:sz="0" w:space="0" w:color="auto"/>
        <w:right w:val="none" w:sz="0" w:space="0" w:color="auto"/>
      </w:divBdr>
      <w:divsChild>
        <w:div w:id="1410151197">
          <w:marLeft w:val="0"/>
          <w:marRight w:val="0"/>
          <w:marTop w:val="0"/>
          <w:marBottom w:val="0"/>
          <w:divBdr>
            <w:top w:val="none" w:sz="0" w:space="0" w:color="auto"/>
            <w:left w:val="none" w:sz="0" w:space="0" w:color="auto"/>
            <w:bottom w:val="none" w:sz="0" w:space="0" w:color="auto"/>
            <w:right w:val="none" w:sz="0" w:space="0" w:color="auto"/>
          </w:divBdr>
        </w:div>
        <w:div w:id="1999070161">
          <w:marLeft w:val="0"/>
          <w:marRight w:val="0"/>
          <w:marTop w:val="0"/>
          <w:marBottom w:val="0"/>
          <w:divBdr>
            <w:top w:val="none" w:sz="0" w:space="0" w:color="auto"/>
            <w:left w:val="none" w:sz="0" w:space="0" w:color="auto"/>
            <w:bottom w:val="none" w:sz="0" w:space="0" w:color="auto"/>
            <w:right w:val="none" w:sz="0" w:space="0" w:color="auto"/>
          </w:divBdr>
        </w:div>
        <w:div w:id="1662076273">
          <w:marLeft w:val="0"/>
          <w:marRight w:val="0"/>
          <w:marTop w:val="0"/>
          <w:marBottom w:val="0"/>
          <w:divBdr>
            <w:top w:val="none" w:sz="0" w:space="0" w:color="auto"/>
            <w:left w:val="none" w:sz="0" w:space="0" w:color="auto"/>
            <w:bottom w:val="none" w:sz="0" w:space="0" w:color="auto"/>
            <w:right w:val="none" w:sz="0" w:space="0" w:color="auto"/>
          </w:divBdr>
        </w:div>
        <w:div w:id="619070599">
          <w:marLeft w:val="0"/>
          <w:marRight w:val="0"/>
          <w:marTop w:val="0"/>
          <w:marBottom w:val="0"/>
          <w:divBdr>
            <w:top w:val="none" w:sz="0" w:space="0" w:color="auto"/>
            <w:left w:val="none" w:sz="0" w:space="0" w:color="auto"/>
            <w:bottom w:val="none" w:sz="0" w:space="0" w:color="auto"/>
            <w:right w:val="none" w:sz="0" w:space="0" w:color="auto"/>
          </w:divBdr>
        </w:div>
      </w:divsChild>
    </w:div>
    <w:div w:id="719089062">
      <w:bodyDiv w:val="1"/>
      <w:marLeft w:val="0"/>
      <w:marRight w:val="0"/>
      <w:marTop w:val="0"/>
      <w:marBottom w:val="0"/>
      <w:divBdr>
        <w:top w:val="none" w:sz="0" w:space="0" w:color="auto"/>
        <w:left w:val="none" w:sz="0" w:space="0" w:color="auto"/>
        <w:bottom w:val="none" w:sz="0" w:space="0" w:color="auto"/>
        <w:right w:val="none" w:sz="0" w:space="0" w:color="auto"/>
      </w:divBdr>
      <w:divsChild>
        <w:div w:id="437260497">
          <w:marLeft w:val="0"/>
          <w:marRight w:val="0"/>
          <w:marTop w:val="0"/>
          <w:marBottom w:val="0"/>
          <w:divBdr>
            <w:top w:val="none" w:sz="0" w:space="0" w:color="auto"/>
            <w:left w:val="none" w:sz="0" w:space="0" w:color="auto"/>
            <w:bottom w:val="none" w:sz="0" w:space="0" w:color="auto"/>
            <w:right w:val="none" w:sz="0" w:space="0" w:color="auto"/>
          </w:divBdr>
        </w:div>
        <w:div w:id="639110818">
          <w:marLeft w:val="0"/>
          <w:marRight w:val="0"/>
          <w:marTop w:val="0"/>
          <w:marBottom w:val="0"/>
          <w:divBdr>
            <w:top w:val="none" w:sz="0" w:space="0" w:color="auto"/>
            <w:left w:val="none" w:sz="0" w:space="0" w:color="auto"/>
            <w:bottom w:val="none" w:sz="0" w:space="0" w:color="auto"/>
            <w:right w:val="none" w:sz="0" w:space="0" w:color="auto"/>
          </w:divBdr>
        </w:div>
        <w:div w:id="1795824340">
          <w:marLeft w:val="0"/>
          <w:marRight w:val="0"/>
          <w:marTop w:val="0"/>
          <w:marBottom w:val="0"/>
          <w:divBdr>
            <w:top w:val="none" w:sz="0" w:space="0" w:color="auto"/>
            <w:left w:val="none" w:sz="0" w:space="0" w:color="auto"/>
            <w:bottom w:val="none" w:sz="0" w:space="0" w:color="auto"/>
            <w:right w:val="none" w:sz="0" w:space="0" w:color="auto"/>
          </w:divBdr>
        </w:div>
        <w:div w:id="941956736">
          <w:marLeft w:val="0"/>
          <w:marRight w:val="0"/>
          <w:marTop w:val="0"/>
          <w:marBottom w:val="0"/>
          <w:divBdr>
            <w:top w:val="none" w:sz="0" w:space="0" w:color="auto"/>
            <w:left w:val="none" w:sz="0" w:space="0" w:color="auto"/>
            <w:bottom w:val="none" w:sz="0" w:space="0" w:color="auto"/>
            <w:right w:val="none" w:sz="0" w:space="0" w:color="auto"/>
          </w:divBdr>
        </w:div>
      </w:divsChild>
    </w:div>
    <w:div w:id="1006829810">
      <w:bodyDiv w:val="1"/>
      <w:marLeft w:val="0"/>
      <w:marRight w:val="0"/>
      <w:marTop w:val="0"/>
      <w:marBottom w:val="0"/>
      <w:divBdr>
        <w:top w:val="none" w:sz="0" w:space="0" w:color="auto"/>
        <w:left w:val="none" w:sz="0" w:space="0" w:color="auto"/>
        <w:bottom w:val="none" w:sz="0" w:space="0" w:color="auto"/>
        <w:right w:val="none" w:sz="0" w:space="0" w:color="auto"/>
      </w:divBdr>
      <w:divsChild>
        <w:div w:id="2028292162">
          <w:marLeft w:val="0"/>
          <w:marRight w:val="0"/>
          <w:marTop w:val="0"/>
          <w:marBottom w:val="0"/>
          <w:divBdr>
            <w:top w:val="none" w:sz="0" w:space="0" w:color="auto"/>
            <w:left w:val="none" w:sz="0" w:space="0" w:color="auto"/>
            <w:bottom w:val="none" w:sz="0" w:space="0" w:color="auto"/>
            <w:right w:val="none" w:sz="0" w:space="0" w:color="auto"/>
          </w:divBdr>
        </w:div>
        <w:div w:id="646515924">
          <w:marLeft w:val="0"/>
          <w:marRight w:val="0"/>
          <w:marTop w:val="0"/>
          <w:marBottom w:val="0"/>
          <w:divBdr>
            <w:top w:val="none" w:sz="0" w:space="0" w:color="auto"/>
            <w:left w:val="none" w:sz="0" w:space="0" w:color="auto"/>
            <w:bottom w:val="none" w:sz="0" w:space="0" w:color="auto"/>
            <w:right w:val="none" w:sz="0" w:space="0" w:color="auto"/>
          </w:divBdr>
        </w:div>
        <w:div w:id="897133068">
          <w:marLeft w:val="0"/>
          <w:marRight w:val="0"/>
          <w:marTop w:val="0"/>
          <w:marBottom w:val="0"/>
          <w:divBdr>
            <w:top w:val="none" w:sz="0" w:space="0" w:color="auto"/>
            <w:left w:val="none" w:sz="0" w:space="0" w:color="auto"/>
            <w:bottom w:val="none" w:sz="0" w:space="0" w:color="auto"/>
            <w:right w:val="none" w:sz="0" w:space="0" w:color="auto"/>
          </w:divBdr>
        </w:div>
        <w:div w:id="605692450">
          <w:marLeft w:val="0"/>
          <w:marRight w:val="0"/>
          <w:marTop w:val="0"/>
          <w:marBottom w:val="0"/>
          <w:divBdr>
            <w:top w:val="none" w:sz="0" w:space="0" w:color="auto"/>
            <w:left w:val="none" w:sz="0" w:space="0" w:color="auto"/>
            <w:bottom w:val="none" w:sz="0" w:space="0" w:color="auto"/>
            <w:right w:val="none" w:sz="0" w:space="0" w:color="auto"/>
          </w:divBdr>
        </w:div>
        <w:div w:id="306521378">
          <w:marLeft w:val="0"/>
          <w:marRight w:val="0"/>
          <w:marTop w:val="0"/>
          <w:marBottom w:val="0"/>
          <w:divBdr>
            <w:top w:val="none" w:sz="0" w:space="0" w:color="auto"/>
            <w:left w:val="none" w:sz="0" w:space="0" w:color="auto"/>
            <w:bottom w:val="none" w:sz="0" w:space="0" w:color="auto"/>
            <w:right w:val="none" w:sz="0" w:space="0" w:color="auto"/>
          </w:divBdr>
        </w:div>
        <w:div w:id="242224611">
          <w:marLeft w:val="0"/>
          <w:marRight w:val="0"/>
          <w:marTop w:val="0"/>
          <w:marBottom w:val="0"/>
          <w:divBdr>
            <w:top w:val="none" w:sz="0" w:space="0" w:color="auto"/>
            <w:left w:val="none" w:sz="0" w:space="0" w:color="auto"/>
            <w:bottom w:val="none" w:sz="0" w:space="0" w:color="auto"/>
            <w:right w:val="none" w:sz="0" w:space="0" w:color="auto"/>
          </w:divBdr>
        </w:div>
        <w:div w:id="1470829375">
          <w:marLeft w:val="0"/>
          <w:marRight w:val="0"/>
          <w:marTop w:val="0"/>
          <w:marBottom w:val="0"/>
          <w:divBdr>
            <w:top w:val="none" w:sz="0" w:space="0" w:color="auto"/>
            <w:left w:val="none" w:sz="0" w:space="0" w:color="auto"/>
            <w:bottom w:val="none" w:sz="0" w:space="0" w:color="auto"/>
            <w:right w:val="none" w:sz="0" w:space="0" w:color="auto"/>
          </w:divBdr>
        </w:div>
        <w:div w:id="1385182002">
          <w:marLeft w:val="0"/>
          <w:marRight w:val="0"/>
          <w:marTop w:val="0"/>
          <w:marBottom w:val="0"/>
          <w:divBdr>
            <w:top w:val="none" w:sz="0" w:space="0" w:color="auto"/>
            <w:left w:val="none" w:sz="0" w:space="0" w:color="auto"/>
            <w:bottom w:val="none" w:sz="0" w:space="0" w:color="auto"/>
            <w:right w:val="none" w:sz="0" w:space="0" w:color="auto"/>
          </w:divBdr>
        </w:div>
        <w:div w:id="257442623">
          <w:marLeft w:val="0"/>
          <w:marRight w:val="0"/>
          <w:marTop w:val="0"/>
          <w:marBottom w:val="0"/>
          <w:divBdr>
            <w:top w:val="none" w:sz="0" w:space="0" w:color="auto"/>
            <w:left w:val="none" w:sz="0" w:space="0" w:color="auto"/>
            <w:bottom w:val="none" w:sz="0" w:space="0" w:color="auto"/>
            <w:right w:val="none" w:sz="0" w:space="0" w:color="auto"/>
          </w:divBdr>
        </w:div>
        <w:div w:id="1789473767">
          <w:marLeft w:val="0"/>
          <w:marRight w:val="0"/>
          <w:marTop w:val="0"/>
          <w:marBottom w:val="0"/>
          <w:divBdr>
            <w:top w:val="none" w:sz="0" w:space="0" w:color="auto"/>
            <w:left w:val="none" w:sz="0" w:space="0" w:color="auto"/>
            <w:bottom w:val="none" w:sz="0" w:space="0" w:color="auto"/>
            <w:right w:val="none" w:sz="0" w:space="0" w:color="auto"/>
          </w:divBdr>
        </w:div>
        <w:div w:id="1256674755">
          <w:marLeft w:val="0"/>
          <w:marRight w:val="0"/>
          <w:marTop w:val="0"/>
          <w:marBottom w:val="0"/>
          <w:divBdr>
            <w:top w:val="none" w:sz="0" w:space="0" w:color="auto"/>
            <w:left w:val="none" w:sz="0" w:space="0" w:color="auto"/>
            <w:bottom w:val="none" w:sz="0" w:space="0" w:color="auto"/>
            <w:right w:val="none" w:sz="0" w:space="0" w:color="auto"/>
          </w:divBdr>
        </w:div>
        <w:div w:id="1310013738">
          <w:marLeft w:val="0"/>
          <w:marRight w:val="0"/>
          <w:marTop w:val="0"/>
          <w:marBottom w:val="0"/>
          <w:divBdr>
            <w:top w:val="none" w:sz="0" w:space="0" w:color="auto"/>
            <w:left w:val="none" w:sz="0" w:space="0" w:color="auto"/>
            <w:bottom w:val="none" w:sz="0" w:space="0" w:color="auto"/>
            <w:right w:val="none" w:sz="0" w:space="0" w:color="auto"/>
          </w:divBdr>
        </w:div>
        <w:div w:id="212080273">
          <w:marLeft w:val="0"/>
          <w:marRight w:val="0"/>
          <w:marTop w:val="0"/>
          <w:marBottom w:val="0"/>
          <w:divBdr>
            <w:top w:val="none" w:sz="0" w:space="0" w:color="auto"/>
            <w:left w:val="none" w:sz="0" w:space="0" w:color="auto"/>
            <w:bottom w:val="none" w:sz="0" w:space="0" w:color="auto"/>
            <w:right w:val="none" w:sz="0" w:space="0" w:color="auto"/>
          </w:divBdr>
        </w:div>
        <w:div w:id="1043168944">
          <w:marLeft w:val="0"/>
          <w:marRight w:val="0"/>
          <w:marTop w:val="0"/>
          <w:marBottom w:val="0"/>
          <w:divBdr>
            <w:top w:val="none" w:sz="0" w:space="0" w:color="auto"/>
            <w:left w:val="none" w:sz="0" w:space="0" w:color="auto"/>
            <w:bottom w:val="none" w:sz="0" w:space="0" w:color="auto"/>
            <w:right w:val="none" w:sz="0" w:space="0" w:color="auto"/>
          </w:divBdr>
        </w:div>
        <w:div w:id="1425762057">
          <w:marLeft w:val="0"/>
          <w:marRight w:val="0"/>
          <w:marTop w:val="0"/>
          <w:marBottom w:val="0"/>
          <w:divBdr>
            <w:top w:val="none" w:sz="0" w:space="0" w:color="auto"/>
            <w:left w:val="none" w:sz="0" w:space="0" w:color="auto"/>
            <w:bottom w:val="none" w:sz="0" w:space="0" w:color="auto"/>
            <w:right w:val="none" w:sz="0" w:space="0" w:color="auto"/>
          </w:divBdr>
        </w:div>
        <w:div w:id="2109738350">
          <w:marLeft w:val="0"/>
          <w:marRight w:val="0"/>
          <w:marTop w:val="0"/>
          <w:marBottom w:val="0"/>
          <w:divBdr>
            <w:top w:val="none" w:sz="0" w:space="0" w:color="auto"/>
            <w:left w:val="none" w:sz="0" w:space="0" w:color="auto"/>
            <w:bottom w:val="none" w:sz="0" w:space="0" w:color="auto"/>
            <w:right w:val="none" w:sz="0" w:space="0" w:color="auto"/>
          </w:divBdr>
        </w:div>
        <w:div w:id="1304778072">
          <w:marLeft w:val="0"/>
          <w:marRight w:val="0"/>
          <w:marTop w:val="0"/>
          <w:marBottom w:val="0"/>
          <w:divBdr>
            <w:top w:val="none" w:sz="0" w:space="0" w:color="auto"/>
            <w:left w:val="none" w:sz="0" w:space="0" w:color="auto"/>
            <w:bottom w:val="none" w:sz="0" w:space="0" w:color="auto"/>
            <w:right w:val="none" w:sz="0" w:space="0" w:color="auto"/>
          </w:divBdr>
        </w:div>
        <w:div w:id="833109005">
          <w:marLeft w:val="0"/>
          <w:marRight w:val="0"/>
          <w:marTop w:val="0"/>
          <w:marBottom w:val="0"/>
          <w:divBdr>
            <w:top w:val="none" w:sz="0" w:space="0" w:color="auto"/>
            <w:left w:val="none" w:sz="0" w:space="0" w:color="auto"/>
            <w:bottom w:val="none" w:sz="0" w:space="0" w:color="auto"/>
            <w:right w:val="none" w:sz="0" w:space="0" w:color="auto"/>
          </w:divBdr>
        </w:div>
        <w:div w:id="1183320596">
          <w:marLeft w:val="0"/>
          <w:marRight w:val="0"/>
          <w:marTop w:val="0"/>
          <w:marBottom w:val="0"/>
          <w:divBdr>
            <w:top w:val="none" w:sz="0" w:space="0" w:color="auto"/>
            <w:left w:val="none" w:sz="0" w:space="0" w:color="auto"/>
            <w:bottom w:val="none" w:sz="0" w:space="0" w:color="auto"/>
            <w:right w:val="none" w:sz="0" w:space="0" w:color="auto"/>
          </w:divBdr>
        </w:div>
        <w:div w:id="653535818">
          <w:marLeft w:val="0"/>
          <w:marRight w:val="0"/>
          <w:marTop w:val="0"/>
          <w:marBottom w:val="0"/>
          <w:divBdr>
            <w:top w:val="none" w:sz="0" w:space="0" w:color="auto"/>
            <w:left w:val="none" w:sz="0" w:space="0" w:color="auto"/>
            <w:bottom w:val="none" w:sz="0" w:space="0" w:color="auto"/>
            <w:right w:val="none" w:sz="0" w:space="0" w:color="auto"/>
          </w:divBdr>
        </w:div>
        <w:div w:id="1716392619">
          <w:marLeft w:val="0"/>
          <w:marRight w:val="0"/>
          <w:marTop w:val="0"/>
          <w:marBottom w:val="0"/>
          <w:divBdr>
            <w:top w:val="none" w:sz="0" w:space="0" w:color="auto"/>
            <w:left w:val="none" w:sz="0" w:space="0" w:color="auto"/>
            <w:bottom w:val="none" w:sz="0" w:space="0" w:color="auto"/>
            <w:right w:val="none" w:sz="0" w:space="0" w:color="auto"/>
          </w:divBdr>
        </w:div>
        <w:div w:id="860238975">
          <w:marLeft w:val="0"/>
          <w:marRight w:val="0"/>
          <w:marTop w:val="0"/>
          <w:marBottom w:val="0"/>
          <w:divBdr>
            <w:top w:val="none" w:sz="0" w:space="0" w:color="auto"/>
            <w:left w:val="none" w:sz="0" w:space="0" w:color="auto"/>
            <w:bottom w:val="none" w:sz="0" w:space="0" w:color="auto"/>
            <w:right w:val="none" w:sz="0" w:space="0" w:color="auto"/>
          </w:divBdr>
        </w:div>
        <w:div w:id="1899825760">
          <w:marLeft w:val="0"/>
          <w:marRight w:val="0"/>
          <w:marTop w:val="0"/>
          <w:marBottom w:val="0"/>
          <w:divBdr>
            <w:top w:val="none" w:sz="0" w:space="0" w:color="auto"/>
            <w:left w:val="none" w:sz="0" w:space="0" w:color="auto"/>
            <w:bottom w:val="none" w:sz="0" w:space="0" w:color="auto"/>
            <w:right w:val="none" w:sz="0" w:space="0" w:color="auto"/>
          </w:divBdr>
        </w:div>
        <w:div w:id="10374783">
          <w:marLeft w:val="0"/>
          <w:marRight w:val="0"/>
          <w:marTop w:val="0"/>
          <w:marBottom w:val="0"/>
          <w:divBdr>
            <w:top w:val="none" w:sz="0" w:space="0" w:color="auto"/>
            <w:left w:val="none" w:sz="0" w:space="0" w:color="auto"/>
            <w:bottom w:val="none" w:sz="0" w:space="0" w:color="auto"/>
            <w:right w:val="none" w:sz="0" w:space="0" w:color="auto"/>
          </w:divBdr>
        </w:div>
        <w:div w:id="1835758500">
          <w:marLeft w:val="0"/>
          <w:marRight w:val="0"/>
          <w:marTop w:val="0"/>
          <w:marBottom w:val="0"/>
          <w:divBdr>
            <w:top w:val="none" w:sz="0" w:space="0" w:color="auto"/>
            <w:left w:val="none" w:sz="0" w:space="0" w:color="auto"/>
            <w:bottom w:val="none" w:sz="0" w:space="0" w:color="auto"/>
            <w:right w:val="none" w:sz="0" w:space="0" w:color="auto"/>
          </w:divBdr>
        </w:div>
        <w:div w:id="385615760">
          <w:marLeft w:val="0"/>
          <w:marRight w:val="0"/>
          <w:marTop w:val="0"/>
          <w:marBottom w:val="0"/>
          <w:divBdr>
            <w:top w:val="none" w:sz="0" w:space="0" w:color="auto"/>
            <w:left w:val="none" w:sz="0" w:space="0" w:color="auto"/>
            <w:bottom w:val="none" w:sz="0" w:space="0" w:color="auto"/>
            <w:right w:val="none" w:sz="0" w:space="0" w:color="auto"/>
          </w:divBdr>
        </w:div>
        <w:div w:id="757868592">
          <w:marLeft w:val="0"/>
          <w:marRight w:val="0"/>
          <w:marTop w:val="0"/>
          <w:marBottom w:val="0"/>
          <w:divBdr>
            <w:top w:val="none" w:sz="0" w:space="0" w:color="auto"/>
            <w:left w:val="none" w:sz="0" w:space="0" w:color="auto"/>
            <w:bottom w:val="none" w:sz="0" w:space="0" w:color="auto"/>
            <w:right w:val="none" w:sz="0" w:space="0" w:color="auto"/>
          </w:divBdr>
        </w:div>
        <w:div w:id="1036155023">
          <w:marLeft w:val="0"/>
          <w:marRight w:val="0"/>
          <w:marTop w:val="0"/>
          <w:marBottom w:val="0"/>
          <w:divBdr>
            <w:top w:val="none" w:sz="0" w:space="0" w:color="auto"/>
            <w:left w:val="none" w:sz="0" w:space="0" w:color="auto"/>
            <w:bottom w:val="none" w:sz="0" w:space="0" w:color="auto"/>
            <w:right w:val="none" w:sz="0" w:space="0" w:color="auto"/>
          </w:divBdr>
        </w:div>
        <w:div w:id="1051417182">
          <w:marLeft w:val="0"/>
          <w:marRight w:val="0"/>
          <w:marTop w:val="0"/>
          <w:marBottom w:val="0"/>
          <w:divBdr>
            <w:top w:val="none" w:sz="0" w:space="0" w:color="auto"/>
            <w:left w:val="none" w:sz="0" w:space="0" w:color="auto"/>
            <w:bottom w:val="none" w:sz="0" w:space="0" w:color="auto"/>
            <w:right w:val="none" w:sz="0" w:space="0" w:color="auto"/>
          </w:divBdr>
        </w:div>
        <w:div w:id="1934432965">
          <w:marLeft w:val="0"/>
          <w:marRight w:val="0"/>
          <w:marTop w:val="0"/>
          <w:marBottom w:val="0"/>
          <w:divBdr>
            <w:top w:val="none" w:sz="0" w:space="0" w:color="auto"/>
            <w:left w:val="none" w:sz="0" w:space="0" w:color="auto"/>
            <w:bottom w:val="none" w:sz="0" w:space="0" w:color="auto"/>
            <w:right w:val="none" w:sz="0" w:space="0" w:color="auto"/>
          </w:divBdr>
        </w:div>
        <w:div w:id="43406162">
          <w:marLeft w:val="0"/>
          <w:marRight w:val="0"/>
          <w:marTop w:val="0"/>
          <w:marBottom w:val="0"/>
          <w:divBdr>
            <w:top w:val="none" w:sz="0" w:space="0" w:color="auto"/>
            <w:left w:val="none" w:sz="0" w:space="0" w:color="auto"/>
            <w:bottom w:val="none" w:sz="0" w:space="0" w:color="auto"/>
            <w:right w:val="none" w:sz="0" w:space="0" w:color="auto"/>
          </w:divBdr>
        </w:div>
        <w:div w:id="312956824">
          <w:marLeft w:val="0"/>
          <w:marRight w:val="0"/>
          <w:marTop w:val="0"/>
          <w:marBottom w:val="0"/>
          <w:divBdr>
            <w:top w:val="none" w:sz="0" w:space="0" w:color="auto"/>
            <w:left w:val="none" w:sz="0" w:space="0" w:color="auto"/>
            <w:bottom w:val="none" w:sz="0" w:space="0" w:color="auto"/>
            <w:right w:val="none" w:sz="0" w:space="0" w:color="auto"/>
          </w:divBdr>
        </w:div>
        <w:div w:id="335766476">
          <w:marLeft w:val="0"/>
          <w:marRight w:val="0"/>
          <w:marTop w:val="0"/>
          <w:marBottom w:val="0"/>
          <w:divBdr>
            <w:top w:val="none" w:sz="0" w:space="0" w:color="auto"/>
            <w:left w:val="none" w:sz="0" w:space="0" w:color="auto"/>
            <w:bottom w:val="none" w:sz="0" w:space="0" w:color="auto"/>
            <w:right w:val="none" w:sz="0" w:space="0" w:color="auto"/>
          </w:divBdr>
        </w:div>
        <w:div w:id="573668091">
          <w:marLeft w:val="0"/>
          <w:marRight w:val="0"/>
          <w:marTop w:val="0"/>
          <w:marBottom w:val="0"/>
          <w:divBdr>
            <w:top w:val="none" w:sz="0" w:space="0" w:color="auto"/>
            <w:left w:val="none" w:sz="0" w:space="0" w:color="auto"/>
            <w:bottom w:val="none" w:sz="0" w:space="0" w:color="auto"/>
            <w:right w:val="none" w:sz="0" w:space="0" w:color="auto"/>
          </w:divBdr>
        </w:div>
        <w:div w:id="212935347">
          <w:marLeft w:val="0"/>
          <w:marRight w:val="0"/>
          <w:marTop w:val="0"/>
          <w:marBottom w:val="0"/>
          <w:divBdr>
            <w:top w:val="none" w:sz="0" w:space="0" w:color="auto"/>
            <w:left w:val="none" w:sz="0" w:space="0" w:color="auto"/>
            <w:bottom w:val="none" w:sz="0" w:space="0" w:color="auto"/>
            <w:right w:val="none" w:sz="0" w:space="0" w:color="auto"/>
          </w:divBdr>
        </w:div>
        <w:div w:id="988241096">
          <w:marLeft w:val="0"/>
          <w:marRight w:val="0"/>
          <w:marTop w:val="0"/>
          <w:marBottom w:val="0"/>
          <w:divBdr>
            <w:top w:val="none" w:sz="0" w:space="0" w:color="auto"/>
            <w:left w:val="none" w:sz="0" w:space="0" w:color="auto"/>
            <w:bottom w:val="none" w:sz="0" w:space="0" w:color="auto"/>
            <w:right w:val="none" w:sz="0" w:space="0" w:color="auto"/>
          </w:divBdr>
        </w:div>
        <w:div w:id="457534132">
          <w:marLeft w:val="0"/>
          <w:marRight w:val="0"/>
          <w:marTop w:val="0"/>
          <w:marBottom w:val="0"/>
          <w:divBdr>
            <w:top w:val="none" w:sz="0" w:space="0" w:color="auto"/>
            <w:left w:val="none" w:sz="0" w:space="0" w:color="auto"/>
            <w:bottom w:val="none" w:sz="0" w:space="0" w:color="auto"/>
            <w:right w:val="none" w:sz="0" w:space="0" w:color="auto"/>
          </w:divBdr>
        </w:div>
        <w:div w:id="372581449">
          <w:marLeft w:val="0"/>
          <w:marRight w:val="0"/>
          <w:marTop w:val="0"/>
          <w:marBottom w:val="0"/>
          <w:divBdr>
            <w:top w:val="none" w:sz="0" w:space="0" w:color="auto"/>
            <w:left w:val="none" w:sz="0" w:space="0" w:color="auto"/>
            <w:bottom w:val="none" w:sz="0" w:space="0" w:color="auto"/>
            <w:right w:val="none" w:sz="0" w:space="0" w:color="auto"/>
          </w:divBdr>
        </w:div>
        <w:div w:id="290745919">
          <w:marLeft w:val="0"/>
          <w:marRight w:val="0"/>
          <w:marTop w:val="0"/>
          <w:marBottom w:val="0"/>
          <w:divBdr>
            <w:top w:val="none" w:sz="0" w:space="0" w:color="auto"/>
            <w:left w:val="none" w:sz="0" w:space="0" w:color="auto"/>
            <w:bottom w:val="none" w:sz="0" w:space="0" w:color="auto"/>
            <w:right w:val="none" w:sz="0" w:space="0" w:color="auto"/>
          </w:divBdr>
        </w:div>
        <w:div w:id="200674109">
          <w:marLeft w:val="0"/>
          <w:marRight w:val="0"/>
          <w:marTop w:val="0"/>
          <w:marBottom w:val="0"/>
          <w:divBdr>
            <w:top w:val="none" w:sz="0" w:space="0" w:color="auto"/>
            <w:left w:val="none" w:sz="0" w:space="0" w:color="auto"/>
            <w:bottom w:val="none" w:sz="0" w:space="0" w:color="auto"/>
            <w:right w:val="none" w:sz="0" w:space="0" w:color="auto"/>
          </w:divBdr>
        </w:div>
      </w:divsChild>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768891028">
      <w:bodyDiv w:val="1"/>
      <w:marLeft w:val="0"/>
      <w:marRight w:val="0"/>
      <w:marTop w:val="0"/>
      <w:marBottom w:val="0"/>
      <w:divBdr>
        <w:top w:val="none" w:sz="0" w:space="0" w:color="auto"/>
        <w:left w:val="none" w:sz="0" w:space="0" w:color="auto"/>
        <w:bottom w:val="none" w:sz="0" w:space="0" w:color="auto"/>
        <w:right w:val="none" w:sz="0" w:space="0" w:color="auto"/>
      </w:divBdr>
      <w:divsChild>
        <w:div w:id="1869443750">
          <w:marLeft w:val="0"/>
          <w:marRight w:val="0"/>
          <w:marTop w:val="0"/>
          <w:marBottom w:val="0"/>
          <w:divBdr>
            <w:top w:val="none" w:sz="0" w:space="0" w:color="auto"/>
            <w:left w:val="none" w:sz="0" w:space="0" w:color="auto"/>
            <w:bottom w:val="none" w:sz="0" w:space="0" w:color="auto"/>
            <w:right w:val="none" w:sz="0" w:space="0" w:color="auto"/>
          </w:divBdr>
        </w:div>
        <w:div w:id="2049908352">
          <w:marLeft w:val="0"/>
          <w:marRight w:val="0"/>
          <w:marTop w:val="0"/>
          <w:marBottom w:val="0"/>
          <w:divBdr>
            <w:top w:val="none" w:sz="0" w:space="0" w:color="auto"/>
            <w:left w:val="none" w:sz="0" w:space="0" w:color="auto"/>
            <w:bottom w:val="none" w:sz="0" w:space="0" w:color="auto"/>
            <w:right w:val="none" w:sz="0" w:space="0" w:color="auto"/>
          </w:divBdr>
        </w:div>
        <w:div w:id="720253788">
          <w:marLeft w:val="0"/>
          <w:marRight w:val="0"/>
          <w:marTop w:val="0"/>
          <w:marBottom w:val="0"/>
          <w:divBdr>
            <w:top w:val="none" w:sz="0" w:space="0" w:color="auto"/>
            <w:left w:val="none" w:sz="0" w:space="0" w:color="auto"/>
            <w:bottom w:val="none" w:sz="0" w:space="0" w:color="auto"/>
            <w:right w:val="none" w:sz="0" w:space="0" w:color="auto"/>
          </w:divBdr>
        </w:div>
        <w:div w:id="1476558613">
          <w:marLeft w:val="0"/>
          <w:marRight w:val="0"/>
          <w:marTop w:val="0"/>
          <w:marBottom w:val="0"/>
          <w:divBdr>
            <w:top w:val="none" w:sz="0" w:space="0" w:color="auto"/>
            <w:left w:val="none" w:sz="0" w:space="0" w:color="auto"/>
            <w:bottom w:val="none" w:sz="0" w:space="0" w:color="auto"/>
            <w:right w:val="none" w:sz="0" w:space="0" w:color="auto"/>
          </w:divBdr>
        </w:div>
        <w:div w:id="2051345124">
          <w:marLeft w:val="0"/>
          <w:marRight w:val="0"/>
          <w:marTop w:val="0"/>
          <w:marBottom w:val="0"/>
          <w:divBdr>
            <w:top w:val="none" w:sz="0" w:space="0" w:color="auto"/>
            <w:left w:val="none" w:sz="0" w:space="0" w:color="auto"/>
            <w:bottom w:val="none" w:sz="0" w:space="0" w:color="auto"/>
            <w:right w:val="none" w:sz="0" w:space="0" w:color="auto"/>
          </w:divBdr>
        </w:div>
        <w:div w:id="1419787150">
          <w:marLeft w:val="0"/>
          <w:marRight w:val="0"/>
          <w:marTop w:val="0"/>
          <w:marBottom w:val="0"/>
          <w:divBdr>
            <w:top w:val="none" w:sz="0" w:space="0" w:color="auto"/>
            <w:left w:val="none" w:sz="0" w:space="0" w:color="auto"/>
            <w:bottom w:val="none" w:sz="0" w:space="0" w:color="auto"/>
            <w:right w:val="none" w:sz="0" w:space="0" w:color="auto"/>
          </w:divBdr>
        </w:div>
        <w:div w:id="1367680675">
          <w:marLeft w:val="0"/>
          <w:marRight w:val="0"/>
          <w:marTop w:val="0"/>
          <w:marBottom w:val="0"/>
          <w:divBdr>
            <w:top w:val="none" w:sz="0" w:space="0" w:color="auto"/>
            <w:left w:val="none" w:sz="0" w:space="0" w:color="auto"/>
            <w:bottom w:val="none" w:sz="0" w:space="0" w:color="auto"/>
            <w:right w:val="none" w:sz="0" w:space="0" w:color="auto"/>
          </w:divBdr>
        </w:div>
        <w:div w:id="1106852219">
          <w:marLeft w:val="0"/>
          <w:marRight w:val="0"/>
          <w:marTop w:val="0"/>
          <w:marBottom w:val="0"/>
          <w:divBdr>
            <w:top w:val="none" w:sz="0" w:space="0" w:color="auto"/>
            <w:left w:val="none" w:sz="0" w:space="0" w:color="auto"/>
            <w:bottom w:val="none" w:sz="0" w:space="0" w:color="auto"/>
            <w:right w:val="none" w:sz="0" w:space="0" w:color="auto"/>
          </w:divBdr>
        </w:div>
        <w:div w:id="1023701284">
          <w:marLeft w:val="0"/>
          <w:marRight w:val="0"/>
          <w:marTop w:val="0"/>
          <w:marBottom w:val="0"/>
          <w:divBdr>
            <w:top w:val="none" w:sz="0" w:space="0" w:color="auto"/>
            <w:left w:val="none" w:sz="0" w:space="0" w:color="auto"/>
            <w:bottom w:val="none" w:sz="0" w:space="0" w:color="auto"/>
            <w:right w:val="none" w:sz="0" w:space="0" w:color="auto"/>
          </w:divBdr>
        </w:div>
        <w:div w:id="167062588">
          <w:marLeft w:val="0"/>
          <w:marRight w:val="0"/>
          <w:marTop w:val="0"/>
          <w:marBottom w:val="0"/>
          <w:divBdr>
            <w:top w:val="none" w:sz="0" w:space="0" w:color="auto"/>
            <w:left w:val="none" w:sz="0" w:space="0" w:color="auto"/>
            <w:bottom w:val="none" w:sz="0" w:space="0" w:color="auto"/>
            <w:right w:val="none" w:sz="0" w:space="0" w:color="auto"/>
          </w:divBdr>
        </w:div>
        <w:div w:id="136385844">
          <w:marLeft w:val="0"/>
          <w:marRight w:val="0"/>
          <w:marTop w:val="0"/>
          <w:marBottom w:val="0"/>
          <w:divBdr>
            <w:top w:val="none" w:sz="0" w:space="0" w:color="auto"/>
            <w:left w:val="none" w:sz="0" w:space="0" w:color="auto"/>
            <w:bottom w:val="none" w:sz="0" w:space="0" w:color="auto"/>
            <w:right w:val="none" w:sz="0" w:space="0" w:color="auto"/>
          </w:divBdr>
        </w:div>
        <w:div w:id="2026782241">
          <w:marLeft w:val="0"/>
          <w:marRight w:val="0"/>
          <w:marTop w:val="0"/>
          <w:marBottom w:val="0"/>
          <w:divBdr>
            <w:top w:val="none" w:sz="0" w:space="0" w:color="auto"/>
            <w:left w:val="none" w:sz="0" w:space="0" w:color="auto"/>
            <w:bottom w:val="none" w:sz="0" w:space="0" w:color="auto"/>
            <w:right w:val="none" w:sz="0" w:space="0" w:color="auto"/>
          </w:divBdr>
        </w:div>
        <w:div w:id="560333181">
          <w:marLeft w:val="0"/>
          <w:marRight w:val="0"/>
          <w:marTop w:val="0"/>
          <w:marBottom w:val="0"/>
          <w:divBdr>
            <w:top w:val="none" w:sz="0" w:space="0" w:color="auto"/>
            <w:left w:val="none" w:sz="0" w:space="0" w:color="auto"/>
            <w:bottom w:val="none" w:sz="0" w:space="0" w:color="auto"/>
            <w:right w:val="none" w:sz="0" w:space="0" w:color="auto"/>
          </w:divBdr>
        </w:div>
        <w:div w:id="475416602">
          <w:marLeft w:val="0"/>
          <w:marRight w:val="0"/>
          <w:marTop w:val="0"/>
          <w:marBottom w:val="0"/>
          <w:divBdr>
            <w:top w:val="none" w:sz="0" w:space="0" w:color="auto"/>
            <w:left w:val="none" w:sz="0" w:space="0" w:color="auto"/>
            <w:bottom w:val="none" w:sz="0" w:space="0" w:color="auto"/>
            <w:right w:val="none" w:sz="0" w:space="0" w:color="auto"/>
          </w:divBdr>
        </w:div>
        <w:div w:id="624047317">
          <w:marLeft w:val="0"/>
          <w:marRight w:val="0"/>
          <w:marTop w:val="0"/>
          <w:marBottom w:val="0"/>
          <w:divBdr>
            <w:top w:val="none" w:sz="0" w:space="0" w:color="auto"/>
            <w:left w:val="none" w:sz="0" w:space="0" w:color="auto"/>
            <w:bottom w:val="none" w:sz="0" w:space="0" w:color="auto"/>
            <w:right w:val="none" w:sz="0" w:space="0" w:color="auto"/>
          </w:divBdr>
        </w:div>
      </w:divsChild>
    </w:div>
    <w:div w:id="1856528885">
      <w:bodyDiv w:val="1"/>
      <w:marLeft w:val="0"/>
      <w:marRight w:val="0"/>
      <w:marTop w:val="0"/>
      <w:marBottom w:val="0"/>
      <w:divBdr>
        <w:top w:val="none" w:sz="0" w:space="0" w:color="auto"/>
        <w:left w:val="none" w:sz="0" w:space="0" w:color="auto"/>
        <w:bottom w:val="none" w:sz="0" w:space="0" w:color="auto"/>
        <w:right w:val="none" w:sz="0" w:space="0" w:color="auto"/>
      </w:divBdr>
      <w:divsChild>
        <w:div w:id="229848968">
          <w:marLeft w:val="0"/>
          <w:marRight w:val="0"/>
          <w:marTop w:val="0"/>
          <w:marBottom w:val="0"/>
          <w:divBdr>
            <w:top w:val="none" w:sz="0" w:space="0" w:color="auto"/>
            <w:left w:val="none" w:sz="0" w:space="0" w:color="auto"/>
            <w:bottom w:val="none" w:sz="0" w:space="0" w:color="auto"/>
            <w:right w:val="none" w:sz="0" w:space="0" w:color="auto"/>
          </w:divBdr>
        </w:div>
        <w:div w:id="1712683499">
          <w:marLeft w:val="0"/>
          <w:marRight w:val="0"/>
          <w:marTop w:val="0"/>
          <w:marBottom w:val="0"/>
          <w:divBdr>
            <w:top w:val="none" w:sz="0" w:space="0" w:color="auto"/>
            <w:left w:val="none" w:sz="0" w:space="0" w:color="auto"/>
            <w:bottom w:val="none" w:sz="0" w:space="0" w:color="auto"/>
            <w:right w:val="none" w:sz="0" w:space="0" w:color="auto"/>
          </w:divBdr>
        </w:div>
        <w:div w:id="1613122769">
          <w:marLeft w:val="0"/>
          <w:marRight w:val="0"/>
          <w:marTop w:val="0"/>
          <w:marBottom w:val="0"/>
          <w:divBdr>
            <w:top w:val="none" w:sz="0" w:space="0" w:color="auto"/>
            <w:left w:val="none" w:sz="0" w:space="0" w:color="auto"/>
            <w:bottom w:val="none" w:sz="0" w:space="0" w:color="auto"/>
            <w:right w:val="none" w:sz="0" w:space="0" w:color="auto"/>
          </w:divBdr>
        </w:div>
        <w:div w:id="230964968">
          <w:marLeft w:val="0"/>
          <w:marRight w:val="0"/>
          <w:marTop w:val="0"/>
          <w:marBottom w:val="0"/>
          <w:divBdr>
            <w:top w:val="none" w:sz="0" w:space="0" w:color="auto"/>
            <w:left w:val="none" w:sz="0" w:space="0" w:color="auto"/>
            <w:bottom w:val="none" w:sz="0" w:space="0" w:color="auto"/>
            <w:right w:val="none" w:sz="0" w:space="0" w:color="auto"/>
          </w:divBdr>
        </w:div>
        <w:div w:id="1470515595">
          <w:marLeft w:val="0"/>
          <w:marRight w:val="0"/>
          <w:marTop w:val="0"/>
          <w:marBottom w:val="0"/>
          <w:divBdr>
            <w:top w:val="none" w:sz="0" w:space="0" w:color="auto"/>
            <w:left w:val="none" w:sz="0" w:space="0" w:color="auto"/>
            <w:bottom w:val="none" w:sz="0" w:space="0" w:color="auto"/>
            <w:right w:val="none" w:sz="0" w:space="0" w:color="auto"/>
          </w:divBdr>
        </w:div>
      </w:divsChild>
    </w:div>
    <w:div w:id="2039892130">
      <w:bodyDiv w:val="1"/>
      <w:marLeft w:val="0"/>
      <w:marRight w:val="0"/>
      <w:marTop w:val="0"/>
      <w:marBottom w:val="0"/>
      <w:divBdr>
        <w:top w:val="none" w:sz="0" w:space="0" w:color="auto"/>
        <w:left w:val="none" w:sz="0" w:space="0" w:color="auto"/>
        <w:bottom w:val="none" w:sz="0" w:space="0" w:color="auto"/>
        <w:right w:val="none" w:sz="0" w:space="0" w:color="auto"/>
      </w:divBdr>
      <w:divsChild>
        <w:div w:id="1362121397">
          <w:marLeft w:val="0"/>
          <w:marRight w:val="0"/>
          <w:marTop w:val="0"/>
          <w:marBottom w:val="0"/>
          <w:divBdr>
            <w:top w:val="none" w:sz="0" w:space="0" w:color="auto"/>
            <w:left w:val="none" w:sz="0" w:space="0" w:color="auto"/>
            <w:bottom w:val="none" w:sz="0" w:space="0" w:color="auto"/>
            <w:right w:val="none" w:sz="0" w:space="0" w:color="auto"/>
          </w:divBdr>
        </w:div>
        <w:div w:id="299652316">
          <w:marLeft w:val="0"/>
          <w:marRight w:val="0"/>
          <w:marTop w:val="0"/>
          <w:marBottom w:val="0"/>
          <w:divBdr>
            <w:top w:val="none" w:sz="0" w:space="0" w:color="auto"/>
            <w:left w:val="none" w:sz="0" w:space="0" w:color="auto"/>
            <w:bottom w:val="none" w:sz="0" w:space="0" w:color="auto"/>
            <w:right w:val="none" w:sz="0" w:space="0" w:color="auto"/>
          </w:divBdr>
        </w:div>
        <w:div w:id="640768518">
          <w:marLeft w:val="0"/>
          <w:marRight w:val="0"/>
          <w:marTop w:val="0"/>
          <w:marBottom w:val="0"/>
          <w:divBdr>
            <w:top w:val="none" w:sz="0" w:space="0" w:color="auto"/>
            <w:left w:val="none" w:sz="0" w:space="0" w:color="auto"/>
            <w:bottom w:val="none" w:sz="0" w:space="0" w:color="auto"/>
            <w:right w:val="none" w:sz="0" w:space="0" w:color="auto"/>
          </w:divBdr>
        </w:div>
        <w:div w:id="700284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2A1E3-B790-46BA-B804-55E8D8F1A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3147</Words>
  <Characters>18622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2017-12-18T13:39:00Z</dcterms:created>
  <dcterms:modified xsi:type="dcterms:W3CDTF">2017-12-20T14:04:00Z</dcterms:modified>
</cp:coreProperties>
</file>