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76" w:type="dxa"/>
        <w:tblLayout w:type="fixed"/>
        <w:tblLook w:val="0000" w:firstRow="0" w:lastRow="0" w:firstColumn="0" w:lastColumn="0" w:noHBand="0" w:noVBand="0"/>
      </w:tblPr>
      <w:tblGrid>
        <w:gridCol w:w="6644"/>
        <w:gridCol w:w="19"/>
        <w:gridCol w:w="3402"/>
      </w:tblGrid>
      <w:tr w:rsidR="000F74D5" w:rsidRPr="000F74D5" w:rsidTr="00DC6B84">
        <w:trPr>
          <w:cantSplit/>
          <w:trHeight w:val="718"/>
        </w:trPr>
        <w:tc>
          <w:tcPr>
            <w:tcW w:w="6644" w:type="dxa"/>
            <w:tcBorders>
              <w:bottom w:val="single" w:sz="2" w:space="0" w:color="auto"/>
            </w:tcBorders>
          </w:tcPr>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r w:rsidRPr="000F74D5">
              <w:rPr>
                <w:rFonts w:ascii="Times New Roman" w:eastAsia="Times New Roman" w:hAnsi="Times New Roman" w:cs="Times New Roman"/>
                <w:noProof/>
                <w:sz w:val="20"/>
                <w:szCs w:val="20"/>
              </w:rPr>
              <w:drawing>
                <wp:inline distT="0" distB="0" distL="0" distR="0" wp14:anchorId="65DF4A13" wp14:editId="4229B782">
                  <wp:extent cx="1000125" cy="457200"/>
                  <wp:effectExtent l="0" t="0" r="9525" b="0"/>
                  <wp:docPr id="21" name="Picture 21"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0F74D5" w:rsidRPr="000F74D5" w:rsidRDefault="000F74D5" w:rsidP="000F74D5">
            <w:pPr>
              <w:keepNext/>
              <w:tabs>
                <w:tab w:val="left" w:pos="624"/>
                <w:tab w:val="left" w:pos="1247"/>
                <w:tab w:val="left" w:pos="1871"/>
                <w:tab w:val="left" w:pos="2495"/>
                <w:tab w:val="left" w:pos="3119"/>
              </w:tabs>
              <w:spacing w:before="240" w:after="120" w:line="240" w:lineRule="auto"/>
              <w:ind w:left="1247" w:hanging="680"/>
              <w:outlineLvl w:val="1"/>
              <w:rPr>
                <w:rFonts w:ascii="Times New Roman" w:eastAsia="Times New Roman" w:hAnsi="Times New Roman" w:cs="Times New Roman"/>
                <w:b/>
                <w:sz w:val="20"/>
                <w:szCs w:val="24"/>
                <w:lang w:val="en-GB" w:eastAsia="en-US"/>
              </w:rPr>
            </w:pP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r w:rsidRPr="000F74D5">
              <w:rPr>
                <w:rFonts w:ascii="Times New Roman" w:eastAsia="Times New Roman" w:hAnsi="Times New Roman" w:cs="Times New Roman"/>
                <w:b/>
                <w:sz w:val="20"/>
                <w:szCs w:val="20"/>
                <w:lang w:val="en-GB" w:eastAsia="en-US"/>
              </w:rPr>
              <w:t>SAICM</w:t>
            </w:r>
            <w:r w:rsidRPr="000F74D5">
              <w:rPr>
                <w:rFonts w:ascii="Times New Roman" w:eastAsia="Times New Roman" w:hAnsi="Times New Roman" w:cs="Times New Roman"/>
                <w:sz w:val="20"/>
                <w:szCs w:val="20"/>
                <w:lang w:val="en-GB" w:eastAsia="en-US"/>
              </w:rPr>
              <w:t>/RM/2018/1</w:t>
            </w:r>
          </w:p>
        </w:tc>
      </w:tr>
      <w:tr w:rsidR="000F74D5" w:rsidRPr="000F74D5" w:rsidTr="00DC6B84">
        <w:trPr>
          <w:cantSplit/>
          <w:trHeight w:val="2275"/>
        </w:trPr>
        <w:tc>
          <w:tcPr>
            <w:tcW w:w="6663" w:type="dxa"/>
            <w:gridSpan w:val="2"/>
            <w:tcBorders>
              <w:top w:val="single" w:sz="2" w:space="0" w:color="auto"/>
              <w:bottom w:val="single" w:sz="24" w:space="0" w:color="auto"/>
            </w:tcBorders>
          </w:tcPr>
          <w:p w:rsidR="000F74D5" w:rsidRPr="000F74D5" w:rsidRDefault="000F74D5" w:rsidP="000F74D5">
            <w:pPr>
              <w:tabs>
                <w:tab w:val="left" w:pos="624"/>
                <w:tab w:val="left" w:pos="1247"/>
                <w:tab w:val="left" w:pos="1871"/>
                <w:tab w:val="left" w:pos="2495"/>
                <w:tab w:val="left" w:pos="3119"/>
              </w:tabs>
              <w:spacing w:after="120" w:line="240" w:lineRule="auto"/>
              <w:ind w:left="1247" w:hanging="680"/>
              <w:outlineLvl w:val="2"/>
              <w:rPr>
                <w:rFonts w:ascii="Times New Roman" w:eastAsia="Times New Roman" w:hAnsi="Times New Roman" w:cs="Times New Roman"/>
                <w:b/>
                <w:sz w:val="24"/>
                <w:szCs w:val="20"/>
                <w:lang w:val="en-GB" w:eastAsia="en-US"/>
              </w:rPr>
            </w:pP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r w:rsidRPr="000F74D5">
              <w:rPr>
                <w:rFonts w:ascii="Times New Roman" w:eastAsia="Times New Roman" w:hAnsi="Times New Roman" w:cs="Times New Roman"/>
                <w:noProof/>
                <w:sz w:val="20"/>
                <w:szCs w:val="20"/>
              </w:rPr>
              <w:drawing>
                <wp:inline distT="0" distB="0" distL="0" distR="0" wp14:anchorId="5571D2B0" wp14:editId="0AAC8953">
                  <wp:extent cx="2466975" cy="400050"/>
                  <wp:effectExtent l="0" t="0" r="9525" b="0"/>
                  <wp:docPr id="20" name="Picture 20"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p>
        </w:tc>
        <w:tc>
          <w:tcPr>
            <w:tcW w:w="3402" w:type="dxa"/>
            <w:tcBorders>
              <w:top w:val="single" w:sz="2" w:space="0" w:color="auto"/>
              <w:bottom w:val="single" w:sz="24" w:space="0" w:color="auto"/>
            </w:tcBorders>
          </w:tcPr>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r w:rsidRPr="000F74D5">
              <w:rPr>
                <w:rFonts w:ascii="Times New Roman" w:eastAsia="Times New Roman" w:hAnsi="Times New Roman" w:cs="Times New Roman"/>
                <w:sz w:val="20"/>
                <w:szCs w:val="20"/>
                <w:lang w:val="en-GB" w:eastAsia="en-US"/>
              </w:rPr>
              <w:t>Distr.: General</w:t>
            </w: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r w:rsidRPr="000F74D5">
              <w:rPr>
                <w:rFonts w:ascii="Times New Roman" w:eastAsia="Times New Roman" w:hAnsi="Times New Roman" w:cs="Times New Roman"/>
                <w:sz w:val="20"/>
                <w:szCs w:val="20"/>
                <w:lang w:val="en-GB" w:eastAsia="en-US"/>
              </w:rPr>
              <w:t>5 January 2018</w:t>
            </w: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p>
          <w:p w:rsidR="000F74D5" w:rsidRPr="000F74D5" w:rsidRDefault="000F74D5" w:rsidP="000F74D5">
            <w:pPr>
              <w:tabs>
                <w:tab w:val="left" w:pos="624"/>
                <w:tab w:val="left" w:pos="1247"/>
                <w:tab w:val="left" w:pos="1871"/>
                <w:tab w:val="left" w:pos="2495"/>
                <w:tab w:val="left" w:pos="3119"/>
              </w:tabs>
              <w:spacing w:after="0" w:line="240" w:lineRule="auto"/>
              <w:rPr>
                <w:rFonts w:ascii="Times New Roman" w:eastAsia="Times New Roman" w:hAnsi="Times New Roman" w:cs="Times New Roman"/>
                <w:sz w:val="20"/>
                <w:szCs w:val="20"/>
                <w:lang w:val="en-GB" w:eastAsia="en-US"/>
              </w:rPr>
            </w:pPr>
            <w:r w:rsidRPr="000F74D5">
              <w:rPr>
                <w:rFonts w:ascii="Times New Roman" w:eastAsia="Times New Roman" w:hAnsi="Times New Roman" w:cs="Times New Roman"/>
                <w:sz w:val="20"/>
                <w:szCs w:val="20"/>
                <w:lang w:val="en-GB" w:eastAsia="en-US"/>
              </w:rPr>
              <w:t>English only</w:t>
            </w:r>
          </w:p>
        </w:tc>
      </w:tr>
    </w:tbl>
    <w:p w:rsidR="000F74D5" w:rsidRPr="000F74D5" w:rsidRDefault="000F74D5" w:rsidP="000F74D5">
      <w:pPr>
        <w:spacing w:after="0" w:line="240" w:lineRule="auto"/>
        <w:rPr>
          <w:rFonts w:ascii="Times New Roman" w:eastAsia="Times New Roman" w:hAnsi="Times New Roman" w:cs="Times New Roman"/>
          <w:b/>
          <w:bCs/>
          <w:sz w:val="20"/>
          <w:szCs w:val="20"/>
          <w:lang w:val="en-GB" w:eastAsia="en-US"/>
        </w:rPr>
      </w:pPr>
      <w:r w:rsidRPr="000F74D5">
        <w:rPr>
          <w:rFonts w:ascii="Times New Roman" w:eastAsia="Times New Roman" w:hAnsi="Times New Roman" w:cs="Times New Roman"/>
          <w:b/>
          <w:bCs/>
          <w:sz w:val="20"/>
          <w:szCs w:val="20"/>
          <w:lang w:val="en-GB" w:eastAsia="en-US"/>
        </w:rPr>
        <w:t xml:space="preserve">Regional meeting on the Strategic Approach to International Chemicals Management </w:t>
      </w:r>
    </w:p>
    <w:p w:rsidR="000F74D5" w:rsidRPr="000F74D5" w:rsidRDefault="000F74D5" w:rsidP="00966616">
      <w:pPr>
        <w:spacing w:before="150" w:after="150" w:line="240" w:lineRule="auto"/>
        <w:outlineLvl w:val="0"/>
        <w:rPr>
          <w:rFonts w:asciiTheme="majorBidi" w:eastAsia="Times New Roman" w:hAnsiTheme="majorBidi" w:cstheme="majorBidi"/>
          <w:kern w:val="36"/>
          <w:lang w:val="en-GB"/>
        </w:rPr>
      </w:pPr>
    </w:p>
    <w:p w:rsidR="00966616" w:rsidRPr="005C1442" w:rsidRDefault="000F74D5" w:rsidP="005C1442">
      <w:pPr>
        <w:spacing w:before="150" w:after="150" w:line="240" w:lineRule="auto"/>
        <w:ind w:firstLine="630"/>
        <w:outlineLvl w:val="0"/>
        <w:rPr>
          <w:rFonts w:asciiTheme="majorBidi" w:eastAsia="Times New Roman" w:hAnsiTheme="majorBidi" w:cstheme="majorBidi"/>
          <w:b/>
          <w:bCs/>
          <w:kern w:val="36"/>
          <w:sz w:val="28"/>
          <w:szCs w:val="28"/>
        </w:rPr>
      </w:pPr>
      <w:r w:rsidRPr="005C1442">
        <w:rPr>
          <w:rFonts w:asciiTheme="majorBidi" w:eastAsia="Times New Roman" w:hAnsiTheme="majorBidi" w:cstheme="majorBidi"/>
          <w:b/>
          <w:bCs/>
          <w:kern w:val="36"/>
          <w:sz w:val="28"/>
          <w:szCs w:val="28"/>
        </w:rPr>
        <w:t>Status of input to the 2014-2016 Strategic Approach report on progress</w:t>
      </w:r>
    </w:p>
    <w:p w:rsidR="005F2DB6" w:rsidRPr="005C1442" w:rsidRDefault="005F2DB6" w:rsidP="005C1442">
      <w:pPr>
        <w:pStyle w:val="ListParagraph"/>
        <w:numPr>
          <w:ilvl w:val="0"/>
          <w:numId w:val="3"/>
        </w:numPr>
        <w:spacing w:before="100" w:beforeAutospacing="1" w:after="100" w:afterAutospacing="1" w:line="240" w:lineRule="auto"/>
        <w:rPr>
          <w:rFonts w:asciiTheme="majorBidi" w:eastAsia="Times New Roman" w:hAnsiTheme="majorBidi" w:cstheme="majorBidi"/>
          <w:b/>
          <w:bCs/>
          <w:kern w:val="36"/>
          <w:sz w:val="24"/>
          <w:szCs w:val="24"/>
        </w:rPr>
      </w:pPr>
      <w:r w:rsidRPr="005C1442">
        <w:rPr>
          <w:rFonts w:asciiTheme="majorBidi" w:eastAsia="Times New Roman" w:hAnsiTheme="majorBidi" w:cstheme="majorBidi"/>
          <w:b/>
          <w:bCs/>
          <w:kern w:val="36"/>
          <w:sz w:val="24"/>
          <w:szCs w:val="24"/>
        </w:rPr>
        <w:t>Background</w:t>
      </w:r>
    </w:p>
    <w:p w:rsidR="00966616" w:rsidRPr="000F74D5" w:rsidRDefault="00966616" w:rsidP="005C1442">
      <w:pPr>
        <w:spacing w:before="100" w:beforeAutospacing="1" w:after="100" w:afterAutospacing="1" w:line="240" w:lineRule="auto"/>
        <w:ind w:left="720"/>
        <w:rPr>
          <w:rFonts w:asciiTheme="majorBidi" w:eastAsia="Times New Roman" w:hAnsiTheme="majorBidi" w:cstheme="majorBidi"/>
        </w:rPr>
      </w:pPr>
      <w:r w:rsidRPr="000F74D5">
        <w:rPr>
          <w:rFonts w:asciiTheme="majorBidi" w:eastAsia="Times New Roman" w:hAnsiTheme="majorBidi" w:cstheme="majorBidi"/>
        </w:rPr>
        <w:t>Reporting on SAICM implementation is a key tool in assessing progress towards the achievement of the Johannesburg Plan of Implementation’s goal of sound management of chemicals by 2020. It also helps to assess progress on the individual objectives set out in the SAICM texts.</w:t>
      </w:r>
    </w:p>
    <w:p w:rsidR="00966616" w:rsidRPr="000F74D5" w:rsidRDefault="00966616" w:rsidP="005C1442">
      <w:pPr>
        <w:spacing w:before="100" w:beforeAutospacing="1" w:after="100" w:afterAutospacing="1" w:line="240" w:lineRule="auto"/>
        <w:ind w:left="720"/>
        <w:rPr>
          <w:rFonts w:asciiTheme="majorBidi" w:eastAsia="Times New Roman" w:hAnsiTheme="majorBidi" w:cstheme="majorBidi"/>
        </w:rPr>
      </w:pPr>
      <w:r w:rsidRPr="000F74D5">
        <w:rPr>
          <w:rFonts w:asciiTheme="majorBidi" w:eastAsia="Times New Roman" w:hAnsiTheme="majorBidi" w:cstheme="majorBidi"/>
        </w:rPr>
        <w:t>The Overarching Policy Strategy, in paragraph 24, provides that the International Conference on Chemicals Management (ICCM) will undertake periodic reviews of SAICM. In doing so, it will receive reports from all relevant stakeholders on progress in SAICM implementation. The ICCM evaluates the implementation of SAICM with a view to reviewing progress against the 2020 target and taking strategic decisions, programming, prioritizing and updating the approach as necessary.</w:t>
      </w:r>
    </w:p>
    <w:p w:rsidR="00966616" w:rsidRPr="000F74D5" w:rsidRDefault="00966616" w:rsidP="005C1442">
      <w:pPr>
        <w:spacing w:before="100" w:beforeAutospacing="1" w:after="100" w:afterAutospacing="1" w:line="240" w:lineRule="auto"/>
        <w:ind w:left="720"/>
        <w:rPr>
          <w:rFonts w:asciiTheme="majorBidi" w:eastAsia="Times New Roman" w:hAnsiTheme="majorBidi" w:cstheme="majorBidi"/>
        </w:rPr>
      </w:pPr>
      <w:r w:rsidRPr="000F74D5">
        <w:rPr>
          <w:rFonts w:asciiTheme="majorBidi" w:eastAsia="Times New Roman" w:hAnsiTheme="majorBidi" w:cstheme="majorBidi"/>
        </w:rPr>
        <w:t>Paragraph 26 of the Overarching Policy Strategy also assigns to regional meetings a role in reviewing progress in SAICM implementation.</w:t>
      </w:r>
    </w:p>
    <w:p w:rsidR="00966616" w:rsidRPr="000F74D5" w:rsidRDefault="00966616" w:rsidP="005C1442">
      <w:pPr>
        <w:spacing w:before="100" w:beforeAutospacing="1" w:after="100" w:afterAutospacing="1" w:line="240" w:lineRule="auto"/>
        <w:ind w:left="720"/>
        <w:rPr>
          <w:rFonts w:asciiTheme="majorBidi" w:eastAsia="Times New Roman" w:hAnsiTheme="majorBidi" w:cstheme="majorBidi"/>
        </w:rPr>
      </w:pPr>
      <w:r w:rsidRPr="000F74D5">
        <w:rPr>
          <w:rFonts w:asciiTheme="majorBidi" w:eastAsia="Times New Roman" w:hAnsiTheme="majorBidi" w:cstheme="majorBidi"/>
        </w:rPr>
        <w:t>The functions of the SAICM secretariat, which are set down in paragraph 28 of the Strategy, include reporting to the ICCM on implementation of SAICM by all participants.</w:t>
      </w:r>
    </w:p>
    <w:p w:rsidR="00966616" w:rsidRPr="005C1442" w:rsidRDefault="005C1442" w:rsidP="005C1442">
      <w:pPr>
        <w:pStyle w:val="ListParagraph"/>
        <w:numPr>
          <w:ilvl w:val="0"/>
          <w:numId w:val="3"/>
        </w:numPr>
        <w:spacing w:before="100" w:beforeAutospacing="1" w:after="100" w:afterAutospacing="1" w:line="240" w:lineRule="auto"/>
        <w:rPr>
          <w:rFonts w:asciiTheme="majorBidi" w:eastAsia="Times New Roman" w:hAnsiTheme="majorBidi" w:cstheme="majorBidi"/>
          <w:b/>
          <w:bCs/>
          <w:kern w:val="36"/>
          <w:sz w:val="24"/>
          <w:szCs w:val="24"/>
        </w:rPr>
      </w:pPr>
      <w:r>
        <w:rPr>
          <w:rFonts w:asciiTheme="majorBidi" w:eastAsia="Times New Roman" w:hAnsiTheme="majorBidi" w:cstheme="majorBidi"/>
          <w:b/>
          <w:bCs/>
          <w:kern w:val="36"/>
          <w:sz w:val="24"/>
          <w:szCs w:val="24"/>
        </w:rPr>
        <w:t>Current reporting</w:t>
      </w:r>
    </w:p>
    <w:p w:rsidR="00966616" w:rsidRPr="000F74D5" w:rsidRDefault="00966616" w:rsidP="005C1442">
      <w:pPr>
        <w:spacing w:before="100" w:beforeAutospacing="1" w:after="100" w:afterAutospacing="1" w:line="240" w:lineRule="auto"/>
        <w:ind w:left="720"/>
        <w:rPr>
          <w:rFonts w:asciiTheme="majorBidi" w:eastAsia="Times New Roman" w:hAnsiTheme="majorBidi" w:cstheme="majorBidi"/>
        </w:rPr>
      </w:pPr>
      <w:r w:rsidRPr="000F74D5">
        <w:rPr>
          <w:rFonts w:asciiTheme="majorBidi" w:eastAsia="Times New Roman" w:hAnsiTheme="majorBidi" w:cstheme="majorBidi"/>
        </w:rPr>
        <w:t>The fourth session of the International Conference on Chemicals Management (ICCM4) requested the secretariat to develop a third progress report including achievements, strengths and weaknesses for the period 2014–2016 and an analysis of the 20 indicators of progress for consideration by the Open-ended Working Group at its third meeting</w:t>
      </w:r>
      <w:r w:rsidR="003929A2" w:rsidRPr="000F74D5">
        <w:rPr>
          <w:rFonts w:asciiTheme="majorBidi" w:eastAsia="Times New Roman" w:hAnsiTheme="majorBidi" w:cstheme="majorBidi"/>
        </w:rPr>
        <w:t xml:space="preserve"> (October 2018)</w:t>
      </w:r>
      <w:r w:rsidRPr="000F74D5">
        <w:rPr>
          <w:rFonts w:asciiTheme="majorBidi" w:eastAsia="Times New Roman" w:hAnsiTheme="majorBidi" w:cstheme="majorBidi"/>
        </w:rPr>
        <w:t xml:space="preserve">. ICCM4 also directed the Open-ended Working Group to consider the need for a report for the period 2017–2019 for consideration by ICCM5. </w:t>
      </w:r>
    </w:p>
    <w:p w:rsidR="00966616" w:rsidRPr="000F74D5" w:rsidRDefault="00966616" w:rsidP="005C1442">
      <w:pPr>
        <w:spacing w:before="100" w:beforeAutospacing="1" w:after="100" w:afterAutospacing="1" w:line="240" w:lineRule="auto"/>
        <w:ind w:left="720"/>
        <w:rPr>
          <w:rFonts w:asciiTheme="majorBidi" w:eastAsia="Times New Roman" w:hAnsiTheme="majorBidi" w:cstheme="majorBidi"/>
        </w:rPr>
      </w:pPr>
      <w:r w:rsidRPr="000F74D5">
        <w:rPr>
          <w:rFonts w:asciiTheme="majorBidi" w:eastAsia="Times New Roman" w:hAnsiTheme="majorBidi" w:cstheme="majorBidi"/>
        </w:rPr>
        <w:t>In order to facilitate the process, an online survey was developed</w:t>
      </w:r>
      <w:r w:rsidR="003929A2" w:rsidRPr="000F74D5">
        <w:rPr>
          <w:rFonts w:asciiTheme="majorBidi" w:eastAsia="Times New Roman" w:hAnsiTheme="majorBidi" w:cstheme="majorBidi"/>
        </w:rPr>
        <w:t>. E</w:t>
      </w:r>
      <w:r w:rsidRPr="000F74D5">
        <w:rPr>
          <w:rFonts w:asciiTheme="majorBidi" w:eastAsia="Times New Roman" w:hAnsiTheme="majorBidi" w:cstheme="majorBidi"/>
        </w:rPr>
        <w:t xml:space="preserve">very SAICM focal point received a separate e-mail with a </w:t>
      </w:r>
      <w:proofErr w:type="spellStart"/>
      <w:r w:rsidRPr="000F74D5">
        <w:rPr>
          <w:rFonts w:asciiTheme="majorBidi" w:eastAsia="Times New Roman" w:hAnsiTheme="majorBidi" w:cstheme="majorBidi"/>
        </w:rPr>
        <w:t>personalised</w:t>
      </w:r>
      <w:proofErr w:type="spellEnd"/>
      <w:r w:rsidRPr="000F74D5">
        <w:rPr>
          <w:rFonts w:asciiTheme="majorBidi" w:eastAsia="Times New Roman" w:hAnsiTheme="majorBidi" w:cstheme="majorBidi"/>
        </w:rPr>
        <w:t xml:space="preserve"> link to participate in the surve</w:t>
      </w:r>
      <w:r w:rsidR="003929A2" w:rsidRPr="000F74D5">
        <w:rPr>
          <w:rFonts w:asciiTheme="majorBidi" w:eastAsia="Times New Roman" w:hAnsiTheme="majorBidi" w:cstheme="majorBidi"/>
        </w:rPr>
        <w:t>y as it could only be submitted once per stakeholder</w:t>
      </w:r>
      <w:r w:rsidRPr="000F74D5">
        <w:rPr>
          <w:rFonts w:asciiTheme="majorBidi" w:eastAsia="Times New Roman" w:hAnsiTheme="majorBidi" w:cstheme="majorBidi"/>
        </w:rPr>
        <w:t>. The results of this survey will be reflected in the progress report, which will be considered by the Open-ended Working Group at its third meeting.</w:t>
      </w:r>
    </w:p>
    <w:p w:rsidR="00966616" w:rsidRPr="000F74D5" w:rsidRDefault="00966616" w:rsidP="005C1442">
      <w:pPr>
        <w:spacing w:before="100" w:beforeAutospacing="1" w:after="100" w:afterAutospacing="1" w:line="240" w:lineRule="auto"/>
        <w:ind w:left="720"/>
        <w:rPr>
          <w:rFonts w:asciiTheme="majorBidi" w:eastAsia="Times New Roman" w:hAnsiTheme="majorBidi" w:cstheme="majorBidi"/>
        </w:rPr>
      </w:pPr>
      <w:r w:rsidRPr="000F74D5">
        <w:rPr>
          <w:rFonts w:asciiTheme="majorBidi" w:eastAsia="Times New Roman" w:hAnsiTheme="majorBidi" w:cstheme="majorBidi"/>
        </w:rPr>
        <w:t xml:space="preserve">The online survey for the 2014-2016 reporting period was open from 16 June to </w:t>
      </w:r>
      <w:r w:rsidR="003929A2" w:rsidRPr="000F74D5">
        <w:rPr>
          <w:rFonts w:asciiTheme="majorBidi" w:eastAsia="Times New Roman" w:hAnsiTheme="majorBidi" w:cstheme="majorBidi"/>
        </w:rPr>
        <w:t xml:space="preserve">15 September. The secretariat extended the period until </w:t>
      </w:r>
      <w:r w:rsidRPr="000F74D5">
        <w:rPr>
          <w:rFonts w:asciiTheme="majorBidi" w:eastAsia="Times New Roman" w:hAnsiTheme="majorBidi" w:cstheme="majorBidi"/>
        </w:rPr>
        <w:t xml:space="preserve">31 October 2017. </w:t>
      </w:r>
      <w:r w:rsidR="00375DD6" w:rsidRPr="000F74D5">
        <w:rPr>
          <w:rFonts w:asciiTheme="majorBidi" w:eastAsia="Times New Roman" w:hAnsiTheme="majorBidi" w:cstheme="majorBidi"/>
        </w:rPr>
        <w:t xml:space="preserve">At its fourth meeting (Rome 7-8 </w:t>
      </w:r>
      <w:r w:rsidR="00375DD6" w:rsidRPr="000F74D5">
        <w:rPr>
          <w:rFonts w:asciiTheme="majorBidi" w:eastAsia="Times New Roman" w:hAnsiTheme="majorBidi" w:cstheme="majorBidi"/>
        </w:rPr>
        <w:lastRenderedPageBreak/>
        <w:t>November 2017), ICCM5 Bureau decided to prolong the reporting time until 1 December 2017 and invited all members, particularly SAICM Regional Focal Points, to encourage all SAICM stakeholders to complete the online survey.</w:t>
      </w:r>
    </w:p>
    <w:p w:rsidR="00966616" w:rsidRPr="000F74D5" w:rsidRDefault="00966616" w:rsidP="005C1442">
      <w:pPr>
        <w:spacing w:before="100" w:beforeAutospacing="1" w:after="100" w:afterAutospacing="1" w:line="240" w:lineRule="auto"/>
        <w:ind w:left="720"/>
        <w:rPr>
          <w:rFonts w:asciiTheme="majorBidi" w:eastAsia="Times New Roman" w:hAnsiTheme="majorBidi" w:cstheme="majorBidi"/>
        </w:rPr>
      </w:pPr>
      <w:r w:rsidRPr="000F74D5">
        <w:rPr>
          <w:rFonts w:asciiTheme="majorBidi" w:eastAsia="Times New Roman" w:hAnsiTheme="majorBidi" w:cstheme="majorBidi"/>
          <w:u w:val="single"/>
        </w:rPr>
        <w:t>Responses received</w:t>
      </w:r>
      <w:r w:rsidR="003929A2" w:rsidRPr="000F74D5">
        <w:rPr>
          <w:rFonts w:asciiTheme="majorBidi" w:eastAsia="Times New Roman" w:hAnsiTheme="majorBidi" w:cstheme="majorBidi"/>
          <w:u w:val="single"/>
        </w:rPr>
        <w:t xml:space="preserve"> (as of </w:t>
      </w:r>
      <w:r w:rsidR="006165E5">
        <w:rPr>
          <w:rFonts w:asciiTheme="majorBidi" w:eastAsia="Times New Roman" w:hAnsiTheme="majorBidi" w:cstheme="majorBidi"/>
          <w:u w:val="single"/>
        </w:rPr>
        <w:t>31 Dec</w:t>
      </w:r>
      <w:r w:rsidR="003929A2" w:rsidRPr="000F74D5">
        <w:rPr>
          <w:rFonts w:asciiTheme="majorBidi" w:eastAsia="Times New Roman" w:hAnsiTheme="majorBidi" w:cstheme="majorBidi"/>
          <w:u w:val="single"/>
        </w:rPr>
        <w:t>ember 2017)</w:t>
      </w:r>
      <w:r w:rsidRPr="000F74D5">
        <w:rPr>
          <w:rFonts w:asciiTheme="majorBidi" w:eastAsia="Times New Roman" w:hAnsiTheme="majorBidi" w:cstheme="majorBidi"/>
        </w:rPr>
        <w:t>:</w:t>
      </w:r>
    </w:p>
    <w:p w:rsidR="00966616" w:rsidRPr="006B7C0D" w:rsidRDefault="00E32E88" w:rsidP="006165E5">
      <w:pPr>
        <w:pStyle w:val="ListParagraph"/>
        <w:numPr>
          <w:ilvl w:val="0"/>
          <w:numId w:val="2"/>
        </w:numPr>
        <w:spacing w:before="100" w:beforeAutospacing="1" w:after="100" w:afterAutospacing="1" w:line="240" w:lineRule="auto"/>
        <w:ind w:firstLine="0"/>
        <w:rPr>
          <w:rFonts w:asciiTheme="majorBidi" w:eastAsia="Times New Roman" w:hAnsiTheme="majorBidi" w:cstheme="majorBidi"/>
        </w:rPr>
      </w:pPr>
      <w:r w:rsidRPr="000F74D5">
        <w:rPr>
          <w:rFonts w:asciiTheme="majorBidi" w:eastAsia="Times New Roman" w:hAnsiTheme="majorBidi" w:cstheme="majorBidi"/>
          <w:b/>
          <w:bCs/>
        </w:rPr>
        <w:t>3</w:t>
      </w:r>
      <w:r w:rsidR="006165E5">
        <w:rPr>
          <w:rFonts w:asciiTheme="majorBidi" w:eastAsia="Times New Roman" w:hAnsiTheme="majorBidi" w:cstheme="majorBidi"/>
          <w:b/>
          <w:bCs/>
        </w:rPr>
        <w:t>1</w:t>
      </w:r>
      <w:r w:rsidR="00966616" w:rsidRPr="000F74D5">
        <w:rPr>
          <w:rFonts w:asciiTheme="majorBidi" w:eastAsia="Times New Roman" w:hAnsiTheme="majorBidi" w:cstheme="majorBidi"/>
          <w:b/>
          <w:bCs/>
        </w:rPr>
        <w:t xml:space="preserve"> completed surveys</w:t>
      </w:r>
      <w:r w:rsidRPr="000F74D5">
        <w:rPr>
          <w:rFonts w:asciiTheme="majorBidi" w:eastAsia="Times New Roman" w:hAnsiTheme="majorBidi" w:cstheme="majorBidi"/>
          <w:b/>
          <w:bCs/>
        </w:rPr>
        <w:t xml:space="preserve"> + EU and its MS, Belgium and France</w:t>
      </w:r>
      <w:r w:rsidR="006165E5">
        <w:rPr>
          <w:rFonts w:asciiTheme="majorBidi" w:eastAsia="Times New Roman" w:hAnsiTheme="majorBidi" w:cstheme="majorBidi"/>
          <w:b/>
          <w:bCs/>
        </w:rPr>
        <w:t xml:space="preserve"> (written forms)</w:t>
      </w:r>
      <w:r w:rsidR="00966616" w:rsidRPr="000F74D5">
        <w:rPr>
          <w:rFonts w:asciiTheme="majorBidi" w:eastAsia="Times New Roman" w:hAnsiTheme="majorBidi" w:cstheme="majorBidi"/>
        </w:rPr>
        <w:t>:</w:t>
      </w:r>
      <w:r w:rsidR="00E7014E" w:rsidRPr="000F74D5">
        <w:rPr>
          <w:rFonts w:asciiTheme="majorBidi" w:hAnsiTheme="majorBidi" w:cstheme="majorBidi"/>
        </w:rPr>
        <w:t xml:space="preserve"> </w:t>
      </w:r>
      <w:r w:rsidRPr="000F74D5">
        <w:rPr>
          <w:rFonts w:asciiTheme="majorBidi" w:hAnsiTheme="majorBidi" w:cstheme="majorBidi"/>
          <w:lang w:val="en-GB"/>
        </w:rPr>
        <w:t xml:space="preserve">Argentina, </w:t>
      </w:r>
      <w:r w:rsidR="00EE41B1" w:rsidRPr="000F74D5">
        <w:rPr>
          <w:rFonts w:asciiTheme="majorBidi" w:hAnsiTheme="majorBidi" w:cstheme="majorBidi"/>
          <w:lang w:val="en-GB"/>
        </w:rPr>
        <w:t xml:space="preserve">Austria, Barbados, Belarus, </w:t>
      </w:r>
      <w:r w:rsidR="00135A9A" w:rsidRPr="000F74D5">
        <w:rPr>
          <w:rFonts w:asciiTheme="majorBidi" w:hAnsiTheme="majorBidi" w:cstheme="majorBidi"/>
          <w:lang w:val="en-GB"/>
        </w:rPr>
        <w:t xml:space="preserve">Belgium (written form), </w:t>
      </w:r>
      <w:r w:rsidR="00EE41B1" w:rsidRPr="000F74D5">
        <w:rPr>
          <w:rFonts w:asciiTheme="majorBidi" w:hAnsiTheme="majorBidi" w:cstheme="majorBidi"/>
          <w:lang w:val="en-GB"/>
        </w:rPr>
        <w:t xml:space="preserve">Bosnia Herzegovina, </w:t>
      </w:r>
      <w:r w:rsidR="006165E5" w:rsidRPr="000F74D5">
        <w:rPr>
          <w:rFonts w:asciiTheme="majorBidi" w:hAnsiTheme="majorBidi" w:cstheme="majorBidi"/>
          <w:lang w:val="en-GB"/>
        </w:rPr>
        <w:t>Bulgaria</w:t>
      </w:r>
      <w:r w:rsidR="006165E5">
        <w:rPr>
          <w:rFonts w:asciiTheme="majorBidi" w:hAnsiTheme="majorBidi" w:cstheme="majorBidi"/>
          <w:lang w:val="en-GB"/>
        </w:rPr>
        <w:t>,</w:t>
      </w:r>
      <w:r w:rsidR="006165E5" w:rsidRPr="000F74D5">
        <w:rPr>
          <w:rFonts w:asciiTheme="majorBidi" w:hAnsiTheme="majorBidi" w:cstheme="majorBidi"/>
          <w:lang w:val="en-GB"/>
        </w:rPr>
        <w:t xml:space="preserve"> </w:t>
      </w:r>
      <w:r w:rsidRPr="000F74D5">
        <w:rPr>
          <w:rFonts w:asciiTheme="majorBidi" w:hAnsiTheme="majorBidi" w:cstheme="majorBidi"/>
          <w:lang w:val="en-GB"/>
        </w:rPr>
        <w:t>Costa Rica, Denmark, European Union and its Member States</w:t>
      </w:r>
      <w:r w:rsidR="00135A9A" w:rsidRPr="000F74D5">
        <w:rPr>
          <w:rFonts w:asciiTheme="majorBidi" w:hAnsiTheme="majorBidi" w:cstheme="majorBidi"/>
          <w:lang w:val="en-GB"/>
        </w:rPr>
        <w:t xml:space="preserve"> (written form)</w:t>
      </w:r>
      <w:r w:rsidRPr="000F74D5">
        <w:rPr>
          <w:rFonts w:asciiTheme="majorBidi" w:hAnsiTheme="majorBidi" w:cstheme="majorBidi"/>
          <w:lang w:val="en-GB"/>
        </w:rPr>
        <w:t>, Finland, France</w:t>
      </w:r>
      <w:r w:rsidR="00135A9A" w:rsidRPr="000F74D5">
        <w:rPr>
          <w:rFonts w:asciiTheme="majorBidi" w:hAnsiTheme="majorBidi" w:cstheme="majorBidi"/>
          <w:lang w:val="en-GB"/>
        </w:rPr>
        <w:t xml:space="preserve"> (written form)</w:t>
      </w:r>
      <w:r w:rsidRPr="000F74D5">
        <w:rPr>
          <w:rFonts w:asciiTheme="majorBidi" w:hAnsiTheme="majorBidi" w:cstheme="majorBidi"/>
          <w:lang w:val="en-GB"/>
        </w:rPr>
        <w:t xml:space="preserve">, Germany, Guyana, Italy, Madagascar, </w:t>
      </w:r>
      <w:r w:rsidR="00E7014E" w:rsidRPr="000F74D5">
        <w:rPr>
          <w:rFonts w:asciiTheme="majorBidi" w:hAnsiTheme="majorBidi" w:cstheme="majorBidi"/>
          <w:lang w:val="en-GB"/>
        </w:rPr>
        <w:t xml:space="preserve">Monaco, </w:t>
      </w:r>
      <w:r w:rsidRPr="000F74D5">
        <w:rPr>
          <w:rFonts w:asciiTheme="majorBidi" w:hAnsiTheme="majorBidi" w:cstheme="majorBidi"/>
          <w:lang w:val="en-GB"/>
        </w:rPr>
        <w:t xml:space="preserve">Serbia, Spain, Switzerland, United Arab Emirates, Yemen, WEOG, American Petroleum Institute, AWHHE, </w:t>
      </w:r>
      <w:r w:rsidR="00E7014E" w:rsidRPr="000F74D5">
        <w:rPr>
          <w:rFonts w:asciiTheme="majorBidi" w:hAnsiTheme="majorBidi" w:cstheme="majorBidi"/>
          <w:lang w:val="en-GB"/>
        </w:rPr>
        <w:t xml:space="preserve">Ecological </w:t>
      </w:r>
      <w:proofErr w:type="spellStart"/>
      <w:r w:rsidR="00E7014E" w:rsidRPr="000F74D5">
        <w:rPr>
          <w:rFonts w:asciiTheme="majorBidi" w:hAnsiTheme="majorBidi" w:cstheme="majorBidi"/>
          <w:lang w:val="en-GB"/>
        </w:rPr>
        <w:t>Restaurations</w:t>
      </w:r>
      <w:proofErr w:type="spellEnd"/>
      <w:r w:rsidR="00E7014E" w:rsidRPr="000F74D5">
        <w:rPr>
          <w:rFonts w:asciiTheme="majorBidi" w:hAnsiTheme="majorBidi" w:cstheme="majorBidi"/>
          <w:lang w:val="en-GB"/>
        </w:rPr>
        <w:t xml:space="preserve">, ICCA, </w:t>
      </w:r>
      <w:r w:rsidRPr="000F74D5">
        <w:rPr>
          <w:rFonts w:asciiTheme="majorBidi" w:hAnsiTheme="majorBidi" w:cstheme="majorBidi"/>
          <w:lang w:val="en-GB"/>
        </w:rPr>
        <w:t xml:space="preserve">PAN, Studies Toxic Substances, </w:t>
      </w:r>
      <w:r w:rsidR="00E7014E" w:rsidRPr="000F74D5">
        <w:rPr>
          <w:rFonts w:asciiTheme="majorBidi" w:hAnsiTheme="majorBidi" w:cstheme="majorBidi"/>
          <w:lang w:val="en-GB"/>
        </w:rPr>
        <w:t xml:space="preserve">OECD, </w:t>
      </w:r>
      <w:r w:rsidRPr="000F74D5">
        <w:rPr>
          <w:rFonts w:asciiTheme="majorBidi" w:hAnsiTheme="majorBidi" w:cstheme="majorBidi"/>
          <w:lang w:val="en-GB"/>
        </w:rPr>
        <w:t xml:space="preserve">UNDP, UNEP, UNITAR, </w:t>
      </w:r>
      <w:r w:rsidR="00090A1B" w:rsidRPr="000F74D5">
        <w:rPr>
          <w:rFonts w:asciiTheme="majorBidi" w:hAnsiTheme="majorBidi" w:cstheme="majorBidi"/>
          <w:lang w:val="en-GB"/>
        </w:rPr>
        <w:t>WHO.</w:t>
      </w:r>
    </w:p>
    <w:p w:rsidR="006B7C0D" w:rsidRPr="000F74D5" w:rsidRDefault="006B7C0D" w:rsidP="006B7C0D">
      <w:pPr>
        <w:pStyle w:val="ListParagraph"/>
        <w:spacing w:before="100" w:beforeAutospacing="1" w:after="100" w:afterAutospacing="1" w:line="240" w:lineRule="auto"/>
        <w:rPr>
          <w:rFonts w:asciiTheme="majorBidi" w:eastAsia="Times New Roman" w:hAnsiTheme="majorBidi" w:cstheme="majorBidi"/>
        </w:rPr>
      </w:pPr>
    </w:p>
    <w:p w:rsidR="002D0DB3" w:rsidRPr="000F74D5" w:rsidRDefault="006165E5" w:rsidP="006165E5">
      <w:pPr>
        <w:pStyle w:val="ListParagraph"/>
        <w:numPr>
          <w:ilvl w:val="0"/>
          <w:numId w:val="2"/>
        </w:numPr>
        <w:spacing w:before="100" w:beforeAutospacing="1" w:after="100" w:afterAutospacing="1" w:line="240" w:lineRule="auto"/>
        <w:ind w:firstLine="0"/>
        <w:rPr>
          <w:rFonts w:asciiTheme="majorBidi" w:hAnsiTheme="majorBidi" w:cstheme="majorBidi"/>
          <w:lang w:val="en-GB"/>
        </w:rPr>
      </w:pPr>
      <w:r>
        <w:rPr>
          <w:rFonts w:asciiTheme="majorBidi" w:eastAsia="Times New Roman" w:hAnsiTheme="majorBidi" w:cstheme="majorBidi"/>
          <w:b/>
          <w:bCs/>
        </w:rPr>
        <w:t>20</w:t>
      </w:r>
      <w:r w:rsidR="00966616" w:rsidRPr="000F74D5">
        <w:rPr>
          <w:rFonts w:asciiTheme="majorBidi" w:eastAsia="Times New Roman" w:hAnsiTheme="majorBidi" w:cstheme="majorBidi"/>
          <w:b/>
          <w:bCs/>
        </w:rPr>
        <w:t xml:space="preserve"> incomplete responses</w:t>
      </w:r>
      <w:r w:rsidR="00966616" w:rsidRPr="000F74D5">
        <w:rPr>
          <w:rFonts w:asciiTheme="majorBidi" w:eastAsia="Times New Roman" w:hAnsiTheme="majorBidi" w:cstheme="majorBidi"/>
        </w:rPr>
        <w:t>:</w:t>
      </w:r>
      <w:r w:rsidR="00E32E88" w:rsidRPr="000F74D5">
        <w:rPr>
          <w:rFonts w:asciiTheme="majorBidi" w:hAnsiTheme="majorBidi" w:cstheme="majorBidi"/>
          <w:lang w:val="en-GB"/>
        </w:rPr>
        <w:t xml:space="preserve"> Colombia, Cote d’Ivoire, </w:t>
      </w:r>
      <w:r>
        <w:rPr>
          <w:rFonts w:asciiTheme="majorBidi" w:hAnsiTheme="majorBidi" w:cstheme="majorBidi"/>
          <w:lang w:val="en-GB"/>
        </w:rPr>
        <w:t xml:space="preserve">Cyprus, </w:t>
      </w:r>
      <w:r w:rsidR="00E32E88" w:rsidRPr="000F74D5">
        <w:rPr>
          <w:rFonts w:asciiTheme="majorBidi" w:hAnsiTheme="majorBidi" w:cstheme="majorBidi"/>
          <w:lang w:val="en-GB"/>
        </w:rPr>
        <w:t xml:space="preserve">Honduras, Hungary, Japan, </w:t>
      </w:r>
      <w:r w:rsidR="00E7014E" w:rsidRPr="000F74D5">
        <w:rPr>
          <w:rFonts w:asciiTheme="majorBidi" w:hAnsiTheme="majorBidi" w:cstheme="majorBidi"/>
          <w:lang w:val="en-GB"/>
        </w:rPr>
        <w:t xml:space="preserve">Lesotho, </w:t>
      </w:r>
      <w:r w:rsidR="00E32E88" w:rsidRPr="000F74D5">
        <w:rPr>
          <w:rFonts w:asciiTheme="majorBidi" w:hAnsiTheme="majorBidi" w:cstheme="majorBidi"/>
          <w:lang w:val="en-GB"/>
        </w:rPr>
        <w:t xml:space="preserve">Lithuania, Macedonia, Malaysia, </w:t>
      </w:r>
      <w:r w:rsidRPr="000F74D5">
        <w:rPr>
          <w:rFonts w:asciiTheme="majorBidi" w:hAnsiTheme="majorBidi" w:cstheme="majorBidi"/>
          <w:lang w:val="en-GB"/>
        </w:rPr>
        <w:t xml:space="preserve">Mexico, </w:t>
      </w:r>
      <w:r w:rsidR="00E32E88" w:rsidRPr="000F74D5">
        <w:rPr>
          <w:rFonts w:asciiTheme="majorBidi" w:hAnsiTheme="majorBidi" w:cstheme="majorBidi"/>
          <w:lang w:val="en-GB"/>
        </w:rPr>
        <w:t xml:space="preserve">Montenegro, </w:t>
      </w:r>
      <w:r w:rsidR="00E7014E" w:rsidRPr="000F74D5">
        <w:rPr>
          <w:rFonts w:asciiTheme="majorBidi" w:hAnsiTheme="majorBidi" w:cstheme="majorBidi"/>
          <w:lang w:val="en-GB"/>
        </w:rPr>
        <w:t xml:space="preserve">Russia, </w:t>
      </w:r>
      <w:r w:rsidR="00E32E88" w:rsidRPr="000F74D5">
        <w:rPr>
          <w:rFonts w:asciiTheme="majorBidi" w:hAnsiTheme="majorBidi" w:cstheme="majorBidi"/>
          <w:lang w:val="en-GB"/>
        </w:rPr>
        <w:t>Sweden, Slovakia, Slovenia</w:t>
      </w:r>
      <w:r w:rsidR="00E7014E" w:rsidRPr="000F74D5">
        <w:rPr>
          <w:rFonts w:asciiTheme="majorBidi" w:hAnsiTheme="majorBidi" w:cstheme="majorBidi"/>
          <w:lang w:val="en-GB"/>
        </w:rPr>
        <w:t xml:space="preserve">, Thailand, Eco Accord, </w:t>
      </w:r>
      <w:r w:rsidR="00E32E88" w:rsidRPr="000F74D5">
        <w:rPr>
          <w:rFonts w:asciiTheme="majorBidi" w:hAnsiTheme="majorBidi" w:cstheme="majorBidi"/>
          <w:lang w:val="en-GB"/>
        </w:rPr>
        <w:t>ISE POP CI,</w:t>
      </w:r>
      <w:r w:rsidR="00A90845" w:rsidRPr="000F74D5">
        <w:rPr>
          <w:rFonts w:asciiTheme="majorBidi" w:hAnsiTheme="majorBidi" w:cstheme="majorBidi"/>
          <w:lang w:val="en-GB"/>
        </w:rPr>
        <w:t xml:space="preserve"> BRS secretariat.</w:t>
      </w:r>
    </w:p>
    <w:p w:rsidR="00090A1B" w:rsidRPr="000F74D5" w:rsidRDefault="006165E5" w:rsidP="005C1442">
      <w:pPr>
        <w:spacing w:before="100" w:beforeAutospacing="1" w:after="100" w:afterAutospacing="1" w:line="240" w:lineRule="auto"/>
        <w:ind w:left="720"/>
        <w:rPr>
          <w:rFonts w:asciiTheme="majorBidi" w:eastAsia="Times New Roman" w:hAnsiTheme="majorBidi" w:cstheme="majorBidi"/>
          <w:u w:val="single"/>
        </w:rPr>
      </w:pPr>
      <w:r>
        <w:rPr>
          <w:rFonts w:asciiTheme="majorBidi" w:eastAsia="Times New Roman" w:hAnsiTheme="majorBidi" w:cstheme="majorBidi"/>
          <w:u w:val="single"/>
        </w:rPr>
        <w:t>Completed responses received b</w:t>
      </w:r>
      <w:r w:rsidR="00090A1B" w:rsidRPr="000F74D5">
        <w:rPr>
          <w:rFonts w:asciiTheme="majorBidi" w:eastAsia="Times New Roman" w:hAnsiTheme="majorBidi" w:cstheme="majorBidi"/>
          <w:u w:val="single"/>
        </w:rPr>
        <w:t>y region:</w:t>
      </w:r>
    </w:p>
    <w:p w:rsidR="00090A1B" w:rsidRPr="000F74D5" w:rsidRDefault="00090A1B" w:rsidP="005C1442">
      <w:pPr>
        <w:spacing w:before="100" w:beforeAutospacing="1" w:after="100" w:afterAutospacing="1" w:line="240" w:lineRule="auto"/>
        <w:ind w:left="720"/>
        <w:rPr>
          <w:rFonts w:asciiTheme="majorBidi" w:eastAsia="Times New Roman" w:hAnsiTheme="majorBidi" w:cstheme="majorBidi"/>
          <w:kern w:val="36"/>
        </w:rPr>
      </w:pPr>
      <w:r w:rsidRPr="000F74D5">
        <w:rPr>
          <w:rFonts w:asciiTheme="majorBidi" w:eastAsia="Times New Roman" w:hAnsiTheme="majorBidi" w:cstheme="majorBidi"/>
          <w:b/>
          <w:bCs/>
        </w:rPr>
        <w:t>Africa</w:t>
      </w:r>
      <w:r w:rsidR="006165E5">
        <w:rPr>
          <w:rFonts w:asciiTheme="majorBidi" w:eastAsia="Times New Roman" w:hAnsiTheme="majorBidi" w:cstheme="majorBidi"/>
          <w:b/>
          <w:bCs/>
        </w:rPr>
        <w:t xml:space="preserve"> (1)</w:t>
      </w:r>
      <w:r w:rsidRPr="000F74D5">
        <w:rPr>
          <w:rFonts w:asciiTheme="majorBidi" w:eastAsia="Times New Roman" w:hAnsiTheme="majorBidi" w:cstheme="majorBidi"/>
          <w:b/>
          <w:bCs/>
        </w:rPr>
        <w:t xml:space="preserve">: </w:t>
      </w:r>
      <w:r w:rsidRPr="000F74D5">
        <w:rPr>
          <w:rFonts w:asciiTheme="majorBidi" w:hAnsiTheme="majorBidi" w:cstheme="majorBidi"/>
        </w:rPr>
        <w:t>Madagascar.</w:t>
      </w:r>
    </w:p>
    <w:p w:rsidR="00090A1B" w:rsidRPr="000F74D5" w:rsidRDefault="00090A1B" w:rsidP="005C1442">
      <w:pPr>
        <w:spacing w:before="100" w:beforeAutospacing="1" w:after="100" w:afterAutospacing="1" w:line="240" w:lineRule="auto"/>
        <w:ind w:left="720"/>
        <w:rPr>
          <w:rFonts w:asciiTheme="majorBidi" w:eastAsia="Times New Roman" w:hAnsiTheme="majorBidi" w:cstheme="majorBidi"/>
          <w:kern w:val="36"/>
        </w:rPr>
      </w:pPr>
      <w:r w:rsidRPr="000F74D5">
        <w:rPr>
          <w:rFonts w:asciiTheme="majorBidi" w:eastAsia="Times New Roman" w:hAnsiTheme="majorBidi" w:cstheme="majorBidi"/>
          <w:b/>
          <w:bCs/>
        </w:rPr>
        <w:t>Asia and the Pacific</w:t>
      </w:r>
      <w:r w:rsidR="006165E5">
        <w:rPr>
          <w:rFonts w:asciiTheme="majorBidi" w:eastAsia="Times New Roman" w:hAnsiTheme="majorBidi" w:cstheme="majorBidi"/>
          <w:b/>
          <w:bCs/>
        </w:rPr>
        <w:t xml:space="preserve"> (2)</w:t>
      </w:r>
      <w:r w:rsidRPr="000F74D5">
        <w:rPr>
          <w:rFonts w:asciiTheme="majorBidi" w:eastAsia="Times New Roman" w:hAnsiTheme="majorBidi" w:cstheme="majorBidi"/>
          <w:b/>
          <w:bCs/>
        </w:rPr>
        <w:t xml:space="preserve">: </w:t>
      </w:r>
      <w:r w:rsidRPr="000F74D5">
        <w:rPr>
          <w:rFonts w:asciiTheme="majorBidi" w:hAnsiTheme="majorBidi" w:cstheme="majorBidi"/>
          <w:lang w:val="en-GB"/>
        </w:rPr>
        <w:t>United Arab Emirates, Yemen.</w:t>
      </w:r>
    </w:p>
    <w:p w:rsidR="00851155" w:rsidRPr="000F74D5" w:rsidRDefault="00090A1B" w:rsidP="005C1442">
      <w:pPr>
        <w:spacing w:before="100" w:beforeAutospacing="1" w:after="100" w:afterAutospacing="1" w:line="240" w:lineRule="auto"/>
        <w:ind w:left="720"/>
        <w:rPr>
          <w:rFonts w:asciiTheme="majorBidi" w:hAnsiTheme="majorBidi" w:cstheme="majorBidi"/>
          <w:lang w:val="en-GB"/>
        </w:rPr>
      </w:pPr>
      <w:r w:rsidRPr="000F74D5">
        <w:rPr>
          <w:rFonts w:asciiTheme="majorBidi" w:eastAsia="Times New Roman" w:hAnsiTheme="majorBidi" w:cstheme="majorBidi"/>
          <w:b/>
          <w:bCs/>
        </w:rPr>
        <w:t>CEE</w:t>
      </w:r>
      <w:r w:rsidR="006165E5">
        <w:rPr>
          <w:rFonts w:asciiTheme="majorBidi" w:eastAsia="Times New Roman" w:hAnsiTheme="majorBidi" w:cstheme="majorBidi"/>
          <w:b/>
          <w:bCs/>
        </w:rPr>
        <w:t xml:space="preserve"> (4+EU)</w:t>
      </w:r>
      <w:r w:rsidRPr="000F74D5">
        <w:rPr>
          <w:rFonts w:asciiTheme="majorBidi" w:eastAsia="Times New Roman" w:hAnsiTheme="majorBidi" w:cstheme="majorBidi"/>
          <w:b/>
          <w:bCs/>
        </w:rPr>
        <w:t xml:space="preserve">: </w:t>
      </w:r>
      <w:r w:rsidRPr="000F74D5">
        <w:rPr>
          <w:rFonts w:asciiTheme="majorBidi" w:hAnsiTheme="majorBidi" w:cstheme="majorBidi"/>
          <w:lang w:val="en-GB"/>
        </w:rPr>
        <w:t xml:space="preserve">Belarus, Bosnia Herzegovina, </w:t>
      </w:r>
      <w:r w:rsidR="006165E5">
        <w:rPr>
          <w:rFonts w:asciiTheme="majorBidi" w:hAnsiTheme="majorBidi" w:cstheme="majorBidi"/>
        </w:rPr>
        <w:t xml:space="preserve">Bulgaria, </w:t>
      </w:r>
      <w:r w:rsidRPr="000F74D5">
        <w:rPr>
          <w:rFonts w:asciiTheme="majorBidi" w:hAnsiTheme="majorBidi" w:cstheme="majorBidi"/>
          <w:lang w:val="en-GB"/>
        </w:rPr>
        <w:t xml:space="preserve">European Union and its Member States, </w:t>
      </w:r>
      <w:r w:rsidR="00305C87" w:rsidRPr="000F74D5">
        <w:rPr>
          <w:rFonts w:asciiTheme="majorBidi" w:hAnsiTheme="majorBidi" w:cstheme="majorBidi"/>
          <w:lang w:val="en-GB"/>
        </w:rPr>
        <w:t>Serbia.</w:t>
      </w:r>
    </w:p>
    <w:p w:rsidR="00090A1B" w:rsidRPr="000F74D5" w:rsidRDefault="00090A1B" w:rsidP="005C1442">
      <w:pPr>
        <w:spacing w:before="100" w:beforeAutospacing="1" w:after="100" w:afterAutospacing="1" w:line="240" w:lineRule="auto"/>
        <w:ind w:left="720"/>
        <w:rPr>
          <w:rFonts w:asciiTheme="majorBidi" w:eastAsia="Times New Roman" w:hAnsiTheme="majorBidi" w:cstheme="majorBidi"/>
          <w:kern w:val="36"/>
          <w:lang w:val="es-ES"/>
        </w:rPr>
      </w:pPr>
      <w:r w:rsidRPr="000F74D5">
        <w:rPr>
          <w:rFonts w:asciiTheme="majorBidi" w:eastAsia="Times New Roman" w:hAnsiTheme="majorBidi" w:cstheme="majorBidi"/>
          <w:b/>
          <w:bCs/>
          <w:lang w:val="es-ES"/>
        </w:rPr>
        <w:t>LAC</w:t>
      </w:r>
      <w:r w:rsidR="006165E5">
        <w:rPr>
          <w:rFonts w:asciiTheme="majorBidi" w:eastAsia="Times New Roman" w:hAnsiTheme="majorBidi" w:cstheme="majorBidi"/>
          <w:b/>
          <w:bCs/>
          <w:lang w:val="es-ES"/>
        </w:rPr>
        <w:t xml:space="preserve"> (4)</w:t>
      </w:r>
      <w:r w:rsidRPr="000F74D5">
        <w:rPr>
          <w:rFonts w:asciiTheme="majorBidi" w:eastAsia="Times New Roman" w:hAnsiTheme="majorBidi" w:cstheme="majorBidi"/>
          <w:b/>
          <w:bCs/>
          <w:lang w:val="es-ES"/>
        </w:rPr>
        <w:t xml:space="preserve">: </w:t>
      </w:r>
      <w:r w:rsidRPr="000F74D5">
        <w:rPr>
          <w:rFonts w:asciiTheme="majorBidi" w:hAnsiTheme="majorBidi" w:cstheme="majorBidi"/>
          <w:lang w:val="es-ES"/>
        </w:rPr>
        <w:t>Argentina</w:t>
      </w:r>
      <w:r w:rsidR="006165E5">
        <w:rPr>
          <w:rFonts w:asciiTheme="majorBidi" w:hAnsiTheme="majorBidi" w:cstheme="majorBidi"/>
          <w:lang w:val="es-ES"/>
        </w:rPr>
        <w:t>, Barbados, Costa Rica, Guyana</w:t>
      </w:r>
      <w:r w:rsidR="00851155" w:rsidRPr="000F74D5">
        <w:rPr>
          <w:rFonts w:asciiTheme="majorBidi" w:hAnsiTheme="majorBidi" w:cstheme="majorBidi"/>
          <w:lang w:val="es-ES"/>
        </w:rPr>
        <w:t>.</w:t>
      </w:r>
    </w:p>
    <w:p w:rsidR="00090A1B" w:rsidRPr="000F74D5" w:rsidRDefault="00851155" w:rsidP="006165E5">
      <w:pPr>
        <w:spacing w:before="100" w:beforeAutospacing="1" w:after="100" w:afterAutospacing="1" w:line="240" w:lineRule="auto"/>
        <w:ind w:left="720"/>
        <w:rPr>
          <w:rFonts w:asciiTheme="majorBidi" w:eastAsia="Times New Roman" w:hAnsiTheme="majorBidi" w:cstheme="majorBidi"/>
          <w:kern w:val="36"/>
        </w:rPr>
      </w:pPr>
      <w:r w:rsidRPr="000F74D5">
        <w:rPr>
          <w:rFonts w:asciiTheme="majorBidi" w:eastAsia="Times New Roman" w:hAnsiTheme="majorBidi" w:cstheme="majorBidi"/>
          <w:b/>
          <w:bCs/>
        </w:rPr>
        <w:t>Western Europe and Others Group</w:t>
      </w:r>
      <w:r w:rsidR="006165E5">
        <w:rPr>
          <w:rFonts w:asciiTheme="majorBidi" w:eastAsia="Times New Roman" w:hAnsiTheme="majorBidi" w:cstheme="majorBidi"/>
          <w:b/>
          <w:bCs/>
        </w:rPr>
        <w:t xml:space="preserve"> (</w:t>
      </w:r>
      <w:r w:rsidR="00D12794">
        <w:rPr>
          <w:rFonts w:asciiTheme="majorBidi" w:eastAsia="Times New Roman" w:hAnsiTheme="majorBidi" w:cstheme="majorBidi"/>
          <w:b/>
          <w:bCs/>
        </w:rPr>
        <w:t>10 + EU and WEOG</w:t>
      </w:r>
      <w:r w:rsidR="006165E5">
        <w:rPr>
          <w:rFonts w:asciiTheme="majorBidi" w:eastAsia="Times New Roman" w:hAnsiTheme="majorBidi" w:cstheme="majorBidi"/>
          <w:b/>
          <w:bCs/>
        </w:rPr>
        <w:t>)</w:t>
      </w:r>
      <w:r w:rsidR="00090A1B" w:rsidRPr="000F74D5">
        <w:rPr>
          <w:rFonts w:asciiTheme="majorBidi" w:eastAsia="Times New Roman" w:hAnsiTheme="majorBidi" w:cstheme="majorBidi"/>
          <w:b/>
          <w:bCs/>
        </w:rPr>
        <w:t xml:space="preserve">: </w:t>
      </w:r>
      <w:r w:rsidR="00090A1B" w:rsidRPr="000F74D5">
        <w:rPr>
          <w:rFonts w:asciiTheme="majorBidi" w:hAnsiTheme="majorBidi" w:cstheme="majorBidi"/>
        </w:rPr>
        <w:t xml:space="preserve">Austria, </w:t>
      </w:r>
      <w:r w:rsidRPr="000F74D5">
        <w:rPr>
          <w:rFonts w:asciiTheme="majorBidi" w:hAnsiTheme="majorBidi" w:cstheme="majorBidi"/>
        </w:rPr>
        <w:t xml:space="preserve">Belgium, </w:t>
      </w:r>
      <w:r w:rsidR="00090A1B" w:rsidRPr="000F74D5">
        <w:rPr>
          <w:rFonts w:asciiTheme="majorBidi" w:hAnsiTheme="majorBidi" w:cstheme="majorBidi"/>
        </w:rPr>
        <w:t>Denmark, European Union and its Member States, Finland, France, Germany, Italy, Monaco, Spain, Switzerland, WEOG</w:t>
      </w:r>
      <w:r w:rsidR="00305C87" w:rsidRPr="000F74D5">
        <w:rPr>
          <w:rFonts w:asciiTheme="majorBidi" w:hAnsiTheme="majorBidi" w:cstheme="majorBidi"/>
        </w:rPr>
        <w:t>.</w:t>
      </w:r>
      <w:bookmarkStart w:id="0" w:name="_GoBack"/>
      <w:bookmarkEnd w:id="0"/>
    </w:p>
    <w:sectPr w:rsidR="00090A1B" w:rsidRPr="000F74D5" w:rsidSect="000F74D5">
      <w:headerReference w:type="even" r:id="rId9"/>
      <w:footerReference w:type="even" r:id="rId10"/>
      <w:pgSz w:w="12240" w:h="15840"/>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10C" w:rsidRDefault="008F410C" w:rsidP="00EF462D">
      <w:pPr>
        <w:spacing w:after="0" w:line="240" w:lineRule="auto"/>
      </w:pPr>
      <w:r>
        <w:separator/>
      </w:r>
    </w:p>
  </w:endnote>
  <w:endnote w:type="continuationSeparator" w:id="0">
    <w:p w:rsidR="008F410C" w:rsidRDefault="008F410C" w:rsidP="00EF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41826"/>
      <w:docPartObj>
        <w:docPartGallery w:val="Page Numbers (Bottom of Page)"/>
        <w:docPartUnique/>
      </w:docPartObj>
    </w:sdtPr>
    <w:sdtEndPr>
      <w:rPr>
        <w:noProof/>
      </w:rPr>
    </w:sdtEndPr>
    <w:sdtContent>
      <w:p w:rsidR="000F74D5" w:rsidRDefault="000F74D5">
        <w:pPr>
          <w:pStyle w:val="Footer"/>
          <w:jc w:val="center"/>
        </w:pPr>
        <w:r>
          <w:fldChar w:fldCharType="begin"/>
        </w:r>
        <w:r>
          <w:instrText xml:space="preserve"> PAGE   \* MERGEFORMAT </w:instrText>
        </w:r>
        <w:r>
          <w:fldChar w:fldCharType="separate"/>
        </w:r>
        <w:r w:rsidR="00416645">
          <w:rPr>
            <w:noProof/>
          </w:rPr>
          <w:t>2</w:t>
        </w:r>
        <w:r>
          <w:rPr>
            <w:noProof/>
          </w:rPr>
          <w:fldChar w:fldCharType="end"/>
        </w:r>
      </w:p>
    </w:sdtContent>
  </w:sdt>
  <w:p w:rsidR="000F74D5" w:rsidRDefault="000F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10C" w:rsidRDefault="008F410C" w:rsidP="00EF462D">
      <w:pPr>
        <w:spacing w:after="0" w:line="240" w:lineRule="auto"/>
      </w:pPr>
      <w:r>
        <w:separator/>
      </w:r>
    </w:p>
  </w:footnote>
  <w:footnote w:type="continuationSeparator" w:id="0">
    <w:p w:rsidR="008F410C" w:rsidRDefault="008F410C" w:rsidP="00EF4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4D5" w:rsidRPr="000F74D5" w:rsidRDefault="000F74D5" w:rsidP="000F74D5">
    <w:pPr>
      <w:pBdr>
        <w:bottom w:val="single" w:sz="4" w:space="1" w:color="auto"/>
      </w:pBdr>
      <w:tabs>
        <w:tab w:val="center" w:pos="4536"/>
        <w:tab w:val="right" w:pos="9072"/>
      </w:tabs>
      <w:spacing w:after="120" w:line="240" w:lineRule="auto"/>
      <w:rPr>
        <w:rFonts w:ascii="Times New Roman" w:eastAsia="Times New Roman" w:hAnsi="Times New Roman" w:cs="Times New Roman"/>
        <w:b/>
        <w:sz w:val="18"/>
        <w:szCs w:val="20"/>
        <w:lang w:val="en-GB" w:eastAsia="en-US"/>
      </w:rPr>
    </w:pPr>
    <w:r>
      <w:rPr>
        <w:rFonts w:ascii="Times New Roman" w:eastAsia="Times New Roman" w:hAnsi="Times New Roman" w:cs="Times New Roman"/>
        <w:b/>
        <w:sz w:val="18"/>
        <w:szCs w:val="18"/>
        <w:lang w:val="en-GB" w:eastAsia="en-US"/>
      </w:rPr>
      <w:t>SAICM/RM/2018/1</w:t>
    </w:r>
  </w:p>
  <w:p w:rsidR="000F74D5" w:rsidRDefault="000F7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57292"/>
    <w:multiLevelType w:val="hybridMultilevel"/>
    <w:tmpl w:val="81783C50"/>
    <w:lvl w:ilvl="0" w:tplc="EB20BCAC">
      <w:numFmt w:val="bullet"/>
      <w:lvlText w:val="-"/>
      <w:lvlJc w:val="left"/>
      <w:pPr>
        <w:ind w:left="720" w:hanging="360"/>
      </w:pPr>
      <w:rPr>
        <w:rFonts w:ascii="Roboto" w:eastAsia="Times New Roman" w:hAnsi="Roboto"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B4740"/>
    <w:multiLevelType w:val="hybridMultilevel"/>
    <w:tmpl w:val="309C5142"/>
    <w:lvl w:ilvl="0" w:tplc="FC70E816">
      <w:numFmt w:val="bullet"/>
      <w:lvlText w:val="-"/>
      <w:lvlJc w:val="left"/>
      <w:pPr>
        <w:ind w:left="720" w:hanging="360"/>
      </w:pPr>
      <w:rPr>
        <w:rFonts w:ascii="Roboto" w:eastAsia="Times New Roman" w:hAnsi="Roboto"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B433C"/>
    <w:multiLevelType w:val="hybridMultilevel"/>
    <w:tmpl w:val="FA9E0714"/>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16"/>
    <w:rsid w:val="00090A1B"/>
    <w:rsid w:val="000F0EE5"/>
    <w:rsid w:val="000F74D5"/>
    <w:rsid w:val="00135A9A"/>
    <w:rsid w:val="00160B5F"/>
    <w:rsid w:val="00191519"/>
    <w:rsid w:val="002D0DB3"/>
    <w:rsid w:val="00305C87"/>
    <w:rsid w:val="00375DD6"/>
    <w:rsid w:val="003929A2"/>
    <w:rsid w:val="003A43DB"/>
    <w:rsid w:val="00416645"/>
    <w:rsid w:val="00545B2C"/>
    <w:rsid w:val="005C1442"/>
    <w:rsid w:val="005E4575"/>
    <w:rsid w:val="005F2DB6"/>
    <w:rsid w:val="006165E5"/>
    <w:rsid w:val="00664380"/>
    <w:rsid w:val="006B7C0D"/>
    <w:rsid w:val="006D4CC4"/>
    <w:rsid w:val="006D5668"/>
    <w:rsid w:val="0071339B"/>
    <w:rsid w:val="00851155"/>
    <w:rsid w:val="008F410C"/>
    <w:rsid w:val="00943B0E"/>
    <w:rsid w:val="00960459"/>
    <w:rsid w:val="00966616"/>
    <w:rsid w:val="009717AD"/>
    <w:rsid w:val="009774F9"/>
    <w:rsid w:val="00A90845"/>
    <w:rsid w:val="00AA06AC"/>
    <w:rsid w:val="00AB732B"/>
    <w:rsid w:val="00B400F7"/>
    <w:rsid w:val="00C037E8"/>
    <w:rsid w:val="00CE1530"/>
    <w:rsid w:val="00D12794"/>
    <w:rsid w:val="00DE7D15"/>
    <w:rsid w:val="00E32E88"/>
    <w:rsid w:val="00E7014E"/>
    <w:rsid w:val="00EB4978"/>
    <w:rsid w:val="00EE41B1"/>
    <w:rsid w:val="00EF46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0823F98-0ADD-4931-A66B-B893280F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616"/>
    <w:pPr>
      <w:ind w:left="720"/>
      <w:contextualSpacing/>
    </w:pPr>
  </w:style>
  <w:style w:type="paragraph" w:styleId="Header">
    <w:name w:val="header"/>
    <w:basedOn w:val="Normal"/>
    <w:link w:val="HeaderChar"/>
    <w:uiPriority w:val="99"/>
    <w:unhideWhenUsed/>
    <w:rsid w:val="00EF4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62D"/>
  </w:style>
  <w:style w:type="paragraph" w:styleId="Footer">
    <w:name w:val="footer"/>
    <w:basedOn w:val="Normal"/>
    <w:link w:val="FooterChar"/>
    <w:uiPriority w:val="99"/>
    <w:unhideWhenUsed/>
    <w:rsid w:val="00EF4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62D"/>
  </w:style>
  <w:style w:type="paragraph" w:styleId="BalloonText">
    <w:name w:val="Balloon Text"/>
    <w:basedOn w:val="Normal"/>
    <w:link w:val="BalloonTextChar"/>
    <w:uiPriority w:val="99"/>
    <w:semiHidden/>
    <w:unhideWhenUsed/>
    <w:rsid w:val="002D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177">
      <w:bodyDiv w:val="1"/>
      <w:marLeft w:val="0"/>
      <w:marRight w:val="0"/>
      <w:marTop w:val="0"/>
      <w:marBottom w:val="0"/>
      <w:divBdr>
        <w:top w:val="none" w:sz="0" w:space="0" w:color="auto"/>
        <w:left w:val="none" w:sz="0" w:space="0" w:color="auto"/>
        <w:bottom w:val="none" w:sz="0" w:space="0" w:color="auto"/>
        <w:right w:val="none" w:sz="0" w:space="0" w:color="auto"/>
      </w:divBdr>
      <w:divsChild>
        <w:div w:id="933250727">
          <w:marLeft w:val="0"/>
          <w:marRight w:val="0"/>
          <w:marTop w:val="0"/>
          <w:marBottom w:val="0"/>
          <w:divBdr>
            <w:top w:val="none" w:sz="0" w:space="0" w:color="auto"/>
            <w:left w:val="none" w:sz="0" w:space="0" w:color="auto"/>
            <w:bottom w:val="none" w:sz="0" w:space="0" w:color="auto"/>
            <w:right w:val="none" w:sz="0" w:space="0" w:color="auto"/>
          </w:divBdr>
          <w:divsChild>
            <w:div w:id="664667308">
              <w:marLeft w:val="0"/>
              <w:marRight w:val="0"/>
              <w:marTop w:val="100"/>
              <w:marBottom w:val="100"/>
              <w:divBdr>
                <w:top w:val="none" w:sz="0" w:space="0" w:color="auto"/>
                <w:left w:val="none" w:sz="0" w:space="0" w:color="auto"/>
                <w:bottom w:val="none" w:sz="0" w:space="0" w:color="auto"/>
                <w:right w:val="none" w:sz="0" w:space="0" w:color="auto"/>
              </w:divBdr>
              <w:divsChild>
                <w:div w:id="342316276">
                  <w:marLeft w:val="0"/>
                  <w:marRight w:val="0"/>
                  <w:marTop w:val="0"/>
                  <w:marBottom w:val="0"/>
                  <w:divBdr>
                    <w:top w:val="none" w:sz="0" w:space="0" w:color="auto"/>
                    <w:left w:val="none" w:sz="0" w:space="0" w:color="auto"/>
                    <w:bottom w:val="none" w:sz="0" w:space="0" w:color="auto"/>
                    <w:right w:val="none" w:sz="0" w:space="0" w:color="auto"/>
                  </w:divBdr>
                  <w:divsChild>
                    <w:div w:id="2123644072">
                      <w:marLeft w:val="0"/>
                      <w:marRight w:val="0"/>
                      <w:marTop w:val="0"/>
                      <w:marBottom w:val="0"/>
                      <w:divBdr>
                        <w:top w:val="none" w:sz="0" w:space="0" w:color="auto"/>
                        <w:left w:val="none" w:sz="0" w:space="0" w:color="auto"/>
                        <w:bottom w:val="none" w:sz="0" w:space="0" w:color="auto"/>
                        <w:right w:val="none" w:sz="0" w:space="0" w:color="auto"/>
                      </w:divBdr>
                      <w:divsChild>
                        <w:div w:id="561407944">
                          <w:marLeft w:val="0"/>
                          <w:marRight w:val="0"/>
                          <w:marTop w:val="0"/>
                          <w:marBottom w:val="0"/>
                          <w:divBdr>
                            <w:top w:val="none" w:sz="0" w:space="0" w:color="auto"/>
                            <w:left w:val="none" w:sz="0" w:space="0" w:color="auto"/>
                            <w:bottom w:val="none" w:sz="0" w:space="0" w:color="auto"/>
                            <w:right w:val="none" w:sz="0" w:space="0" w:color="auto"/>
                          </w:divBdr>
                          <w:divsChild>
                            <w:div w:id="1801147472">
                              <w:marLeft w:val="0"/>
                              <w:marRight w:val="0"/>
                              <w:marTop w:val="0"/>
                              <w:marBottom w:val="0"/>
                              <w:divBdr>
                                <w:top w:val="none" w:sz="0" w:space="0" w:color="auto"/>
                                <w:left w:val="none" w:sz="0" w:space="0" w:color="auto"/>
                                <w:bottom w:val="none" w:sz="0" w:space="0" w:color="auto"/>
                                <w:right w:val="none" w:sz="0" w:space="0" w:color="auto"/>
                              </w:divBdr>
                              <w:divsChild>
                                <w:div w:id="658928250">
                                  <w:marLeft w:val="0"/>
                                  <w:marRight w:val="0"/>
                                  <w:marTop w:val="0"/>
                                  <w:marBottom w:val="0"/>
                                  <w:divBdr>
                                    <w:top w:val="none" w:sz="0" w:space="0" w:color="auto"/>
                                    <w:left w:val="none" w:sz="0" w:space="0" w:color="auto"/>
                                    <w:bottom w:val="none" w:sz="0" w:space="0" w:color="auto"/>
                                    <w:right w:val="none" w:sz="0" w:space="0" w:color="auto"/>
                                  </w:divBdr>
                                  <w:divsChild>
                                    <w:div w:id="19274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53788">
      <w:bodyDiv w:val="1"/>
      <w:marLeft w:val="0"/>
      <w:marRight w:val="0"/>
      <w:marTop w:val="0"/>
      <w:marBottom w:val="0"/>
      <w:divBdr>
        <w:top w:val="none" w:sz="0" w:space="0" w:color="auto"/>
        <w:left w:val="none" w:sz="0" w:space="0" w:color="auto"/>
        <w:bottom w:val="none" w:sz="0" w:space="0" w:color="auto"/>
        <w:right w:val="none" w:sz="0" w:space="0" w:color="auto"/>
      </w:divBdr>
    </w:div>
    <w:div w:id="1118254596">
      <w:bodyDiv w:val="1"/>
      <w:marLeft w:val="0"/>
      <w:marRight w:val="0"/>
      <w:marTop w:val="0"/>
      <w:marBottom w:val="0"/>
      <w:divBdr>
        <w:top w:val="none" w:sz="0" w:space="0" w:color="auto"/>
        <w:left w:val="none" w:sz="0" w:space="0" w:color="auto"/>
        <w:bottom w:val="none" w:sz="0" w:space="0" w:color="auto"/>
        <w:right w:val="none" w:sz="0" w:space="0" w:color="auto"/>
      </w:divBdr>
      <w:divsChild>
        <w:div w:id="2078354333">
          <w:marLeft w:val="0"/>
          <w:marRight w:val="0"/>
          <w:marTop w:val="0"/>
          <w:marBottom w:val="0"/>
          <w:divBdr>
            <w:top w:val="none" w:sz="0" w:space="0" w:color="auto"/>
            <w:left w:val="none" w:sz="0" w:space="0" w:color="auto"/>
            <w:bottom w:val="none" w:sz="0" w:space="0" w:color="auto"/>
            <w:right w:val="none" w:sz="0" w:space="0" w:color="auto"/>
          </w:divBdr>
          <w:divsChild>
            <w:div w:id="1038045219">
              <w:marLeft w:val="0"/>
              <w:marRight w:val="0"/>
              <w:marTop w:val="0"/>
              <w:marBottom w:val="0"/>
              <w:divBdr>
                <w:top w:val="none" w:sz="0" w:space="0" w:color="auto"/>
                <w:left w:val="none" w:sz="0" w:space="0" w:color="auto"/>
                <w:bottom w:val="none" w:sz="0" w:space="0" w:color="auto"/>
                <w:right w:val="none" w:sz="0" w:space="0" w:color="auto"/>
              </w:divBdr>
              <w:divsChild>
                <w:div w:id="1516306814">
                  <w:marLeft w:val="0"/>
                  <w:marRight w:val="0"/>
                  <w:marTop w:val="0"/>
                  <w:marBottom w:val="0"/>
                  <w:divBdr>
                    <w:top w:val="none" w:sz="0" w:space="0" w:color="auto"/>
                    <w:left w:val="none" w:sz="0" w:space="0" w:color="auto"/>
                    <w:bottom w:val="none" w:sz="0" w:space="0" w:color="auto"/>
                    <w:right w:val="none" w:sz="0" w:space="0" w:color="auto"/>
                  </w:divBdr>
                  <w:divsChild>
                    <w:div w:id="661356255">
                      <w:marLeft w:val="0"/>
                      <w:marRight w:val="0"/>
                      <w:marTop w:val="0"/>
                      <w:marBottom w:val="0"/>
                      <w:divBdr>
                        <w:top w:val="none" w:sz="0" w:space="0" w:color="auto"/>
                        <w:left w:val="none" w:sz="0" w:space="0" w:color="auto"/>
                        <w:bottom w:val="none" w:sz="0" w:space="0" w:color="auto"/>
                        <w:right w:val="none" w:sz="0" w:space="0" w:color="auto"/>
                      </w:divBdr>
                      <w:divsChild>
                        <w:div w:id="1755006745">
                          <w:marLeft w:val="0"/>
                          <w:marRight w:val="0"/>
                          <w:marTop w:val="0"/>
                          <w:marBottom w:val="0"/>
                          <w:divBdr>
                            <w:top w:val="none" w:sz="0" w:space="0" w:color="auto"/>
                            <w:left w:val="none" w:sz="0" w:space="0" w:color="auto"/>
                            <w:bottom w:val="none" w:sz="0" w:space="0" w:color="auto"/>
                            <w:right w:val="none" w:sz="0" w:space="0" w:color="auto"/>
                          </w:divBdr>
                          <w:divsChild>
                            <w:div w:id="13552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ECHEVERRIA</dc:creator>
  <cp:keywords/>
  <dc:description/>
  <cp:lastModifiedBy>Lina Fortelius</cp:lastModifiedBy>
  <cp:revision>3</cp:revision>
  <cp:lastPrinted>2018-01-04T10:52:00Z</cp:lastPrinted>
  <dcterms:created xsi:type="dcterms:W3CDTF">2018-01-10T09:22:00Z</dcterms:created>
  <dcterms:modified xsi:type="dcterms:W3CDTF">2018-01-10T09:22:00Z</dcterms:modified>
</cp:coreProperties>
</file>