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Layout w:type="fixed"/>
        <w:tblLook w:val="0000" w:firstRow="0" w:lastRow="0" w:firstColumn="0" w:lastColumn="0" w:noHBand="0" w:noVBand="0"/>
      </w:tblPr>
      <w:tblGrid>
        <w:gridCol w:w="6787"/>
        <w:gridCol w:w="2711"/>
      </w:tblGrid>
      <w:tr w:rsidR="00026191" w:rsidRPr="006F0BAF" w14:paraId="68B3498B" w14:textId="77777777" w:rsidTr="00840003">
        <w:trPr>
          <w:cantSplit/>
          <w:trHeight w:val="853"/>
        </w:trPr>
        <w:tc>
          <w:tcPr>
            <w:tcW w:w="6787" w:type="dxa"/>
            <w:tcBorders>
              <w:bottom w:val="single" w:sz="2" w:space="0" w:color="auto"/>
            </w:tcBorders>
          </w:tcPr>
          <w:p w14:paraId="1266A938" w14:textId="77777777" w:rsidR="00026191" w:rsidRPr="006F0BAF" w:rsidRDefault="00026191" w:rsidP="00840003">
            <w:pPr>
              <w:tabs>
                <w:tab w:val="left" w:pos="624"/>
                <w:tab w:val="left" w:pos="1871"/>
                <w:tab w:val="left" w:pos="2495"/>
                <w:tab w:val="left" w:pos="3119"/>
                <w:tab w:val="left" w:pos="3742"/>
              </w:tabs>
              <w:spacing w:before="40" w:after="240"/>
            </w:pPr>
            <w:r w:rsidRPr="00352E8C">
              <w:rPr>
                <w:noProof/>
              </w:rPr>
              <w:drawing>
                <wp:anchor distT="0" distB="0" distL="114300" distR="114300" simplePos="0" relativeHeight="251659264" behindDoc="1" locked="0" layoutInCell="1" allowOverlap="1" wp14:anchorId="30C807F3" wp14:editId="04E5C29B">
                  <wp:simplePos x="0" y="0"/>
                  <wp:positionH relativeFrom="column">
                    <wp:posOffset>69215</wp:posOffset>
                  </wp:positionH>
                  <wp:positionV relativeFrom="paragraph">
                    <wp:posOffset>14605</wp:posOffset>
                  </wp:positionV>
                  <wp:extent cx="673735" cy="574040"/>
                  <wp:effectExtent l="0" t="0" r="0" b="0"/>
                  <wp:wrapTight wrapText="bothSides">
                    <wp:wrapPolygon edited="0">
                      <wp:start x="6107" y="0"/>
                      <wp:lineTo x="0" y="717"/>
                      <wp:lineTo x="0" y="20071"/>
                      <wp:lineTo x="6718" y="20788"/>
                      <wp:lineTo x="14047" y="20788"/>
                      <wp:lineTo x="20765" y="20071"/>
                      <wp:lineTo x="20765" y="717"/>
                      <wp:lineTo x="14658" y="0"/>
                      <wp:lineTo x="6107" y="0"/>
                    </wp:wrapPolygon>
                  </wp:wrapTight>
                  <wp:docPr id="4" name="Picture 4" descr="C:\Users\montills\Documents\Publications\Logos\other logos (Thad - Oct 07)\UN\UN-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tills\Documents\Publications\Logos\other logos (Thad - Oct 07)\UN\UN-Log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2E8C">
              <w:rPr>
                <w:noProof/>
              </w:rPr>
              <w:drawing>
                <wp:anchor distT="0" distB="0" distL="114300" distR="114300" simplePos="0" relativeHeight="251660288" behindDoc="1" locked="0" layoutInCell="1" allowOverlap="1" wp14:anchorId="7D67792A" wp14:editId="05A03DB1">
                  <wp:simplePos x="0" y="0"/>
                  <wp:positionH relativeFrom="page">
                    <wp:posOffset>975995</wp:posOffset>
                  </wp:positionH>
                  <wp:positionV relativeFrom="page">
                    <wp:posOffset>5080</wp:posOffset>
                  </wp:positionV>
                  <wp:extent cx="659130" cy="556895"/>
                  <wp:effectExtent l="0" t="0" r="7620" b="0"/>
                  <wp:wrapTight wrapText="bothSides">
                    <wp:wrapPolygon edited="0">
                      <wp:start x="0" y="0"/>
                      <wp:lineTo x="0" y="20689"/>
                      <wp:lineTo x="21225" y="20689"/>
                      <wp:lineTo x="212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556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bottom w:val="single" w:sz="2" w:space="0" w:color="auto"/>
            </w:tcBorders>
          </w:tcPr>
          <w:p w14:paraId="07768404" w14:textId="77777777" w:rsidR="00026191" w:rsidRPr="003D754A" w:rsidRDefault="00026191" w:rsidP="00840003">
            <w:pPr>
              <w:tabs>
                <w:tab w:val="left" w:pos="624"/>
                <w:tab w:val="left" w:pos="1871"/>
                <w:tab w:val="left" w:pos="2495"/>
                <w:tab w:val="left" w:pos="3119"/>
                <w:tab w:val="left" w:pos="3742"/>
                <w:tab w:val="left" w:pos="4366"/>
              </w:tabs>
              <w:spacing w:before="800"/>
              <w:rPr>
                <w:b/>
                <w:bCs/>
              </w:rPr>
            </w:pPr>
            <w:r w:rsidRPr="003D754A">
              <w:rPr>
                <w:b/>
                <w:bCs/>
              </w:rPr>
              <w:tab/>
              <w:t>SAICM</w:t>
            </w:r>
            <w:r w:rsidRPr="003D754A">
              <w:rPr>
                <w:rFonts w:asciiTheme="majorBidi" w:hAnsiTheme="majorBidi" w:cstheme="majorBidi"/>
              </w:rPr>
              <w:t>/IP.3/INF/</w:t>
            </w:r>
            <w:r>
              <w:rPr>
                <w:rFonts w:asciiTheme="majorBidi" w:hAnsiTheme="majorBidi" w:cstheme="majorBidi"/>
              </w:rPr>
              <w:t>1</w:t>
            </w:r>
          </w:p>
        </w:tc>
      </w:tr>
      <w:tr w:rsidR="00026191" w:rsidRPr="00026191" w14:paraId="04B1FE97" w14:textId="77777777" w:rsidTr="00840003">
        <w:trPr>
          <w:cantSplit/>
          <w:trHeight w:val="1572"/>
        </w:trPr>
        <w:tc>
          <w:tcPr>
            <w:tcW w:w="6787" w:type="dxa"/>
            <w:tcBorders>
              <w:top w:val="single" w:sz="2" w:space="0" w:color="auto"/>
              <w:bottom w:val="single" w:sz="24" w:space="0" w:color="auto"/>
            </w:tcBorders>
          </w:tcPr>
          <w:p w14:paraId="41194D43" w14:textId="77777777" w:rsidR="00026191" w:rsidRPr="006F0BAF" w:rsidRDefault="00026191" w:rsidP="00840003">
            <w:pPr>
              <w:tabs>
                <w:tab w:val="left" w:pos="624"/>
                <w:tab w:val="left" w:pos="1871"/>
                <w:tab w:val="left" w:pos="2495"/>
                <w:tab w:val="left" w:pos="3119"/>
                <w:tab w:val="left" w:pos="3742"/>
                <w:tab w:val="left" w:pos="4366"/>
              </w:tabs>
              <w:spacing w:before="600" w:after="600"/>
            </w:pPr>
            <w:r w:rsidRPr="00E82E60">
              <w:rPr>
                <w:rFonts w:asciiTheme="majorBidi" w:hAnsiTheme="majorBidi" w:cstheme="majorBidi"/>
                <w:noProof/>
              </w:rPr>
              <w:drawing>
                <wp:anchor distT="0" distB="0" distL="114300" distR="114300" simplePos="0" relativeHeight="251661312" behindDoc="1" locked="0" layoutInCell="1" allowOverlap="1" wp14:anchorId="6F6B6579" wp14:editId="0620B950">
                  <wp:simplePos x="0" y="0"/>
                  <wp:positionH relativeFrom="column">
                    <wp:posOffset>2540</wp:posOffset>
                  </wp:positionH>
                  <wp:positionV relativeFrom="paragraph">
                    <wp:posOffset>295910</wp:posOffset>
                  </wp:positionV>
                  <wp:extent cx="2486025" cy="400050"/>
                  <wp:effectExtent l="0" t="0" r="9525" b="0"/>
                  <wp:wrapTight wrapText="bothSides">
                    <wp:wrapPolygon edited="0">
                      <wp:start x="0" y="0"/>
                      <wp:lineTo x="0" y="20571"/>
                      <wp:lineTo x="21517" y="20571"/>
                      <wp:lineTo x="21517" y="0"/>
                      <wp:lineTo x="0" y="0"/>
                    </wp:wrapPolygon>
                  </wp:wrapTight>
                  <wp:docPr id="13" name="Picture 13"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11" w:type="dxa"/>
            <w:tcBorders>
              <w:top w:val="single" w:sz="2" w:space="0" w:color="auto"/>
              <w:bottom w:val="single" w:sz="24" w:space="0" w:color="auto"/>
            </w:tcBorders>
          </w:tcPr>
          <w:p w14:paraId="02B5CF2C" w14:textId="77777777" w:rsidR="00026191" w:rsidRPr="00026191" w:rsidRDefault="00026191" w:rsidP="00840003">
            <w:pPr>
              <w:tabs>
                <w:tab w:val="left" w:pos="624"/>
                <w:tab w:val="left" w:pos="1871"/>
                <w:tab w:val="left" w:pos="2495"/>
                <w:tab w:val="left" w:pos="3119"/>
                <w:tab w:val="left" w:pos="3742"/>
              </w:tabs>
              <w:spacing w:before="120"/>
              <w:rPr>
                <w:lang w:val="en-US"/>
              </w:rPr>
            </w:pPr>
            <w:r w:rsidRPr="00026191">
              <w:rPr>
                <w:lang w:val="en-US"/>
              </w:rPr>
              <w:tab/>
            </w:r>
            <w:proofErr w:type="spellStart"/>
            <w:proofErr w:type="gramStart"/>
            <w:r w:rsidRPr="00026191">
              <w:rPr>
                <w:lang w:val="en-US"/>
              </w:rPr>
              <w:t>Distr</w:t>
            </w:r>
            <w:proofErr w:type="spellEnd"/>
            <w:r w:rsidRPr="00026191">
              <w:rPr>
                <w:lang w:val="en-US"/>
              </w:rPr>
              <w:t>.:General</w:t>
            </w:r>
            <w:proofErr w:type="gramEnd"/>
            <w:r w:rsidRPr="00026191">
              <w:rPr>
                <w:lang w:val="en-US"/>
              </w:rPr>
              <w:t xml:space="preserve"> </w:t>
            </w:r>
            <w:r w:rsidRPr="00026191">
              <w:rPr>
                <w:lang w:val="en-US"/>
              </w:rPr>
              <w:br/>
            </w:r>
            <w:r w:rsidRPr="00026191">
              <w:rPr>
                <w:lang w:val="en-US"/>
              </w:rPr>
              <w:tab/>
              <w:t>6 September 2019</w:t>
            </w:r>
          </w:p>
          <w:p w14:paraId="13D97792" w14:textId="198C1A5B" w:rsidR="00026191" w:rsidRPr="00026191" w:rsidRDefault="00026191" w:rsidP="00840003">
            <w:pPr>
              <w:tabs>
                <w:tab w:val="left" w:pos="624"/>
                <w:tab w:val="left" w:pos="1871"/>
                <w:tab w:val="left" w:pos="2495"/>
                <w:tab w:val="left" w:pos="3119"/>
                <w:tab w:val="left" w:pos="3742"/>
              </w:tabs>
              <w:spacing w:before="120"/>
              <w:rPr>
                <w:lang w:val="en-US"/>
              </w:rPr>
            </w:pPr>
            <w:r w:rsidRPr="00026191">
              <w:rPr>
                <w:lang w:val="en-US"/>
              </w:rPr>
              <w:tab/>
            </w:r>
            <w:r w:rsidRPr="00026191">
              <w:rPr>
                <w:lang w:val="en-US"/>
              </w:rPr>
              <w:t>French</w:t>
            </w:r>
            <w:r w:rsidRPr="00026191">
              <w:rPr>
                <w:lang w:val="en-US"/>
              </w:rPr>
              <w:t xml:space="preserve">    </w:t>
            </w:r>
          </w:p>
          <w:p w14:paraId="18CCD271" w14:textId="77777777" w:rsidR="00026191" w:rsidRPr="00026191" w:rsidRDefault="00026191" w:rsidP="00840003">
            <w:pPr>
              <w:tabs>
                <w:tab w:val="left" w:pos="624"/>
                <w:tab w:val="left" w:pos="1871"/>
                <w:tab w:val="left" w:pos="2495"/>
                <w:tab w:val="left" w:pos="3119"/>
                <w:tab w:val="left" w:pos="3742"/>
              </w:tabs>
              <w:spacing w:before="120"/>
              <w:ind w:left="613"/>
              <w:rPr>
                <w:lang w:val="en-US"/>
              </w:rPr>
            </w:pPr>
            <w:r w:rsidRPr="00026191">
              <w:rPr>
                <w:lang w:val="en-US"/>
              </w:rPr>
              <w:t>Original: English</w:t>
            </w:r>
          </w:p>
        </w:tc>
      </w:tr>
    </w:tbl>
    <w:p w14:paraId="3B80898C" w14:textId="77777777" w:rsidR="00026191" w:rsidRPr="00026191" w:rsidRDefault="00026191" w:rsidP="00026191">
      <w:pPr>
        <w:spacing w:after="60"/>
        <w:rPr>
          <w:rFonts w:asciiTheme="majorBidi" w:hAnsiTheme="majorBidi" w:cstheme="majorBidi"/>
          <w:b/>
          <w:bCs/>
          <w:sz w:val="22"/>
          <w:szCs w:val="22"/>
          <w:lang w:val="en-US"/>
        </w:rPr>
      </w:pPr>
      <w:r w:rsidRPr="00026191">
        <w:rPr>
          <w:rFonts w:asciiTheme="majorBidi" w:hAnsiTheme="majorBidi" w:cstheme="majorBidi"/>
          <w:b/>
          <w:bCs/>
          <w:sz w:val="22"/>
          <w:szCs w:val="22"/>
          <w:lang w:val="en-US"/>
        </w:rPr>
        <w:t xml:space="preserve">Third meeting of the intersessional process considering the Strategic Approach </w:t>
      </w:r>
    </w:p>
    <w:p w14:paraId="4D299D85" w14:textId="77777777" w:rsidR="00026191" w:rsidRPr="00026191" w:rsidRDefault="00026191" w:rsidP="00026191">
      <w:pPr>
        <w:spacing w:after="60"/>
        <w:rPr>
          <w:rFonts w:asciiTheme="majorBidi" w:hAnsiTheme="majorBidi" w:cstheme="majorBidi"/>
          <w:b/>
          <w:bCs/>
          <w:sz w:val="22"/>
          <w:szCs w:val="22"/>
          <w:lang w:val="en-US"/>
        </w:rPr>
      </w:pPr>
      <w:r w:rsidRPr="00026191">
        <w:rPr>
          <w:rFonts w:asciiTheme="majorBidi" w:hAnsiTheme="majorBidi" w:cstheme="majorBidi"/>
          <w:b/>
          <w:bCs/>
          <w:sz w:val="22"/>
          <w:szCs w:val="22"/>
          <w:lang w:val="en-US"/>
        </w:rPr>
        <w:t>and sound management of chemicals and waste beyond 2020</w:t>
      </w:r>
    </w:p>
    <w:p w14:paraId="508CD31A" w14:textId="77777777" w:rsidR="00026191" w:rsidRPr="00026191" w:rsidRDefault="00026191" w:rsidP="00026191">
      <w:pPr>
        <w:spacing w:after="60"/>
        <w:rPr>
          <w:rFonts w:asciiTheme="majorBidi" w:hAnsiTheme="majorBidi" w:cstheme="majorBidi"/>
          <w:sz w:val="22"/>
          <w:szCs w:val="22"/>
          <w:lang w:val="en-US"/>
        </w:rPr>
      </w:pPr>
      <w:r w:rsidRPr="00026191">
        <w:rPr>
          <w:rFonts w:asciiTheme="majorBidi" w:hAnsiTheme="majorBidi" w:cstheme="majorBidi"/>
          <w:sz w:val="22"/>
          <w:szCs w:val="22"/>
          <w:lang w:val="en-US"/>
        </w:rPr>
        <w:t>Bangkok, Thailand, 1-4 October 2019</w:t>
      </w:r>
    </w:p>
    <w:p w14:paraId="458B79D7" w14:textId="77777777" w:rsidR="00026191" w:rsidRPr="00026191" w:rsidRDefault="00026191" w:rsidP="00026191">
      <w:pPr>
        <w:pStyle w:val="BBTitle"/>
        <w:tabs>
          <w:tab w:val="clear" w:pos="1247"/>
          <w:tab w:val="clear" w:pos="1814"/>
          <w:tab w:val="clear" w:pos="2381"/>
          <w:tab w:val="clear" w:pos="2948"/>
          <w:tab w:val="clear" w:pos="3515"/>
          <w:tab w:val="clear" w:pos="4082"/>
        </w:tabs>
        <w:ind w:left="1701"/>
        <w:rPr>
          <w:lang w:val="en-US"/>
        </w:rPr>
      </w:pPr>
      <w:bookmarkStart w:id="0" w:name="_Hlk18679047"/>
      <w:r w:rsidRPr="00026191">
        <w:rPr>
          <w:lang w:val="en-US"/>
        </w:rPr>
        <w:t>Report on the work of the Open-ended Working Group of the International Conference on Chemicals Management at its third meeting</w:t>
      </w:r>
    </w:p>
    <w:bookmarkEnd w:id="0"/>
    <w:p w14:paraId="12CE0E71" w14:textId="77777777" w:rsidR="00026191" w:rsidRPr="00026191" w:rsidRDefault="00026191" w:rsidP="00026191">
      <w:pPr>
        <w:pStyle w:val="CH2"/>
        <w:tabs>
          <w:tab w:val="clear" w:pos="1247"/>
          <w:tab w:val="clear" w:pos="1814"/>
          <w:tab w:val="clear" w:pos="2381"/>
          <w:tab w:val="clear" w:pos="2948"/>
          <w:tab w:val="clear" w:pos="3515"/>
          <w:tab w:val="clear" w:pos="4082"/>
        </w:tabs>
        <w:ind w:left="1701" w:firstLine="0"/>
        <w:rPr>
          <w:rFonts w:asciiTheme="majorBidi" w:eastAsia="Calibri" w:hAnsiTheme="majorBidi" w:cstheme="majorBidi"/>
          <w:sz w:val="28"/>
          <w:szCs w:val="28"/>
          <w:lang w:val="en-US"/>
        </w:rPr>
      </w:pPr>
      <w:r w:rsidRPr="00026191">
        <w:rPr>
          <w:rFonts w:asciiTheme="majorBidi" w:eastAsia="Calibri" w:hAnsiTheme="majorBidi" w:cstheme="majorBidi"/>
          <w:lang w:val="en-US"/>
        </w:rPr>
        <w:t>Note by the secretariat</w:t>
      </w:r>
    </w:p>
    <w:p w14:paraId="060CB6A8" w14:textId="5A193C5F" w:rsidR="00026191" w:rsidRPr="00026191" w:rsidRDefault="00026191" w:rsidP="00026191">
      <w:pPr>
        <w:tabs>
          <w:tab w:val="clear" w:pos="1247"/>
          <w:tab w:val="clear" w:pos="1814"/>
          <w:tab w:val="clear" w:pos="2381"/>
          <w:tab w:val="clear" w:pos="2948"/>
          <w:tab w:val="clear" w:pos="3515"/>
          <w:tab w:val="left" w:pos="720"/>
        </w:tabs>
        <w:spacing w:beforeLines="120" w:before="288" w:afterLines="120" w:after="288"/>
        <w:ind w:left="1701"/>
        <w:rPr>
          <w:rFonts w:asciiTheme="majorBidi" w:hAnsiTheme="majorBidi" w:cstheme="majorBidi"/>
          <w:sz w:val="22"/>
          <w:szCs w:val="22"/>
          <w:lang w:val="en-US"/>
        </w:rPr>
      </w:pPr>
      <w:r w:rsidRPr="00026191">
        <w:rPr>
          <w:rFonts w:asciiTheme="majorBidi" w:hAnsiTheme="majorBidi" w:cstheme="majorBidi"/>
          <w:sz w:val="22"/>
          <w:szCs w:val="22"/>
          <w:lang w:val="en-US"/>
        </w:rPr>
        <w:t xml:space="preserve">The secretariat has the </w:t>
      </w:r>
      <w:proofErr w:type="spellStart"/>
      <w:r w:rsidRPr="00026191">
        <w:rPr>
          <w:rFonts w:asciiTheme="majorBidi" w:hAnsiTheme="majorBidi" w:cstheme="majorBidi"/>
          <w:sz w:val="22"/>
          <w:szCs w:val="22"/>
          <w:lang w:val="en-US"/>
        </w:rPr>
        <w:t>honour</w:t>
      </w:r>
      <w:proofErr w:type="spellEnd"/>
      <w:r w:rsidRPr="00026191">
        <w:rPr>
          <w:rFonts w:asciiTheme="majorBidi" w:hAnsiTheme="majorBidi" w:cstheme="majorBidi"/>
          <w:sz w:val="22"/>
          <w:szCs w:val="22"/>
          <w:lang w:val="en-US"/>
        </w:rPr>
        <w:t xml:space="preserve"> to circulate, in the annex to the present note, the report on the work of the Open-ended Working Group of the International Conference on Chemicals Management at its third meeting held in Montevideo, Uruguay, 2-4 April 2019, as translated into </w:t>
      </w:r>
      <w:r>
        <w:rPr>
          <w:rFonts w:asciiTheme="majorBidi" w:hAnsiTheme="majorBidi" w:cstheme="majorBidi"/>
          <w:sz w:val="22"/>
          <w:szCs w:val="22"/>
          <w:lang w:val="en-US"/>
        </w:rPr>
        <w:t>French</w:t>
      </w:r>
      <w:r w:rsidRPr="00026191">
        <w:rPr>
          <w:rFonts w:asciiTheme="majorBidi" w:hAnsiTheme="majorBidi" w:cstheme="majorBidi"/>
          <w:sz w:val="22"/>
          <w:szCs w:val="22"/>
          <w:lang w:val="en-US"/>
        </w:rPr>
        <w:t>.</w:t>
      </w:r>
    </w:p>
    <w:p w14:paraId="1D4FF519" w14:textId="77777777" w:rsidR="00026191" w:rsidRPr="00026191" w:rsidRDefault="00026191">
      <w:pPr>
        <w:rPr>
          <w:lang w:val="en-US"/>
        </w:rPr>
      </w:pPr>
      <w:r w:rsidRPr="00026191">
        <w:rPr>
          <w:lang w:val="en-US"/>
        </w:rPr>
        <w:br w:type="page"/>
      </w:r>
    </w:p>
    <w:tbl>
      <w:tblPr>
        <w:tblW w:w="9498" w:type="dxa"/>
        <w:tblLayout w:type="fixed"/>
        <w:tblLook w:val="0000" w:firstRow="0" w:lastRow="0" w:firstColumn="0" w:lastColumn="0" w:noHBand="0" w:noVBand="0"/>
      </w:tblPr>
      <w:tblGrid>
        <w:gridCol w:w="6787"/>
        <w:gridCol w:w="2711"/>
      </w:tblGrid>
      <w:tr w:rsidR="00E014E4" w:rsidRPr="00F1660D" w14:paraId="186E1DCC" w14:textId="77777777" w:rsidTr="00B35737">
        <w:trPr>
          <w:cantSplit/>
          <w:trHeight w:val="853"/>
        </w:trPr>
        <w:tc>
          <w:tcPr>
            <w:tcW w:w="6787" w:type="dxa"/>
            <w:tcBorders>
              <w:bottom w:val="single" w:sz="2" w:space="0" w:color="auto"/>
            </w:tcBorders>
          </w:tcPr>
          <w:p w14:paraId="2BB560C5" w14:textId="1169A79D" w:rsidR="00E014E4" w:rsidRPr="00F1660D" w:rsidRDefault="00405397" w:rsidP="005572A9">
            <w:pPr>
              <w:pStyle w:val="Normal-pool"/>
              <w:spacing w:before="40" w:after="240"/>
              <w:rPr>
                <w:lang w:val="fr-FR"/>
              </w:rPr>
            </w:pPr>
            <w:r w:rsidRPr="00F1660D">
              <w:rPr>
                <w:noProof/>
                <w:lang w:val="en-GB" w:eastAsia="en-GB"/>
              </w:rPr>
              <w:drawing>
                <wp:inline distT="0" distB="0" distL="0" distR="0" wp14:anchorId="51259CC2" wp14:editId="5080C313">
                  <wp:extent cx="866451" cy="466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01.gif"/>
                          <pic:cNvPicPr/>
                        </pic:nvPicPr>
                        <pic:blipFill>
                          <a:blip r:embed="rId11">
                            <a:extLst>
                              <a:ext uri="{28A0092B-C50C-407E-A947-70E740481C1C}">
                                <a14:useLocalDpi xmlns:a14="http://schemas.microsoft.com/office/drawing/2010/main" val="0"/>
                              </a:ext>
                            </a:extLst>
                          </a:blip>
                          <a:stretch>
                            <a:fillRect/>
                          </a:stretch>
                        </pic:blipFill>
                        <pic:spPr>
                          <a:xfrm>
                            <a:off x="0" y="0"/>
                            <a:ext cx="883904" cy="475479"/>
                          </a:xfrm>
                          <a:prstGeom prst="rect">
                            <a:avLst/>
                          </a:prstGeom>
                        </pic:spPr>
                      </pic:pic>
                    </a:graphicData>
                  </a:graphic>
                </wp:inline>
              </w:drawing>
            </w:r>
          </w:p>
        </w:tc>
        <w:tc>
          <w:tcPr>
            <w:tcW w:w="2711" w:type="dxa"/>
            <w:tcBorders>
              <w:bottom w:val="single" w:sz="2" w:space="0" w:color="auto"/>
            </w:tcBorders>
            <w:vAlign w:val="bottom"/>
          </w:tcPr>
          <w:p w14:paraId="684E21A8" w14:textId="746B6272" w:rsidR="00E014E4" w:rsidRPr="00F1660D" w:rsidRDefault="00E014E4" w:rsidP="00B35737">
            <w:pPr>
              <w:pStyle w:val="Normal-pool"/>
              <w:rPr>
                <w:lang w:val="fr-FR"/>
              </w:rPr>
            </w:pPr>
            <w:r w:rsidRPr="00F1660D">
              <w:rPr>
                <w:b/>
                <w:sz w:val="24"/>
                <w:szCs w:val="24"/>
                <w:lang w:val="fr-FR"/>
              </w:rPr>
              <w:t>SAICM</w:t>
            </w:r>
            <w:r w:rsidRPr="00F1660D">
              <w:rPr>
                <w:lang w:val="fr-FR"/>
              </w:rPr>
              <w:t>/OEWG.3/</w:t>
            </w:r>
            <w:r w:rsidR="00B22235" w:rsidRPr="00F1660D">
              <w:rPr>
                <w:lang w:val="fr-FR"/>
              </w:rPr>
              <w:t>9</w:t>
            </w:r>
          </w:p>
        </w:tc>
      </w:tr>
      <w:tr w:rsidR="00E014E4" w:rsidRPr="00F1660D" w14:paraId="1E77466E" w14:textId="77777777" w:rsidTr="00E967E1">
        <w:trPr>
          <w:cantSplit/>
          <w:trHeight w:val="20"/>
        </w:trPr>
        <w:tc>
          <w:tcPr>
            <w:tcW w:w="6787" w:type="dxa"/>
            <w:tcBorders>
              <w:top w:val="single" w:sz="2" w:space="0" w:color="auto"/>
              <w:bottom w:val="single" w:sz="24" w:space="0" w:color="auto"/>
            </w:tcBorders>
          </w:tcPr>
          <w:p w14:paraId="5379E6F0" w14:textId="57648898" w:rsidR="00E014E4" w:rsidRPr="00F1660D" w:rsidRDefault="00650DE5" w:rsidP="00BF751B">
            <w:pPr>
              <w:pStyle w:val="Normal-pool"/>
              <w:spacing w:before="600" w:after="600"/>
              <w:rPr>
                <w:lang w:val="fr-FR"/>
              </w:rPr>
            </w:pPr>
            <w:r w:rsidRPr="00F1660D">
              <w:rPr>
                <w:noProof/>
                <w:lang w:val="en-GB" w:eastAsia="en-GB"/>
              </w:rPr>
              <w:drawing>
                <wp:inline distT="0" distB="0" distL="0" distR="0" wp14:anchorId="0956E75B" wp14:editId="5D31044D">
                  <wp:extent cx="3252149" cy="561975"/>
                  <wp:effectExtent l="0" t="0" r="5715" b="0"/>
                  <wp:docPr id="3" name="Picture 3" descr="SAICM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CM_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3866" cy="562272"/>
                          </a:xfrm>
                          <a:prstGeom prst="rect">
                            <a:avLst/>
                          </a:prstGeom>
                          <a:noFill/>
                          <a:ln>
                            <a:noFill/>
                          </a:ln>
                        </pic:spPr>
                      </pic:pic>
                    </a:graphicData>
                  </a:graphic>
                </wp:inline>
              </w:drawing>
            </w:r>
          </w:p>
        </w:tc>
        <w:tc>
          <w:tcPr>
            <w:tcW w:w="2711" w:type="dxa"/>
            <w:tcBorders>
              <w:top w:val="single" w:sz="2" w:space="0" w:color="auto"/>
              <w:bottom w:val="single" w:sz="24" w:space="0" w:color="auto"/>
            </w:tcBorders>
          </w:tcPr>
          <w:p w14:paraId="069D5823" w14:textId="0F51A9A5" w:rsidR="00E014E4" w:rsidRPr="00F1660D" w:rsidRDefault="00DE1146" w:rsidP="00B35737">
            <w:pPr>
              <w:pStyle w:val="Normal-pool"/>
              <w:spacing w:before="120" w:after="120"/>
              <w:rPr>
                <w:lang w:val="fr-FR"/>
              </w:rPr>
            </w:pPr>
            <w:proofErr w:type="spellStart"/>
            <w:r w:rsidRPr="00F1660D">
              <w:rPr>
                <w:lang w:val="fr-FR"/>
              </w:rPr>
              <w:t>Distr</w:t>
            </w:r>
            <w:proofErr w:type="spellEnd"/>
            <w:r w:rsidRPr="00F1660D">
              <w:rPr>
                <w:lang w:val="fr-FR"/>
              </w:rPr>
              <w:t>.</w:t>
            </w:r>
            <w:r w:rsidR="00DA1EE1" w:rsidRPr="00F1660D">
              <w:rPr>
                <w:lang w:val="fr-FR"/>
              </w:rPr>
              <w:t xml:space="preserve"> </w:t>
            </w:r>
            <w:proofErr w:type="gramStart"/>
            <w:r w:rsidR="00DA1EE1" w:rsidRPr="00F1660D">
              <w:rPr>
                <w:lang w:val="fr-FR"/>
              </w:rPr>
              <w:t>générale</w:t>
            </w:r>
            <w:proofErr w:type="gramEnd"/>
            <w:r w:rsidR="00B35737" w:rsidRPr="00F1660D">
              <w:rPr>
                <w:lang w:val="fr-FR"/>
              </w:rPr>
              <w:t xml:space="preserve"> </w:t>
            </w:r>
            <w:r w:rsidR="001F2812" w:rsidRPr="00F1660D">
              <w:rPr>
                <w:lang w:val="fr-FR"/>
              </w:rPr>
              <w:br/>
            </w:r>
            <w:r w:rsidR="00DA1EE1" w:rsidRPr="00F1660D">
              <w:rPr>
                <w:lang w:val="fr-FR"/>
              </w:rPr>
              <w:t>30</w:t>
            </w:r>
            <w:r w:rsidR="00FC0533" w:rsidRPr="00F1660D">
              <w:rPr>
                <w:lang w:val="fr-FR"/>
              </w:rPr>
              <w:t> avril</w:t>
            </w:r>
            <w:r w:rsidR="00E014E4" w:rsidRPr="00F1660D">
              <w:rPr>
                <w:lang w:val="fr-FR"/>
              </w:rPr>
              <w:t xml:space="preserve"> 2019</w:t>
            </w:r>
          </w:p>
          <w:p w14:paraId="5D4AED1C" w14:textId="19EE0B92" w:rsidR="00E014E4" w:rsidRPr="00F1660D" w:rsidRDefault="001F2812" w:rsidP="00B35737">
            <w:pPr>
              <w:pStyle w:val="Normal-pool"/>
              <w:spacing w:before="120" w:after="120"/>
              <w:rPr>
                <w:lang w:val="fr-FR"/>
              </w:rPr>
            </w:pPr>
            <w:r w:rsidRPr="00F1660D">
              <w:rPr>
                <w:lang w:val="fr-FR"/>
              </w:rPr>
              <w:t>Français</w:t>
            </w:r>
            <w:r w:rsidR="00B35737" w:rsidRPr="00F1660D">
              <w:rPr>
                <w:lang w:val="fr-FR"/>
              </w:rPr>
              <w:t xml:space="preserve"> </w:t>
            </w:r>
            <w:r w:rsidRPr="00F1660D">
              <w:rPr>
                <w:lang w:val="fr-FR"/>
              </w:rPr>
              <w:br/>
            </w:r>
            <w:r w:rsidR="00E014E4" w:rsidRPr="00F1660D">
              <w:rPr>
                <w:lang w:val="fr-FR"/>
              </w:rPr>
              <w:t>Original</w:t>
            </w:r>
            <w:r w:rsidR="00EF5AD9" w:rsidRPr="00F1660D">
              <w:rPr>
                <w:lang w:val="fr-FR"/>
              </w:rPr>
              <w:t> :</w:t>
            </w:r>
            <w:r w:rsidR="00E014E4" w:rsidRPr="00F1660D">
              <w:rPr>
                <w:lang w:val="fr-FR"/>
              </w:rPr>
              <w:t xml:space="preserve"> </w:t>
            </w:r>
            <w:r w:rsidR="00395C07" w:rsidRPr="00F1660D">
              <w:rPr>
                <w:lang w:val="fr-FR"/>
              </w:rPr>
              <w:t>anglais</w:t>
            </w:r>
          </w:p>
        </w:tc>
      </w:tr>
    </w:tbl>
    <w:p w14:paraId="60D5BC15" w14:textId="689468AE" w:rsidR="00E014E4" w:rsidRPr="00F1660D" w:rsidRDefault="001F2812" w:rsidP="005572A9">
      <w:pPr>
        <w:pStyle w:val="AATitle"/>
        <w:ind w:right="4252"/>
        <w:rPr>
          <w:lang w:val="fr-FR"/>
        </w:rPr>
      </w:pPr>
      <w:r w:rsidRPr="00F1660D">
        <w:rPr>
          <w:lang w:val="fr-FR"/>
        </w:rPr>
        <w:t>Groupe de travail à composition non limitée de</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w:t>
      </w:r>
    </w:p>
    <w:p w14:paraId="029D4E78" w14:textId="219062A7" w:rsidR="00E014E4" w:rsidRPr="00F1660D" w:rsidRDefault="001F2812" w:rsidP="005572A9">
      <w:pPr>
        <w:pStyle w:val="AATitle"/>
        <w:rPr>
          <w:lang w:val="fr-FR"/>
        </w:rPr>
      </w:pPr>
      <w:r w:rsidRPr="00F1660D">
        <w:rPr>
          <w:lang w:val="fr-FR"/>
        </w:rPr>
        <w:t>Troisième réunion</w:t>
      </w:r>
    </w:p>
    <w:p w14:paraId="67D80717" w14:textId="34B1977F" w:rsidR="00E014E4" w:rsidRPr="00F1660D" w:rsidRDefault="003A5178" w:rsidP="005572A9">
      <w:pPr>
        <w:pStyle w:val="AATitle"/>
        <w:rPr>
          <w:b w:val="0"/>
          <w:lang w:val="fr-FR"/>
        </w:rPr>
      </w:pPr>
      <w:r w:rsidRPr="00F1660D">
        <w:rPr>
          <w:b w:val="0"/>
          <w:lang w:val="fr-FR"/>
        </w:rPr>
        <w:t>Montevideo</w:t>
      </w:r>
      <w:r w:rsidR="00E014E4" w:rsidRPr="00F1660D">
        <w:rPr>
          <w:b w:val="0"/>
          <w:lang w:val="fr-FR"/>
        </w:rPr>
        <w:t>,</w:t>
      </w:r>
      <w:r w:rsidRPr="00F1660D">
        <w:rPr>
          <w:b w:val="0"/>
          <w:lang w:val="fr-FR"/>
        </w:rPr>
        <w:t xml:space="preserve"> 2</w:t>
      </w:r>
      <w:r w:rsidR="00015586" w:rsidRPr="00F1660D">
        <w:rPr>
          <w:b w:val="0"/>
          <w:lang w:val="fr-FR"/>
        </w:rPr>
        <w:t>–</w:t>
      </w:r>
      <w:r w:rsidRPr="00F1660D">
        <w:rPr>
          <w:b w:val="0"/>
          <w:lang w:val="fr-FR"/>
        </w:rPr>
        <w:t>4</w:t>
      </w:r>
      <w:r w:rsidR="00DE1146" w:rsidRPr="00F1660D">
        <w:rPr>
          <w:b w:val="0"/>
          <w:lang w:val="fr-FR"/>
        </w:rPr>
        <w:t> </w:t>
      </w:r>
      <w:r w:rsidR="001F2812" w:rsidRPr="00F1660D">
        <w:rPr>
          <w:b w:val="0"/>
          <w:lang w:val="fr-FR"/>
        </w:rPr>
        <w:t>avril</w:t>
      </w:r>
      <w:r w:rsidR="00E014E4" w:rsidRPr="00F1660D">
        <w:rPr>
          <w:b w:val="0"/>
          <w:lang w:val="fr-FR"/>
        </w:rPr>
        <w:t xml:space="preserve"> 201</w:t>
      </w:r>
      <w:r w:rsidRPr="00F1660D">
        <w:rPr>
          <w:b w:val="0"/>
          <w:lang w:val="fr-FR"/>
        </w:rPr>
        <w:t>9</w:t>
      </w:r>
    </w:p>
    <w:p w14:paraId="700A0A94" w14:textId="31316DBA" w:rsidR="00FC0533" w:rsidRPr="00F1660D" w:rsidRDefault="00DA1EE1" w:rsidP="002C67A2">
      <w:pPr>
        <w:pStyle w:val="BBTitle"/>
        <w:rPr>
          <w:lang w:val="fr-FR"/>
        </w:rPr>
      </w:pPr>
      <w:r w:rsidRPr="00F1660D">
        <w:rPr>
          <w:lang w:val="fr-FR"/>
        </w:rPr>
        <w:t>R</w:t>
      </w:r>
      <w:r w:rsidR="00FC0533" w:rsidRPr="00F1660D">
        <w:rPr>
          <w:lang w:val="fr-FR"/>
        </w:rPr>
        <w:t xml:space="preserve">apport </w:t>
      </w:r>
      <w:r w:rsidR="00B70207" w:rsidRPr="00F1660D">
        <w:rPr>
          <w:lang w:val="fr-FR"/>
        </w:rPr>
        <w:t>sur</w:t>
      </w:r>
      <w:r w:rsidR="00A50629" w:rsidRPr="00F1660D">
        <w:rPr>
          <w:lang w:val="fr-FR"/>
        </w:rPr>
        <w:t xml:space="preserve"> les </w:t>
      </w:r>
      <w:r w:rsidR="00B70207" w:rsidRPr="00F1660D">
        <w:rPr>
          <w:lang w:val="fr-FR"/>
        </w:rPr>
        <w:t>travaux du Groupe de travail à composition non limitée de</w:t>
      </w:r>
      <w:r w:rsidR="00A50629" w:rsidRPr="00F1660D">
        <w:rPr>
          <w:lang w:val="fr-FR"/>
        </w:rPr>
        <w:t xml:space="preserve"> la </w:t>
      </w:r>
      <w:r w:rsidR="00B70207" w:rsidRPr="00F1660D">
        <w:rPr>
          <w:lang w:val="fr-FR"/>
        </w:rPr>
        <w:t>Conférence internationale sur</w:t>
      </w:r>
      <w:r w:rsidR="00A50629" w:rsidRPr="00F1660D">
        <w:rPr>
          <w:lang w:val="fr-FR"/>
        </w:rPr>
        <w:t xml:space="preserve"> la </w:t>
      </w:r>
      <w:r w:rsidR="00B70207" w:rsidRPr="00F1660D">
        <w:rPr>
          <w:lang w:val="fr-FR"/>
        </w:rPr>
        <w:t>gestion</w:t>
      </w:r>
      <w:r w:rsidR="00A50629" w:rsidRPr="00F1660D">
        <w:rPr>
          <w:lang w:val="fr-FR"/>
        </w:rPr>
        <w:t xml:space="preserve"> des </w:t>
      </w:r>
      <w:r w:rsidR="00B70207" w:rsidRPr="00F1660D">
        <w:rPr>
          <w:lang w:val="fr-FR"/>
        </w:rPr>
        <w:t>pr</w:t>
      </w:r>
      <w:r w:rsidR="00101BB8" w:rsidRPr="00F1660D">
        <w:rPr>
          <w:lang w:val="fr-FR"/>
        </w:rPr>
        <w:t>oduits chimiques à sa troisième </w:t>
      </w:r>
      <w:r w:rsidR="00B70207" w:rsidRPr="00F1660D">
        <w:rPr>
          <w:lang w:val="fr-FR"/>
        </w:rPr>
        <w:t>réunion</w:t>
      </w:r>
    </w:p>
    <w:p w14:paraId="48F249CA" w14:textId="63342F21" w:rsidR="00FC0533" w:rsidRPr="00F1660D" w:rsidRDefault="00D50259" w:rsidP="00D50259">
      <w:pPr>
        <w:pStyle w:val="CH1"/>
        <w:rPr>
          <w:lang w:val="fr-FR"/>
        </w:rPr>
      </w:pPr>
      <w:r w:rsidRPr="00F1660D">
        <w:rPr>
          <w:lang w:val="fr-FR"/>
        </w:rPr>
        <w:tab/>
        <w:t>I.</w:t>
      </w:r>
      <w:r w:rsidRPr="00F1660D">
        <w:rPr>
          <w:lang w:val="fr-FR"/>
        </w:rPr>
        <w:tab/>
      </w:r>
      <w:r w:rsidR="00FC0533" w:rsidRPr="00F1660D">
        <w:rPr>
          <w:lang w:val="fr-FR"/>
        </w:rPr>
        <w:t>Introduction</w:t>
      </w:r>
    </w:p>
    <w:p w14:paraId="5588CECB" w14:textId="29D51861" w:rsidR="00B70207" w:rsidRPr="00F1660D" w:rsidRDefault="00B70207" w:rsidP="002C67A2">
      <w:pPr>
        <w:pStyle w:val="Normalnumber"/>
        <w:rPr>
          <w:lang w:val="fr-FR"/>
        </w:rPr>
      </w:pPr>
      <w:r w:rsidRPr="00F1660D">
        <w:rPr>
          <w:lang w:val="fr-FR"/>
        </w:rPr>
        <w:t xml:space="preserve">Par sa </w:t>
      </w:r>
      <w:r w:rsidR="00350181" w:rsidRPr="00F1660D">
        <w:rPr>
          <w:lang w:val="fr-FR"/>
        </w:rPr>
        <w:t>résolution </w:t>
      </w:r>
      <w:r w:rsidRPr="00F1660D">
        <w:rPr>
          <w:lang w:val="fr-FR"/>
        </w:rPr>
        <w:t>II/6,</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a créé</w:t>
      </w:r>
      <w:r w:rsidR="00A50629" w:rsidRPr="00F1660D">
        <w:rPr>
          <w:lang w:val="fr-FR"/>
        </w:rPr>
        <w:t xml:space="preserve"> le </w:t>
      </w:r>
      <w:r w:rsidRPr="00F1660D">
        <w:rPr>
          <w:lang w:val="fr-FR"/>
        </w:rPr>
        <w:t>Groupe de travail à composition non limitée en tant qu</w:t>
      </w:r>
      <w:r w:rsidR="00CE30FD" w:rsidRPr="00F1660D">
        <w:rPr>
          <w:lang w:val="fr-FR"/>
        </w:rPr>
        <w:t>’</w:t>
      </w:r>
      <w:r w:rsidRPr="00F1660D">
        <w:rPr>
          <w:lang w:val="fr-FR"/>
        </w:rPr>
        <w:t>organe subsidiaire. Le Groupe de travail était censé se réunir une fois</w:t>
      </w:r>
      <w:r w:rsidR="00A50629" w:rsidRPr="00F1660D">
        <w:rPr>
          <w:lang w:val="fr-FR"/>
        </w:rPr>
        <w:t xml:space="preserve"> au </w:t>
      </w:r>
      <w:r w:rsidRPr="00F1660D">
        <w:rPr>
          <w:lang w:val="fr-FR"/>
        </w:rPr>
        <w:t>cours de l</w:t>
      </w:r>
      <w:r w:rsidR="00CE30FD" w:rsidRPr="00F1660D">
        <w:rPr>
          <w:lang w:val="fr-FR"/>
        </w:rPr>
        <w:t>’</w:t>
      </w:r>
      <w:r w:rsidRPr="00F1660D">
        <w:rPr>
          <w:lang w:val="fr-FR"/>
        </w:rPr>
        <w:t>année précédant</w:t>
      </w:r>
      <w:r w:rsidR="00A50629" w:rsidRPr="00F1660D">
        <w:rPr>
          <w:lang w:val="fr-FR"/>
        </w:rPr>
        <w:t xml:space="preserve"> les </w:t>
      </w:r>
      <w:r w:rsidRPr="00F1660D">
        <w:rPr>
          <w:lang w:val="fr-FR"/>
        </w:rPr>
        <w:t>sessions de</w:t>
      </w:r>
      <w:r w:rsidR="00A50629" w:rsidRPr="00F1660D">
        <w:rPr>
          <w:lang w:val="fr-FR"/>
        </w:rPr>
        <w:t xml:space="preserve"> la </w:t>
      </w:r>
      <w:r w:rsidRPr="00F1660D">
        <w:rPr>
          <w:lang w:val="fr-FR"/>
        </w:rPr>
        <w:t>Conférence pour préparer ces</w:t>
      </w:r>
      <w:r w:rsidR="00592CC7" w:rsidRPr="00F1660D">
        <w:rPr>
          <w:lang w:val="fr-FR"/>
        </w:rPr>
        <w:t> </w:t>
      </w:r>
      <w:r w:rsidRPr="00F1660D">
        <w:rPr>
          <w:lang w:val="fr-FR"/>
        </w:rPr>
        <w:t>dernières de manière complète et efficace. La première réunion du Groupe de travail s</w:t>
      </w:r>
      <w:r w:rsidR="00CE30FD" w:rsidRPr="00F1660D">
        <w:rPr>
          <w:lang w:val="fr-FR"/>
        </w:rPr>
        <w:t>’</w:t>
      </w:r>
      <w:r w:rsidRPr="00F1660D">
        <w:rPr>
          <w:lang w:val="fr-FR"/>
        </w:rPr>
        <w:t>est tenue</w:t>
      </w:r>
      <w:r w:rsidR="007D5015" w:rsidRPr="00F1660D">
        <w:rPr>
          <w:lang w:val="fr-FR"/>
        </w:rPr>
        <w:t xml:space="preserve"> </w:t>
      </w:r>
      <w:r w:rsidRPr="00F1660D">
        <w:rPr>
          <w:lang w:val="fr-FR"/>
        </w:rPr>
        <w:t>en</w:t>
      </w:r>
      <w:r w:rsidR="00592CC7" w:rsidRPr="00F1660D">
        <w:rPr>
          <w:lang w:val="fr-FR"/>
        </w:rPr>
        <w:t> </w:t>
      </w:r>
      <w:r w:rsidRPr="00F1660D">
        <w:rPr>
          <w:lang w:val="fr-FR"/>
        </w:rPr>
        <w:t>novembre 2011 à Belgrade et</w:t>
      </w:r>
      <w:r w:rsidR="00A50629" w:rsidRPr="00F1660D">
        <w:rPr>
          <w:lang w:val="fr-FR"/>
        </w:rPr>
        <w:t xml:space="preserve"> la </w:t>
      </w:r>
      <w:r w:rsidRPr="00F1660D">
        <w:rPr>
          <w:lang w:val="fr-FR"/>
        </w:rPr>
        <w:t>deuxième en décembre 2014 à Genève. Par sa résolution IV/5,</w:t>
      </w:r>
      <w:r w:rsidR="00A50629" w:rsidRPr="00F1660D">
        <w:rPr>
          <w:lang w:val="fr-FR"/>
        </w:rPr>
        <w:t xml:space="preserve"> la </w:t>
      </w:r>
      <w:r w:rsidRPr="00F1660D">
        <w:rPr>
          <w:lang w:val="fr-FR"/>
        </w:rPr>
        <w:t>Conférence a décidé de convoquer</w:t>
      </w:r>
      <w:r w:rsidR="00A50629" w:rsidRPr="00F1660D">
        <w:rPr>
          <w:lang w:val="fr-FR"/>
        </w:rPr>
        <w:t xml:space="preserve"> la </w:t>
      </w:r>
      <w:r w:rsidRPr="00F1660D">
        <w:rPr>
          <w:lang w:val="fr-FR"/>
        </w:rPr>
        <w:t>troisième réunion du Groupe de travail avant sa</w:t>
      </w:r>
      <w:r w:rsidR="00D50259" w:rsidRPr="00F1660D">
        <w:rPr>
          <w:lang w:val="fr-FR"/>
        </w:rPr>
        <w:t> </w:t>
      </w:r>
      <w:r w:rsidRPr="00F1660D">
        <w:rPr>
          <w:lang w:val="fr-FR"/>
        </w:rPr>
        <w:t>cinquième session, qui devait se tenir en 2018 ou</w:t>
      </w:r>
      <w:r w:rsidR="00A50629" w:rsidRPr="00F1660D">
        <w:rPr>
          <w:lang w:val="fr-FR"/>
        </w:rPr>
        <w:t xml:space="preserve"> au </w:t>
      </w:r>
      <w:r w:rsidRPr="00F1660D">
        <w:rPr>
          <w:lang w:val="fr-FR"/>
        </w:rPr>
        <w:t xml:space="preserve">début de 2019. </w:t>
      </w:r>
    </w:p>
    <w:p w14:paraId="7C7222B3" w14:textId="25AC34F6" w:rsidR="00B70207" w:rsidRPr="00F1660D" w:rsidRDefault="00B70207" w:rsidP="00733A1C">
      <w:pPr>
        <w:pStyle w:val="Normalnumber"/>
        <w:rPr>
          <w:lang w:val="fr-FR"/>
        </w:rPr>
      </w:pPr>
      <w:r w:rsidRPr="00F1660D">
        <w:rPr>
          <w:lang w:val="fr-FR"/>
        </w:rPr>
        <w:t>En conséquence,</w:t>
      </w:r>
      <w:r w:rsidR="00A50629" w:rsidRPr="00F1660D">
        <w:rPr>
          <w:lang w:val="fr-FR"/>
        </w:rPr>
        <w:t xml:space="preserve"> la </w:t>
      </w:r>
      <w:r w:rsidRPr="00F1660D">
        <w:rPr>
          <w:lang w:val="fr-FR"/>
        </w:rPr>
        <w:t>troisième réunion du Groupe de travail à composition non limitée s</w:t>
      </w:r>
      <w:r w:rsidR="00CE30FD" w:rsidRPr="00F1660D">
        <w:rPr>
          <w:lang w:val="fr-FR"/>
        </w:rPr>
        <w:t>’</w:t>
      </w:r>
      <w:r w:rsidRPr="00F1660D">
        <w:rPr>
          <w:lang w:val="fr-FR"/>
        </w:rPr>
        <w:t>est</w:t>
      </w:r>
      <w:r w:rsidR="003C0B0A" w:rsidRPr="00F1660D">
        <w:rPr>
          <w:lang w:val="fr-FR"/>
        </w:rPr>
        <w:t> </w:t>
      </w:r>
      <w:r w:rsidRPr="00F1660D">
        <w:rPr>
          <w:lang w:val="fr-FR"/>
        </w:rPr>
        <w:t>tenue à l</w:t>
      </w:r>
      <w:r w:rsidR="00CE30FD" w:rsidRPr="00F1660D">
        <w:rPr>
          <w:lang w:val="fr-FR"/>
        </w:rPr>
        <w:t>’</w:t>
      </w:r>
      <w:proofErr w:type="spellStart"/>
      <w:r w:rsidRPr="00F1660D">
        <w:rPr>
          <w:lang w:val="fr-FR"/>
        </w:rPr>
        <w:t>Antel</w:t>
      </w:r>
      <w:proofErr w:type="spellEnd"/>
      <w:r w:rsidRPr="00F1660D">
        <w:rPr>
          <w:lang w:val="fr-FR"/>
        </w:rPr>
        <w:t xml:space="preserve"> Arena, à Montevid</w:t>
      </w:r>
      <w:r w:rsidR="00FC1EE7" w:rsidRPr="00F1660D">
        <w:rPr>
          <w:lang w:val="fr-FR"/>
        </w:rPr>
        <w:t>eo, du 2</w:t>
      </w:r>
      <w:r w:rsidR="00A50629" w:rsidRPr="00F1660D">
        <w:rPr>
          <w:lang w:val="fr-FR"/>
        </w:rPr>
        <w:t xml:space="preserve"> au </w:t>
      </w:r>
      <w:r w:rsidR="00FC1EE7" w:rsidRPr="00F1660D">
        <w:rPr>
          <w:lang w:val="fr-FR"/>
        </w:rPr>
        <w:t>4 </w:t>
      </w:r>
      <w:r w:rsidRPr="00F1660D">
        <w:rPr>
          <w:lang w:val="fr-FR"/>
        </w:rPr>
        <w:t>avril 2019.</w:t>
      </w:r>
    </w:p>
    <w:p w14:paraId="2A9B2632" w14:textId="4D3269BF" w:rsidR="00FC0533" w:rsidRPr="00F1660D" w:rsidRDefault="00D50259" w:rsidP="00D50259">
      <w:pPr>
        <w:pStyle w:val="CH1"/>
        <w:rPr>
          <w:lang w:val="fr-FR"/>
        </w:rPr>
      </w:pPr>
      <w:r w:rsidRPr="00F1660D">
        <w:rPr>
          <w:lang w:val="fr-FR"/>
        </w:rPr>
        <w:tab/>
        <w:t>II.</w:t>
      </w:r>
      <w:r w:rsidRPr="00F1660D">
        <w:rPr>
          <w:lang w:val="fr-FR"/>
        </w:rPr>
        <w:tab/>
      </w:r>
      <w:r w:rsidR="00FC0533" w:rsidRPr="00F1660D">
        <w:rPr>
          <w:lang w:val="fr-FR"/>
        </w:rPr>
        <w:t>Ouverture de</w:t>
      </w:r>
      <w:r w:rsidR="00A50629" w:rsidRPr="00F1660D">
        <w:rPr>
          <w:lang w:val="fr-FR"/>
        </w:rPr>
        <w:t xml:space="preserve"> la </w:t>
      </w:r>
      <w:r w:rsidR="00FC0533" w:rsidRPr="00F1660D">
        <w:rPr>
          <w:lang w:val="fr-FR"/>
        </w:rPr>
        <w:t>réunion</w:t>
      </w:r>
    </w:p>
    <w:p w14:paraId="5D9FAF79" w14:textId="05E670AA" w:rsidR="00B70207" w:rsidRPr="00F1660D" w:rsidRDefault="00B70207" w:rsidP="00733A1C">
      <w:pPr>
        <w:pStyle w:val="Normalnumber"/>
        <w:rPr>
          <w:lang w:val="fr-FR"/>
        </w:rPr>
      </w:pPr>
      <w:r w:rsidRPr="00F1660D">
        <w:rPr>
          <w:lang w:val="fr-FR"/>
        </w:rPr>
        <w:t>La réunion a été ouverte</w:t>
      </w:r>
      <w:r w:rsidR="00A50629" w:rsidRPr="00F1660D">
        <w:rPr>
          <w:lang w:val="fr-FR"/>
        </w:rPr>
        <w:t xml:space="preserve"> le </w:t>
      </w:r>
      <w:r w:rsidRPr="00F1660D">
        <w:rPr>
          <w:lang w:val="fr-FR"/>
        </w:rPr>
        <w:t>mardi 2</w:t>
      </w:r>
      <w:r w:rsidR="00FC1EE7" w:rsidRPr="00F1660D">
        <w:rPr>
          <w:lang w:val="fr-FR"/>
        </w:rPr>
        <w:t> avril 2019 à 10 h </w:t>
      </w:r>
      <w:r w:rsidRPr="00F1660D">
        <w:rPr>
          <w:lang w:val="fr-FR"/>
        </w:rPr>
        <w:t>15 par</w:t>
      </w:r>
      <w:r w:rsidR="00A50629" w:rsidRPr="00F1660D">
        <w:rPr>
          <w:lang w:val="fr-FR"/>
        </w:rPr>
        <w:t xml:space="preserve"> </w:t>
      </w:r>
      <w:r w:rsidR="0064434C" w:rsidRPr="00F1660D">
        <w:rPr>
          <w:lang w:val="fr-FR"/>
        </w:rPr>
        <w:t xml:space="preserve">Mme </w:t>
      </w:r>
      <w:proofErr w:type="spellStart"/>
      <w:r w:rsidR="0064434C" w:rsidRPr="00F1660D">
        <w:rPr>
          <w:lang w:val="fr-FR"/>
        </w:rPr>
        <w:t>Gertrud</w:t>
      </w:r>
      <w:proofErr w:type="spellEnd"/>
      <w:r w:rsidR="0064434C" w:rsidRPr="00F1660D">
        <w:rPr>
          <w:lang w:val="fr-FR"/>
        </w:rPr>
        <w:t xml:space="preserve"> </w:t>
      </w:r>
      <w:proofErr w:type="spellStart"/>
      <w:r w:rsidR="0064434C" w:rsidRPr="00F1660D">
        <w:rPr>
          <w:lang w:val="fr-FR"/>
        </w:rPr>
        <w:t>Sahler</w:t>
      </w:r>
      <w:proofErr w:type="spellEnd"/>
      <w:r w:rsidR="0064434C" w:rsidRPr="00F1660D">
        <w:rPr>
          <w:lang w:val="fr-FR"/>
        </w:rPr>
        <w:t xml:space="preserve"> (Allemagne), </w:t>
      </w:r>
      <w:r w:rsidRPr="00F1660D">
        <w:rPr>
          <w:lang w:val="fr-FR"/>
        </w:rPr>
        <w:t>Présidente de</w:t>
      </w:r>
      <w:r w:rsidR="00A50629" w:rsidRPr="00F1660D">
        <w:rPr>
          <w:lang w:val="fr-FR"/>
        </w:rPr>
        <w:t xml:space="preserve"> la </w:t>
      </w:r>
      <w:r w:rsidRPr="00F1660D">
        <w:rPr>
          <w:lang w:val="fr-FR"/>
        </w:rPr>
        <w:t>Conférence</w:t>
      </w:r>
      <w:r w:rsidR="0064434C" w:rsidRPr="00F1660D">
        <w:rPr>
          <w:lang w:val="fr-FR"/>
        </w:rPr>
        <w:t xml:space="preserve"> internationale sur la gestion des produits chimiques. </w:t>
      </w:r>
    </w:p>
    <w:p w14:paraId="521BA80C" w14:textId="56D211AA" w:rsidR="00B70207" w:rsidRPr="00F1660D" w:rsidRDefault="00B70207" w:rsidP="00733A1C">
      <w:pPr>
        <w:pStyle w:val="Normalnumber"/>
        <w:rPr>
          <w:lang w:val="fr-FR"/>
        </w:rPr>
      </w:pPr>
      <w:r w:rsidRPr="00F1660D">
        <w:rPr>
          <w:lang w:val="fr-FR"/>
        </w:rPr>
        <w:t>Des déclarations limina</w:t>
      </w:r>
      <w:r w:rsidR="00FC1EE7" w:rsidRPr="00F1660D">
        <w:rPr>
          <w:lang w:val="fr-FR"/>
        </w:rPr>
        <w:t>ires ont été prononcées par Mme </w:t>
      </w:r>
      <w:proofErr w:type="spellStart"/>
      <w:r w:rsidRPr="00F1660D">
        <w:rPr>
          <w:lang w:val="fr-FR"/>
        </w:rPr>
        <w:t>Eneida</w:t>
      </w:r>
      <w:proofErr w:type="spellEnd"/>
      <w:r w:rsidRPr="00F1660D">
        <w:rPr>
          <w:lang w:val="fr-FR"/>
        </w:rPr>
        <w:t xml:space="preserve"> de L</w:t>
      </w:r>
      <w:r w:rsidR="007D5015" w:rsidRPr="00F1660D">
        <w:rPr>
          <w:lang w:val="fr-FR"/>
        </w:rPr>
        <w:t>eó</w:t>
      </w:r>
      <w:r w:rsidRPr="00F1660D">
        <w:rPr>
          <w:lang w:val="fr-FR"/>
        </w:rPr>
        <w:t>n, Ministre uruguayenne du logement, de l</w:t>
      </w:r>
      <w:r w:rsidR="00CE30FD" w:rsidRPr="00F1660D">
        <w:rPr>
          <w:lang w:val="fr-FR"/>
        </w:rPr>
        <w:t>’</w:t>
      </w:r>
      <w:r w:rsidRPr="00F1660D">
        <w:rPr>
          <w:lang w:val="fr-FR"/>
        </w:rPr>
        <w:t>aménagement du territoire et de l</w:t>
      </w:r>
      <w:r w:rsidR="00CE30FD" w:rsidRPr="00F1660D">
        <w:rPr>
          <w:lang w:val="fr-FR"/>
        </w:rPr>
        <w:t>’</w:t>
      </w:r>
      <w:r w:rsidRPr="00F1660D">
        <w:rPr>
          <w:lang w:val="fr-FR"/>
        </w:rPr>
        <w:t xml:space="preserve">environnement; M. Jorge </w:t>
      </w:r>
      <w:proofErr w:type="spellStart"/>
      <w:r w:rsidRPr="00F1660D">
        <w:rPr>
          <w:lang w:val="fr-FR"/>
        </w:rPr>
        <w:t>Basso</w:t>
      </w:r>
      <w:proofErr w:type="spellEnd"/>
      <w:r w:rsidRPr="00F1660D">
        <w:rPr>
          <w:lang w:val="fr-FR"/>
        </w:rPr>
        <w:t>, Ministre uruguayen de</w:t>
      </w:r>
      <w:r w:rsidR="00A50629" w:rsidRPr="00F1660D">
        <w:rPr>
          <w:lang w:val="fr-FR"/>
        </w:rPr>
        <w:t xml:space="preserve"> la </w:t>
      </w:r>
      <w:r w:rsidRPr="00F1660D">
        <w:rPr>
          <w:lang w:val="fr-FR"/>
        </w:rPr>
        <w:t xml:space="preserve">santé publique ; M. Ariel </w:t>
      </w:r>
      <w:proofErr w:type="spellStart"/>
      <w:r w:rsidRPr="00F1660D">
        <w:rPr>
          <w:lang w:val="fr-FR"/>
        </w:rPr>
        <w:t>Bergamino</w:t>
      </w:r>
      <w:proofErr w:type="spellEnd"/>
      <w:r w:rsidRPr="00F1660D">
        <w:rPr>
          <w:lang w:val="fr-FR"/>
        </w:rPr>
        <w:t>, Vice-Ministre uruguayen</w:t>
      </w:r>
      <w:r w:rsidR="00A50629" w:rsidRPr="00F1660D">
        <w:rPr>
          <w:lang w:val="fr-FR"/>
        </w:rPr>
        <w:t xml:space="preserve"> des </w:t>
      </w:r>
      <w:r w:rsidRPr="00F1660D">
        <w:rPr>
          <w:lang w:val="fr-FR"/>
        </w:rPr>
        <w:t xml:space="preserve">affaires étrangères ; Mme </w:t>
      </w:r>
      <w:proofErr w:type="spellStart"/>
      <w:r w:rsidRPr="00F1660D">
        <w:rPr>
          <w:lang w:val="fr-FR"/>
        </w:rPr>
        <w:t>Sahler</w:t>
      </w:r>
      <w:proofErr w:type="spellEnd"/>
      <w:r w:rsidRPr="00F1660D">
        <w:rPr>
          <w:lang w:val="fr-FR"/>
        </w:rPr>
        <w:t xml:space="preserve">, </w:t>
      </w:r>
      <w:r w:rsidR="0064434C" w:rsidRPr="00F1660D">
        <w:rPr>
          <w:lang w:val="fr-FR"/>
        </w:rPr>
        <w:t>C</w:t>
      </w:r>
      <w:r w:rsidRPr="00F1660D">
        <w:rPr>
          <w:lang w:val="fr-FR"/>
        </w:rPr>
        <w:t>hef</w:t>
      </w:r>
      <w:r w:rsidR="0064434C" w:rsidRPr="00F1660D">
        <w:rPr>
          <w:lang w:val="fr-FR"/>
        </w:rPr>
        <w:t>fe</w:t>
      </w:r>
      <w:r w:rsidRPr="00F1660D">
        <w:rPr>
          <w:lang w:val="fr-FR"/>
        </w:rPr>
        <w:t xml:space="preserve"> de</w:t>
      </w:r>
      <w:r w:rsidR="00A50629" w:rsidRPr="00F1660D">
        <w:rPr>
          <w:lang w:val="fr-FR"/>
        </w:rPr>
        <w:t xml:space="preserve"> la </w:t>
      </w:r>
      <w:r w:rsidRPr="00F1660D">
        <w:rPr>
          <w:lang w:val="fr-FR"/>
        </w:rPr>
        <w:t>Direction générale de l</w:t>
      </w:r>
      <w:r w:rsidR="00CE30FD" w:rsidRPr="00F1660D">
        <w:rPr>
          <w:lang w:val="fr-FR"/>
        </w:rPr>
        <w:t>’</w:t>
      </w:r>
      <w:r w:rsidRPr="00F1660D">
        <w:rPr>
          <w:lang w:val="fr-FR"/>
        </w:rPr>
        <w:t>environnement et de</w:t>
      </w:r>
      <w:r w:rsidR="00A50629" w:rsidRPr="00F1660D">
        <w:rPr>
          <w:lang w:val="fr-FR"/>
        </w:rPr>
        <w:t xml:space="preserve"> la </w:t>
      </w:r>
      <w:r w:rsidRPr="00F1660D">
        <w:rPr>
          <w:lang w:val="fr-FR"/>
        </w:rPr>
        <w:t>santé, du contrôle</w:t>
      </w:r>
      <w:r w:rsidR="00A50629" w:rsidRPr="00F1660D">
        <w:rPr>
          <w:lang w:val="fr-FR"/>
        </w:rPr>
        <w:t xml:space="preserve"> des </w:t>
      </w:r>
      <w:r w:rsidRPr="00F1660D">
        <w:rPr>
          <w:lang w:val="fr-FR"/>
        </w:rPr>
        <w:t>émissions, de</w:t>
      </w:r>
      <w:r w:rsidR="00A50629" w:rsidRPr="00F1660D">
        <w:rPr>
          <w:lang w:val="fr-FR"/>
        </w:rPr>
        <w:t xml:space="preserve"> la </w:t>
      </w:r>
      <w:r w:rsidRPr="00F1660D">
        <w:rPr>
          <w:lang w:val="fr-FR"/>
        </w:rPr>
        <w:t>sûreté</w:t>
      </w:r>
      <w:r w:rsidR="00A50629" w:rsidRPr="00F1660D">
        <w:rPr>
          <w:lang w:val="fr-FR"/>
        </w:rPr>
        <w:t xml:space="preserve"> des </w:t>
      </w:r>
      <w:r w:rsidRPr="00F1660D">
        <w:rPr>
          <w:lang w:val="fr-FR"/>
        </w:rPr>
        <w:t>installations,</w:t>
      </w:r>
      <w:r w:rsidR="00A50629" w:rsidRPr="00F1660D">
        <w:rPr>
          <w:lang w:val="fr-FR"/>
        </w:rPr>
        <w:t xml:space="preserve"> des </w:t>
      </w:r>
      <w:r w:rsidRPr="00F1660D">
        <w:rPr>
          <w:lang w:val="fr-FR"/>
        </w:rPr>
        <w:t>transports et de</w:t>
      </w:r>
      <w:r w:rsidR="00A50629" w:rsidRPr="00F1660D">
        <w:rPr>
          <w:lang w:val="fr-FR"/>
        </w:rPr>
        <w:t xml:space="preserve"> la </w:t>
      </w:r>
      <w:r w:rsidRPr="00F1660D">
        <w:rPr>
          <w:lang w:val="fr-FR"/>
        </w:rPr>
        <w:t>sécurité chimique</w:t>
      </w:r>
      <w:r w:rsidR="00A50629" w:rsidRPr="00F1660D">
        <w:rPr>
          <w:lang w:val="fr-FR"/>
        </w:rPr>
        <w:t xml:space="preserve"> au </w:t>
      </w:r>
      <w:r w:rsidRPr="00F1660D">
        <w:rPr>
          <w:lang w:val="fr-FR"/>
        </w:rPr>
        <w:t xml:space="preserve">Ministère fédéral </w:t>
      </w:r>
      <w:r w:rsidR="0064434C" w:rsidRPr="00F1660D">
        <w:rPr>
          <w:lang w:val="fr-FR"/>
        </w:rPr>
        <w:t xml:space="preserve">allemand </w:t>
      </w:r>
      <w:r w:rsidRPr="00F1660D">
        <w:rPr>
          <w:lang w:val="fr-FR"/>
        </w:rPr>
        <w:t>de l</w:t>
      </w:r>
      <w:r w:rsidR="00CE30FD" w:rsidRPr="00F1660D">
        <w:rPr>
          <w:lang w:val="fr-FR"/>
        </w:rPr>
        <w:t>’</w:t>
      </w:r>
      <w:r w:rsidRPr="00F1660D">
        <w:rPr>
          <w:lang w:val="fr-FR"/>
        </w:rPr>
        <w:t>environnement, de</w:t>
      </w:r>
      <w:r w:rsidR="00A50629" w:rsidRPr="00F1660D">
        <w:rPr>
          <w:lang w:val="fr-FR"/>
        </w:rPr>
        <w:t xml:space="preserve"> la </w:t>
      </w:r>
      <w:r w:rsidR="0064434C" w:rsidRPr="00F1660D">
        <w:rPr>
          <w:lang w:val="fr-FR"/>
        </w:rPr>
        <w:t xml:space="preserve">protection de la nature et de la </w:t>
      </w:r>
      <w:r w:rsidRPr="00F1660D">
        <w:rPr>
          <w:lang w:val="fr-FR"/>
        </w:rPr>
        <w:t>sécurité nucléaire</w:t>
      </w:r>
      <w:r w:rsidR="00101BB8" w:rsidRPr="00F1660D">
        <w:rPr>
          <w:lang w:val="fr-FR"/>
        </w:rPr>
        <w:t> ;</w:t>
      </w:r>
      <w:r w:rsidRPr="00F1660D">
        <w:rPr>
          <w:lang w:val="fr-FR"/>
        </w:rPr>
        <w:t xml:space="preserve"> M. </w:t>
      </w:r>
      <w:proofErr w:type="spellStart"/>
      <w:r w:rsidRPr="00F1660D">
        <w:rPr>
          <w:lang w:val="fr-FR"/>
        </w:rPr>
        <w:t>Laurentiu</w:t>
      </w:r>
      <w:proofErr w:type="spellEnd"/>
      <w:r w:rsidRPr="00F1660D">
        <w:rPr>
          <w:lang w:val="fr-FR"/>
        </w:rPr>
        <w:t xml:space="preserve"> Adrian </w:t>
      </w:r>
      <w:proofErr w:type="spellStart"/>
      <w:r w:rsidRPr="00F1660D">
        <w:rPr>
          <w:lang w:val="fr-FR"/>
        </w:rPr>
        <w:t>Neculaescu</w:t>
      </w:r>
      <w:proofErr w:type="spellEnd"/>
      <w:r w:rsidRPr="00F1660D">
        <w:rPr>
          <w:lang w:val="fr-FR"/>
        </w:rPr>
        <w:t>, Secrétaire d</w:t>
      </w:r>
      <w:r w:rsidR="00CE30FD" w:rsidRPr="00F1660D">
        <w:rPr>
          <w:lang w:val="fr-FR"/>
        </w:rPr>
        <w:t>’</w:t>
      </w:r>
      <w:r w:rsidRPr="00F1660D">
        <w:rPr>
          <w:lang w:val="fr-FR"/>
        </w:rPr>
        <w:t>État</w:t>
      </w:r>
      <w:r w:rsidR="00A50629" w:rsidRPr="00F1660D">
        <w:rPr>
          <w:lang w:val="fr-FR"/>
        </w:rPr>
        <w:t xml:space="preserve"> au </w:t>
      </w:r>
      <w:r w:rsidRPr="00F1660D">
        <w:rPr>
          <w:lang w:val="fr-FR"/>
        </w:rPr>
        <w:t xml:space="preserve">Ministère </w:t>
      </w:r>
      <w:r w:rsidR="0064434C" w:rsidRPr="00F1660D">
        <w:rPr>
          <w:lang w:val="fr-FR"/>
        </w:rPr>
        <w:t>rou</w:t>
      </w:r>
      <w:r w:rsidR="00B84E56" w:rsidRPr="00F1660D">
        <w:rPr>
          <w:lang w:val="fr-FR"/>
        </w:rPr>
        <w:t xml:space="preserve">main </w:t>
      </w:r>
      <w:r w:rsidRPr="00F1660D">
        <w:rPr>
          <w:lang w:val="fr-FR"/>
        </w:rPr>
        <w:t>de l</w:t>
      </w:r>
      <w:r w:rsidR="00CE30FD" w:rsidRPr="00F1660D">
        <w:rPr>
          <w:lang w:val="fr-FR"/>
        </w:rPr>
        <w:t>’</w:t>
      </w:r>
      <w:r w:rsidRPr="00F1660D">
        <w:rPr>
          <w:lang w:val="fr-FR"/>
        </w:rPr>
        <w:t>environnement</w:t>
      </w:r>
      <w:r w:rsidR="00101BB8" w:rsidRPr="00F1660D">
        <w:rPr>
          <w:lang w:val="fr-FR"/>
        </w:rPr>
        <w:t> ;</w:t>
      </w:r>
      <w:r w:rsidRPr="00F1660D">
        <w:rPr>
          <w:lang w:val="fr-FR"/>
        </w:rPr>
        <w:t xml:space="preserve"> M. Tim </w:t>
      </w:r>
      <w:proofErr w:type="spellStart"/>
      <w:r w:rsidRPr="00F1660D">
        <w:rPr>
          <w:lang w:val="fr-FR"/>
        </w:rPr>
        <w:t>Kasten</w:t>
      </w:r>
      <w:proofErr w:type="spellEnd"/>
      <w:r w:rsidRPr="00F1660D">
        <w:rPr>
          <w:lang w:val="fr-FR"/>
        </w:rPr>
        <w:t>, Directeur adjoint de</w:t>
      </w:r>
      <w:r w:rsidR="00A50629" w:rsidRPr="00F1660D">
        <w:rPr>
          <w:lang w:val="fr-FR"/>
        </w:rPr>
        <w:t xml:space="preserve"> la </w:t>
      </w:r>
      <w:r w:rsidRPr="00F1660D">
        <w:rPr>
          <w:lang w:val="fr-FR"/>
        </w:rPr>
        <w:t>Division de l</w:t>
      </w:r>
      <w:r w:rsidR="00CE30FD" w:rsidRPr="00F1660D">
        <w:rPr>
          <w:lang w:val="fr-FR"/>
        </w:rPr>
        <w:t>’</w:t>
      </w:r>
      <w:r w:rsidRPr="00F1660D">
        <w:rPr>
          <w:lang w:val="fr-FR"/>
        </w:rPr>
        <w:t>économie</w:t>
      </w:r>
      <w:r w:rsidR="00A50629" w:rsidRPr="00F1660D">
        <w:rPr>
          <w:lang w:val="fr-FR"/>
        </w:rPr>
        <w:t xml:space="preserve"> au </w:t>
      </w:r>
      <w:r w:rsidRPr="00F1660D">
        <w:rPr>
          <w:lang w:val="fr-FR"/>
        </w:rPr>
        <w:t>Programme</w:t>
      </w:r>
      <w:r w:rsidR="00A50629" w:rsidRPr="00F1660D">
        <w:rPr>
          <w:lang w:val="fr-FR"/>
        </w:rPr>
        <w:t xml:space="preserve"> des </w:t>
      </w:r>
      <w:r w:rsidR="002C67A2" w:rsidRPr="00F1660D">
        <w:rPr>
          <w:lang w:val="fr-FR"/>
        </w:rPr>
        <w:t>Nations Unies</w:t>
      </w:r>
      <w:r w:rsidRPr="00F1660D">
        <w:rPr>
          <w:lang w:val="fr-FR"/>
        </w:rPr>
        <w:t xml:space="preserve"> pour</w:t>
      </w:r>
      <w:r w:rsidR="003C0B0A" w:rsidRPr="00F1660D">
        <w:rPr>
          <w:lang w:val="fr-FR"/>
        </w:rPr>
        <w:t> </w:t>
      </w:r>
      <w:r w:rsidRPr="00F1660D">
        <w:rPr>
          <w:lang w:val="fr-FR"/>
        </w:rPr>
        <w:t>l</w:t>
      </w:r>
      <w:r w:rsidR="00CE30FD" w:rsidRPr="00F1660D">
        <w:rPr>
          <w:lang w:val="fr-FR"/>
        </w:rPr>
        <w:t>’</w:t>
      </w:r>
      <w:r w:rsidRPr="00F1660D">
        <w:rPr>
          <w:lang w:val="fr-FR"/>
        </w:rPr>
        <w:t>environnement (PNUE).</w:t>
      </w:r>
    </w:p>
    <w:p w14:paraId="0A0AAE34" w14:textId="09CE52A7" w:rsidR="00B70207" w:rsidRPr="00F1660D" w:rsidRDefault="00FC1EE7" w:rsidP="00733A1C">
      <w:pPr>
        <w:pStyle w:val="Normalnumber"/>
        <w:rPr>
          <w:rFonts w:eastAsia="DengXian"/>
          <w:lang w:val="fr-FR"/>
        </w:rPr>
      </w:pPr>
      <w:r w:rsidRPr="00F1660D">
        <w:rPr>
          <w:lang w:val="fr-FR"/>
        </w:rPr>
        <w:t>Dans sa déclaration, Mme de </w:t>
      </w:r>
      <w:r w:rsidR="00B70207" w:rsidRPr="00F1660D">
        <w:rPr>
          <w:lang w:val="fr-FR"/>
        </w:rPr>
        <w:t>L</w:t>
      </w:r>
      <w:r w:rsidR="007D5015" w:rsidRPr="00F1660D">
        <w:rPr>
          <w:lang w:val="fr-FR"/>
        </w:rPr>
        <w:t>eó</w:t>
      </w:r>
      <w:r w:rsidR="00B70207" w:rsidRPr="00F1660D">
        <w:rPr>
          <w:lang w:val="fr-FR"/>
        </w:rPr>
        <w:t xml:space="preserve">n a </w:t>
      </w:r>
      <w:r w:rsidR="00B84E56" w:rsidRPr="00F1660D">
        <w:rPr>
          <w:lang w:val="fr-FR"/>
        </w:rPr>
        <w:t xml:space="preserve">rappelé </w:t>
      </w:r>
      <w:r w:rsidR="00A50629" w:rsidRPr="00F1660D">
        <w:rPr>
          <w:lang w:val="fr-FR"/>
        </w:rPr>
        <w:t>les </w:t>
      </w:r>
      <w:r w:rsidR="00B70207" w:rsidRPr="00F1660D">
        <w:rPr>
          <w:lang w:val="fr-FR"/>
        </w:rPr>
        <w:t>engagements pris par l</w:t>
      </w:r>
      <w:r w:rsidR="00CE30FD" w:rsidRPr="00F1660D">
        <w:rPr>
          <w:lang w:val="fr-FR"/>
        </w:rPr>
        <w:t>’</w:t>
      </w:r>
      <w:r w:rsidR="00B70207" w:rsidRPr="00F1660D">
        <w:rPr>
          <w:lang w:val="fr-FR"/>
        </w:rPr>
        <w:t xml:space="preserve">Uruguay </w:t>
      </w:r>
      <w:r w:rsidR="00F11256" w:rsidRPr="00F1660D">
        <w:rPr>
          <w:lang w:val="fr-FR"/>
        </w:rPr>
        <w:t xml:space="preserve">et </w:t>
      </w:r>
      <w:r w:rsidR="00B84E56" w:rsidRPr="00F1660D">
        <w:rPr>
          <w:lang w:val="fr-FR"/>
        </w:rPr>
        <w:t xml:space="preserve">les efforts soutenus que déployait son pays afin de faire avancer le programme international </w:t>
      </w:r>
      <w:r w:rsidR="00B70207" w:rsidRPr="00F1660D">
        <w:rPr>
          <w:lang w:val="fr-FR"/>
        </w:rPr>
        <w:t>en matière de sécurité chimique et</w:t>
      </w:r>
      <w:r w:rsidR="00A50629" w:rsidRPr="00F1660D">
        <w:rPr>
          <w:lang w:val="fr-FR"/>
        </w:rPr>
        <w:t xml:space="preserve"> </w:t>
      </w:r>
      <w:r w:rsidR="00B84E56" w:rsidRPr="00F1660D">
        <w:rPr>
          <w:lang w:val="fr-FR"/>
        </w:rPr>
        <w:t>de</w:t>
      </w:r>
      <w:r w:rsidR="00A50629" w:rsidRPr="00F1660D">
        <w:rPr>
          <w:lang w:val="fr-FR"/>
        </w:rPr>
        <w:t> </w:t>
      </w:r>
      <w:r w:rsidR="00B70207" w:rsidRPr="00F1660D">
        <w:rPr>
          <w:lang w:val="fr-FR"/>
        </w:rPr>
        <w:t>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 xml:space="preserve">déchets aux niveaux national, régional et international, soulignant que, comme il </w:t>
      </w:r>
      <w:r w:rsidR="00B84E56" w:rsidRPr="00F1660D">
        <w:rPr>
          <w:lang w:val="fr-FR"/>
        </w:rPr>
        <w:t xml:space="preserve">était </w:t>
      </w:r>
      <w:r w:rsidR="00B70207" w:rsidRPr="00F1660D">
        <w:rPr>
          <w:lang w:val="fr-FR"/>
        </w:rPr>
        <w:t>tributaire de</w:t>
      </w:r>
      <w:r w:rsidR="00A50629" w:rsidRPr="00F1660D">
        <w:rPr>
          <w:lang w:val="fr-FR"/>
        </w:rPr>
        <w:t xml:space="preserve"> la </w:t>
      </w:r>
      <w:r w:rsidR="00B70207" w:rsidRPr="00F1660D">
        <w:rPr>
          <w:lang w:val="fr-FR"/>
        </w:rPr>
        <w:t>pêche et de l</w:t>
      </w:r>
      <w:r w:rsidR="00CE30FD" w:rsidRPr="00F1660D">
        <w:rPr>
          <w:lang w:val="fr-FR"/>
        </w:rPr>
        <w:t>’</w:t>
      </w:r>
      <w:r w:rsidR="00B70207" w:rsidRPr="00F1660D">
        <w:rPr>
          <w:lang w:val="fr-FR"/>
        </w:rPr>
        <w:t xml:space="preserve">agriculture, </w:t>
      </w:r>
      <w:r w:rsidR="00B84E56" w:rsidRPr="00F1660D">
        <w:rPr>
          <w:lang w:val="fr-FR"/>
        </w:rPr>
        <w:t xml:space="preserve">l’Uruguay était confronté à une utilisation accrue </w:t>
      </w:r>
      <w:r w:rsidR="00B70207" w:rsidRPr="00F1660D">
        <w:rPr>
          <w:lang w:val="fr-FR"/>
        </w:rPr>
        <w:t>de produits agrochimiques, raison pour laquelle il fallait</w:t>
      </w:r>
      <w:r w:rsidR="00A50629" w:rsidRPr="00F1660D">
        <w:rPr>
          <w:lang w:val="fr-FR"/>
        </w:rPr>
        <w:t xml:space="preserve"> y </w:t>
      </w:r>
      <w:r w:rsidR="00B70207" w:rsidRPr="00F1660D">
        <w:rPr>
          <w:lang w:val="fr-FR"/>
        </w:rPr>
        <w:t>renforcer</w:t>
      </w:r>
      <w:r w:rsidR="00A50629" w:rsidRPr="00F1660D">
        <w:rPr>
          <w:lang w:val="fr-FR"/>
        </w:rPr>
        <w:t xml:space="preserve"> les </w:t>
      </w:r>
      <w:r w:rsidR="00B70207" w:rsidRPr="00F1660D">
        <w:rPr>
          <w:lang w:val="fr-FR"/>
        </w:rPr>
        <w:t>mesures de protection de</w:t>
      </w:r>
      <w:r w:rsidR="00A50629" w:rsidRPr="00F1660D">
        <w:rPr>
          <w:lang w:val="fr-FR"/>
        </w:rPr>
        <w:t xml:space="preserve"> la </w:t>
      </w:r>
      <w:r w:rsidR="00B70207" w:rsidRPr="00F1660D">
        <w:rPr>
          <w:lang w:val="fr-FR"/>
        </w:rPr>
        <w:t>biodiversité et de</w:t>
      </w:r>
      <w:r w:rsidR="00A50629" w:rsidRPr="00F1660D">
        <w:rPr>
          <w:lang w:val="fr-FR"/>
        </w:rPr>
        <w:t xml:space="preserve"> la </w:t>
      </w:r>
      <w:r w:rsidR="00B70207" w:rsidRPr="00F1660D">
        <w:rPr>
          <w:lang w:val="fr-FR"/>
        </w:rPr>
        <w:t>santé</w:t>
      </w:r>
      <w:r w:rsidR="00A50629" w:rsidRPr="00F1660D">
        <w:rPr>
          <w:lang w:val="fr-FR"/>
        </w:rPr>
        <w:t xml:space="preserve"> des </w:t>
      </w:r>
      <w:r w:rsidR="00B70207" w:rsidRPr="00F1660D">
        <w:rPr>
          <w:lang w:val="fr-FR"/>
        </w:rPr>
        <w:t>êtres humains et</w:t>
      </w:r>
      <w:r w:rsidR="00A50629" w:rsidRPr="00F1660D">
        <w:rPr>
          <w:lang w:val="fr-FR"/>
        </w:rPr>
        <w:t xml:space="preserve"> des </w:t>
      </w:r>
      <w:r w:rsidR="00B70207" w:rsidRPr="00F1660D">
        <w:rPr>
          <w:lang w:val="fr-FR"/>
        </w:rPr>
        <w:t>écosystèmes. L</w:t>
      </w:r>
      <w:r w:rsidR="00CE30FD" w:rsidRPr="00F1660D">
        <w:rPr>
          <w:lang w:val="fr-FR"/>
        </w:rPr>
        <w:t>’</w:t>
      </w:r>
      <w:r w:rsidR="002A5D56" w:rsidRPr="00F1660D">
        <w:rPr>
          <w:lang w:val="fr-FR"/>
        </w:rPr>
        <w:t>Approche stratégique de</w:t>
      </w:r>
      <w:r w:rsidR="00A50629" w:rsidRPr="00F1660D">
        <w:rPr>
          <w:lang w:val="fr-FR"/>
        </w:rPr>
        <w:t xml:space="preserve"> la </w:t>
      </w:r>
      <w:r w:rsidR="002A5D56" w:rsidRPr="00F1660D">
        <w:rPr>
          <w:lang w:val="fr-FR"/>
        </w:rPr>
        <w:t>gestion internationale</w:t>
      </w:r>
      <w:r w:rsidR="00A50629" w:rsidRPr="00F1660D">
        <w:rPr>
          <w:lang w:val="fr-FR"/>
        </w:rPr>
        <w:t xml:space="preserve"> des </w:t>
      </w:r>
      <w:r w:rsidR="002A5D56" w:rsidRPr="00F1660D">
        <w:rPr>
          <w:lang w:val="fr-FR"/>
        </w:rPr>
        <w:t xml:space="preserve">produits chimiques </w:t>
      </w:r>
      <w:r w:rsidR="00B70207" w:rsidRPr="00F1660D">
        <w:rPr>
          <w:lang w:val="fr-FR"/>
        </w:rPr>
        <w:t xml:space="preserve">avait </w:t>
      </w:r>
      <w:r w:rsidR="00B84E56" w:rsidRPr="00F1660D">
        <w:rPr>
          <w:lang w:val="fr-FR"/>
        </w:rPr>
        <w:t xml:space="preserve">fourni un cadre pour la </w:t>
      </w:r>
      <w:r w:rsidR="00BE4BE0" w:rsidRPr="00F1660D">
        <w:rPr>
          <w:lang w:val="fr-FR"/>
        </w:rPr>
        <w:t>participation</w:t>
      </w:r>
      <w:r w:rsidR="00B70207" w:rsidRPr="00F1660D">
        <w:rPr>
          <w:lang w:val="fr-FR"/>
        </w:rPr>
        <w:t xml:space="preserve"> de tous</w:t>
      </w:r>
      <w:r w:rsidR="00A50629" w:rsidRPr="00F1660D">
        <w:rPr>
          <w:lang w:val="fr-FR"/>
        </w:rPr>
        <w:t xml:space="preserve"> les </w:t>
      </w:r>
      <w:r w:rsidR="00B70207" w:rsidRPr="00F1660D">
        <w:rPr>
          <w:lang w:val="fr-FR"/>
        </w:rPr>
        <w:t xml:space="preserve">secteurs et parties prenantes concernés et </w:t>
      </w:r>
      <w:r w:rsidR="00B84E56" w:rsidRPr="00F1660D">
        <w:rPr>
          <w:lang w:val="fr-FR"/>
        </w:rPr>
        <w:t xml:space="preserve">avait permis de </w:t>
      </w:r>
      <w:r w:rsidR="00B70207" w:rsidRPr="00F1660D">
        <w:rPr>
          <w:lang w:val="fr-FR"/>
        </w:rPr>
        <w:t>faire</w:t>
      </w:r>
      <w:r w:rsidR="00A50629" w:rsidRPr="00F1660D">
        <w:rPr>
          <w:lang w:val="fr-FR"/>
        </w:rPr>
        <w:t xml:space="preserve"> des </w:t>
      </w:r>
      <w:r w:rsidR="00B70207" w:rsidRPr="00F1660D">
        <w:rPr>
          <w:lang w:val="fr-FR"/>
        </w:rPr>
        <w:t xml:space="preserve">progrès considérables </w:t>
      </w:r>
      <w:r w:rsidR="00B84E56" w:rsidRPr="00F1660D">
        <w:rPr>
          <w:lang w:val="fr-FR"/>
        </w:rPr>
        <w:t xml:space="preserve">en vue d’atteindre l’objectif d’une </w:t>
      </w:r>
      <w:r w:rsidR="00B70207" w:rsidRPr="00F1660D">
        <w:rPr>
          <w:lang w:val="fr-FR"/>
        </w:rPr>
        <w:t>gestion rationnelle</w:t>
      </w:r>
      <w:r w:rsidR="00A50629" w:rsidRPr="00F1660D">
        <w:rPr>
          <w:lang w:val="fr-FR"/>
        </w:rPr>
        <w:t xml:space="preserve"> des </w:t>
      </w:r>
      <w:r w:rsidR="00B70207" w:rsidRPr="00F1660D">
        <w:rPr>
          <w:lang w:val="fr-FR"/>
        </w:rPr>
        <w:t>produits chimiques d</w:t>
      </w:r>
      <w:r w:rsidR="00CE30FD" w:rsidRPr="00F1660D">
        <w:rPr>
          <w:lang w:val="fr-FR"/>
        </w:rPr>
        <w:t>’</w:t>
      </w:r>
      <w:r w:rsidR="00B70207" w:rsidRPr="00F1660D">
        <w:rPr>
          <w:lang w:val="fr-FR"/>
        </w:rPr>
        <w:t>ici à 2020, m</w:t>
      </w:r>
      <w:r w:rsidR="00B84E56" w:rsidRPr="00F1660D">
        <w:rPr>
          <w:lang w:val="fr-FR"/>
        </w:rPr>
        <w:t xml:space="preserve">ais </w:t>
      </w:r>
      <w:r w:rsidR="00B70207" w:rsidRPr="00F1660D">
        <w:rPr>
          <w:lang w:val="fr-FR"/>
        </w:rPr>
        <w:t xml:space="preserve">beaucoup </w:t>
      </w:r>
      <w:r w:rsidR="00B84E56" w:rsidRPr="00F1660D">
        <w:rPr>
          <w:lang w:val="fr-FR"/>
        </w:rPr>
        <w:t xml:space="preserve">restait </w:t>
      </w:r>
      <w:r w:rsidR="00B70207" w:rsidRPr="00F1660D">
        <w:rPr>
          <w:lang w:val="fr-FR"/>
        </w:rPr>
        <w:t>à faire</w:t>
      </w:r>
      <w:r w:rsidR="00B84E56" w:rsidRPr="00F1660D">
        <w:rPr>
          <w:lang w:val="fr-FR"/>
        </w:rPr>
        <w:t xml:space="preserve">, et la croissance mondiale de la production </w:t>
      </w:r>
      <w:r w:rsidR="00B70207" w:rsidRPr="00F1660D">
        <w:rPr>
          <w:lang w:val="fr-FR"/>
        </w:rPr>
        <w:t>chimique posait de</w:t>
      </w:r>
      <w:r w:rsidR="00D50259" w:rsidRPr="00F1660D">
        <w:rPr>
          <w:lang w:val="fr-FR"/>
        </w:rPr>
        <w:t> </w:t>
      </w:r>
      <w:r w:rsidR="00B70207" w:rsidRPr="00F1660D">
        <w:rPr>
          <w:lang w:val="fr-FR"/>
        </w:rPr>
        <w:t xml:space="preserve">nouveaux défis </w:t>
      </w:r>
      <w:r w:rsidR="00B84E56" w:rsidRPr="00F1660D">
        <w:rPr>
          <w:lang w:val="fr-FR"/>
        </w:rPr>
        <w:t xml:space="preserve">pour la </w:t>
      </w:r>
      <w:r w:rsidR="00B70207" w:rsidRPr="00F1660D">
        <w:rPr>
          <w:lang w:val="fr-FR"/>
        </w:rPr>
        <w:t xml:space="preserve">gestion rationnelle </w:t>
      </w:r>
      <w:r w:rsidR="00B84E56" w:rsidRPr="00F1660D">
        <w:rPr>
          <w:lang w:val="fr-FR"/>
        </w:rPr>
        <w:t>des produits chimiques et l’é</w:t>
      </w:r>
      <w:r w:rsidR="00B70207" w:rsidRPr="00F1660D">
        <w:rPr>
          <w:lang w:val="fr-FR"/>
        </w:rPr>
        <w:t>valuation</w:t>
      </w:r>
      <w:r w:rsidR="00A50629" w:rsidRPr="00F1660D">
        <w:rPr>
          <w:lang w:val="fr-FR"/>
        </w:rPr>
        <w:t xml:space="preserve"> des </w:t>
      </w:r>
      <w:r w:rsidR="00B70207" w:rsidRPr="00F1660D">
        <w:rPr>
          <w:lang w:val="fr-FR"/>
        </w:rPr>
        <w:t>risques qu</w:t>
      </w:r>
      <w:r w:rsidR="00B84E56" w:rsidRPr="00F1660D">
        <w:rPr>
          <w:lang w:val="fr-FR"/>
        </w:rPr>
        <w:t>i y étaient associés</w:t>
      </w:r>
      <w:r w:rsidR="00B70207" w:rsidRPr="00F1660D">
        <w:rPr>
          <w:lang w:val="fr-FR"/>
        </w:rPr>
        <w:t>, en</w:t>
      </w:r>
      <w:r w:rsidR="00D50259" w:rsidRPr="00F1660D">
        <w:rPr>
          <w:lang w:val="fr-FR"/>
        </w:rPr>
        <w:t> </w:t>
      </w:r>
      <w:r w:rsidR="00B70207" w:rsidRPr="00F1660D">
        <w:rPr>
          <w:lang w:val="fr-FR"/>
        </w:rPr>
        <w:t>particulier dans</w:t>
      </w:r>
      <w:r w:rsidR="00A50629" w:rsidRPr="00F1660D">
        <w:rPr>
          <w:lang w:val="fr-FR"/>
        </w:rPr>
        <w:t xml:space="preserve"> les </w:t>
      </w:r>
      <w:r w:rsidR="00B70207" w:rsidRPr="00F1660D">
        <w:rPr>
          <w:lang w:val="fr-FR"/>
        </w:rPr>
        <w:t xml:space="preserve">pays en développement. </w:t>
      </w:r>
      <w:r w:rsidR="007C2A88" w:rsidRPr="00F1660D">
        <w:rPr>
          <w:lang w:val="fr-FR"/>
        </w:rPr>
        <w:t>La</w:t>
      </w:r>
      <w:r w:rsidR="00B84E56" w:rsidRPr="00F1660D">
        <w:rPr>
          <w:lang w:val="fr-FR"/>
        </w:rPr>
        <w:t xml:space="preserve"> </w:t>
      </w:r>
      <w:r w:rsidR="00B70207" w:rsidRPr="00F1660D">
        <w:rPr>
          <w:lang w:val="fr-FR"/>
        </w:rPr>
        <w:t xml:space="preserve">coopération </w:t>
      </w:r>
      <w:r w:rsidR="00B70207" w:rsidRPr="00F1660D">
        <w:rPr>
          <w:lang w:val="fr-FR"/>
        </w:rPr>
        <w:lastRenderedPageBreak/>
        <w:t xml:space="preserve">internationale était </w:t>
      </w:r>
      <w:r w:rsidR="007C2A88" w:rsidRPr="00F1660D">
        <w:rPr>
          <w:lang w:val="fr-FR"/>
        </w:rPr>
        <w:t xml:space="preserve">essentielle </w:t>
      </w:r>
      <w:r w:rsidR="008F37E2" w:rsidRPr="00F1660D">
        <w:rPr>
          <w:lang w:val="fr-FR"/>
        </w:rPr>
        <w:t>p</w:t>
      </w:r>
      <w:r w:rsidR="00B70207" w:rsidRPr="00F1660D">
        <w:rPr>
          <w:lang w:val="fr-FR"/>
        </w:rPr>
        <w:t>our faire fond sur</w:t>
      </w:r>
      <w:r w:rsidR="00A50629" w:rsidRPr="00F1660D">
        <w:rPr>
          <w:lang w:val="fr-FR"/>
        </w:rPr>
        <w:t xml:space="preserve"> les </w:t>
      </w:r>
      <w:r w:rsidR="00B70207" w:rsidRPr="00F1660D">
        <w:rPr>
          <w:lang w:val="fr-FR"/>
        </w:rPr>
        <w:t>progrès réalisés et pour combler</w:t>
      </w:r>
      <w:r w:rsidR="00A50629" w:rsidRPr="00F1660D">
        <w:rPr>
          <w:lang w:val="fr-FR"/>
        </w:rPr>
        <w:t xml:space="preserve"> le </w:t>
      </w:r>
      <w:r w:rsidR="00B70207" w:rsidRPr="00F1660D">
        <w:rPr>
          <w:lang w:val="fr-FR"/>
        </w:rPr>
        <w:t xml:space="preserve">manque </w:t>
      </w:r>
      <w:r w:rsidR="007C2A88" w:rsidRPr="00F1660D">
        <w:rPr>
          <w:lang w:val="fr-FR"/>
        </w:rPr>
        <w:t xml:space="preserve">actuel </w:t>
      </w:r>
      <w:r w:rsidR="00B70207" w:rsidRPr="00F1660D">
        <w:rPr>
          <w:lang w:val="fr-FR"/>
        </w:rPr>
        <w:t xml:space="preserve">de données. La réunion </w:t>
      </w:r>
      <w:r w:rsidR="007C2A88" w:rsidRPr="00F1660D">
        <w:rPr>
          <w:lang w:val="fr-FR"/>
        </w:rPr>
        <w:t xml:space="preserve">en cours offrait </w:t>
      </w:r>
      <w:r w:rsidR="00B70207" w:rsidRPr="00F1660D">
        <w:rPr>
          <w:lang w:val="fr-FR"/>
        </w:rPr>
        <w:t>l</w:t>
      </w:r>
      <w:r w:rsidR="00CE30FD" w:rsidRPr="00F1660D">
        <w:rPr>
          <w:lang w:val="fr-FR"/>
        </w:rPr>
        <w:t>’</w:t>
      </w:r>
      <w:r w:rsidR="00B70207" w:rsidRPr="00F1660D">
        <w:rPr>
          <w:lang w:val="fr-FR"/>
        </w:rPr>
        <w:t>occasion de continuer à renforcer</w:t>
      </w:r>
      <w:r w:rsidR="00A50629" w:rsidRPr="00F1660D">
        <w:rPr>
          <w:lang w:val="fr-FR"/>
        </w:rPr>
        <w:t xml:space="preserve"> la </w:t>
      </w:r>
      <w:r w:rsidR="00B70207" w:rsidRPr="00F1660D">
        <w:rPr>
          <w:lang w:val="fr-FR"/>
        </w:rPr>
        <w:t>visibilité et à souligner l</w:t>
      </w:r>
      <w:r w:rsidR="00CE30FD" w:rsidRPr="00F1660D">
        <w:rPr>
          <w:lang w:val="fr-FR"/>
        </w:rPr>
        <w:t>’</w:t>
      </w:r>
      <w:r w:rsidR="00B70207" w:rsidRPr="00F1660D">
        <w:rPr>
          <w:lang w:val="fr-FR"/>
        </w:rPr>
        <w:t>importance de</w:t>
      </w:r>
      <w:r w:rsidR="00A50629" w:rsidRPr="00F1660D">
        <w:rPr>
          <w:lang w:val="fr-FR"/>
        </w:rPr>
        <w:t xml:space="preserve"> la </w:t>
      </w:r>
      <w:r w:rsidR="00B70207" w:rsidRPr="00F1660D">
        <w:rPr>
          <w:lang w:val="fr-FR"/>
        </w:rPr>
        <w:t>gestion durable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et de promouvoir</w:t>
      </w:r>
      <w:r w:rsidR="00A50629" w:rsidRPr="00F1660D">
        <w:rPr>
          <w:lang w:val="fr-FR"/>
        </w:rPr>
        <w:t xml:space="preserve"> la </w:t>
      </w:r>
      <w:r w:rsidR="00B70207" w:rsidRPr="00F1660D">
        <w:rPr>
          <w:lang w:val="fr-FR"/>
        </w:rPr>
        <w:t>réalisation</w:t>
      </w:r>
      <w:r w:rsidR="00A50629" w:rsidRPr="00F1660D">
        <w:rPr>
          <w:lang w:val="fr-FR"/>
        </w:rPr>
        <w:t xml:space="preserve"> des </w:t>
      </w:r>
      <w:r w:rsidR="00B70207" w:rsidRPr="00F1660D">
        <w:rPr>
          <w:lang w:val="fr-FR"/>
        </w:rPr>
        <w:t>objectifs en matière de sécurité chimique au-delà d</w:t>
      </w:r>
      <w:r w:rsidR="00101BB8" w:rsidRPr="00F1660D">
        <w:rPr>
          <w:lang w:val="fr-FR"/>
        </w:rPr>
        <w:t>e 2020. En conclusion, Mme de Leó</w:t>
      </w:r>
      <w:r w:rsidR="00B70207" w:rsidRPr="00F1660D">
        <w:rPr>
          <w:lang w:val="fr-FR"/>
        </w:rPr>
        <w:t>n a souhaité</w:t>
      </w:r>
      <w:r w:rsidR="00A50629" w:rsidRPr="00F1660D">
        <w:rPr>
          <w:lang w:val="fr-FR"/>
        </w:rPr>
        <w:t xml:space="preserve"> au </w:t>
      </w:r>
      <w:r w:rsidR="00B70207" w:rsidRPr="00F1660D">
        <w:rPr>
          <w:lang w:val="fr-FR"/>
        </w:rPr>
        <w:t>Groupe de travail</w:t>
      </w:r>
      <w:r w:rsidR="00A50629" w:rsidRPr="00F1660D">
        <w:rPr>
          <w:lang w:val="fr-FR"/>
        </w:rPr>
        <w:t xml:space="preserve"> des </w:t>
      </w:r>
      <w:r w:rsidR="00B70207" w:rsidRPr="00F1660D">
        <w:rPr>
          <w:lang w:val="fr-FR"/>
        </w:rPr>
        <w:t>délibérations fructueuses de façon à garantir</w:t>
      </w:r>
      <w:r w:rsidR="00A50629" w:rsidRPr="00F1660D">
        <w:rPr>
          <w:lang w:val="fr-FR"/>
        </w:rPr>
        <w:t xml:space="preserve"> le </w:t>
      </w:r>
      <w:r w:rsidR="00B70207" w:rsidRPr="00F1660D">
        <w:rPr>
          <w:lang w:val="fr-FR"/>
        </w:rPr>
        <w:t>bon déroulement de</w:t>
      </w:r>
      <w:r w:rsidR="00A50629" w:rsidRPr="00F1660D">
        <w:rPr>
          <w:lang w:val="fr-FR"/>
        </w:rPr>
        <w:t xml:space="preserve"> la </w:t>
      </w:r>
      <w:r w:rsidR="00B70207" w:rsidRPr="00F1660D">
        <w:rPr>
          <w:lang w:val="fr-FR"/>
        </w:rPr>
        <w:t>cinquième session de</w:t>
      </w:r>
      <w:r w:rsidR="00A50629" w:rsidRPr="00F1660D">
        <w:rPr>
          <w:lang w:val="fr-FR"/>
        </w:rPr>
        <w:t xml:space="preserve"> la </w:t>
      </w:r>
      <w:r w:rsidR="00B70207" w:rsidRPr="00F1660D">
        <w:rPr>
          <w:lang w:val="fr-FR"/>
        </w:rPr>
        <w:t>Conférence internationale sur</w:t>
      </w:r>
      <w:r w:rsidR="00A50629" w:rsidRPr="00F1660D">
        <w:rPr>
          <w:lang w:val="fr-FR"/>
        </w:rPr>
        <w:t xml:space="preserve"> la </w:t>
      </w:r>
      <w:r w:rsidR="00B70207" w:rsidRPr="00F1660D">
        <w:rPr>
          <w:lang w:val="fr-FR"/>
        </w:rPr>
        <w:t>gestion</w:t>
      </w:r>
      <w:r w:rsidR="00A50629" w:rsidRPr="00F1660D">
        <w:rPr>
          <w:lang w:val="fr-FR"/>
        </w:rPr>
        <w:t xml:space="preserve"> des </w:t>
      </w:r>
      <w:r w:rsidR="00B70207" w:rsidRPr="00F1660D">
        <w:rPr>
          <w:lang w:val="fr-FR"/>
        </w:rPr>
        <w:t>produits chimiques et d</w:t>
      </w:r>
      <w:r w:rsidR="00CE30FD" w:rsidRPr="00F1660D">
        <w:rPr>
          <w:lang w:val="fr-FR"/>
        </w:rPr>
        <w:t>’</w:t>
      </w:r>
      <w:r w:rsidR="00B70207" w:rsidRPr="00F1660D">
        <w:rPr>
          <w:lang w:val="fr-FR"/>
        </w:rPr>
        <w:t>assurer un avenir meilleur et plus sain pour tous.</w:t>
      </w:r>
    </w:p>
    <w:p w14:paraId="56C9AC33" w14:textId="64DC7A45" w:rsidR="00B70207" w:rsidRPr="00F1660D" w:rsidRDefault="00FC1EE7" w:rsidP="00733A1C">
      <w:pPr>
        <w:pStyle w:val="Normalnumber"/>
        <w:rPr>
          <w:lang w:val="fr-FR"/>
        </w:rPr>
      </w:pPr>
      <w:r w:rsidRPr="00F1660D">
        <w:rPr>
          <w:lang w:val="fr-FR"/>
        </w:rPr>
        <w:t>Dans sa déclaration, M. </w:t>
      </w:r>
      <w:proofErr w:type="spellStart"/>
      <w:r w:rsidR="00B70207" w:rsidRPr="00F1660D">
        <w:rPr>
          <w:lang w:val="fr-FR"/>
        </w:rPr>
        <w:t>Basso</w:t>
      </w:r>
      <w:proofErr w:type="spellEnd"/>
      <w:r w:rsidR="00B70207" w:rsidRPr="00F1660D">
        <w:rPr>
          <w:lang w:val="fr-FR"/>
        </w:rPr>
        <w:t xml:space="preserve"> a souligné qu</w:t>
      </w:r>
      <w:r w:rsidR="00CE30FD" w:rsidRPr="00F1660D">
        <w:rPr>
          <w:lang w:val="fr-FR"/>
        </w:rPr>
        <w:t>’</w:t>
      </w:r>
      <w:r w:rsidR="00B70207" w:rsidRPr="00F1660D">
        <w:rPr>
          <w:lang w:val="fr-FR"/>
        </w:rPr>
        <w:t>il fallait appliquer une approche multisectorielle pour relever</w:t>
      </w:r>
      <w:r w:rsidR="00A50629" w:rsidRPr="00F1660D">
        <w:rPr>
          <w:lang w:val="fr-FR"/>
        </w:rPr>
        <w:t xml:space="preserve"> le </w:t>
      </w:r>
      <w:r w:rsidR="00B70207" w:rsidRPr="00F1660D">
        <w:rPr>
          <w:lang w:val="fr-FR"/>
        </w:rPr>
        <w:t>défi de</w:t>
      </w:r>
      <w:r w:rsidR="00A50629" w:rsidRPr="00F1660D">
        <w:rPr>
          <w:lang w:val="fr-FR"/>
        </w:rPr>
        <w:t xml:space="preserve"> la </w:t>
      </w:r>
      <w:r w:rsidR="00B70207" w:rsidRPr="00F1660D">
        <w:rPr>
          <w:lang w:val="fr-FR"/>
        </w:rPr>
        <w:t>gestion rationnelle</w:t>
      </w:r>
      <w:r w:rsidR="00A50629" w:rsidRPr="00F1660D">
        <w:rPr>
          <w:lang w:val="fr-FR"/>
        </w:rPr>
        <w:t xml:space="preserve"> des </w:t>
      </w:r>
      <w:r w:rsidR="00B70207" w:rsidRPr="00F1660D">
        <w:rPr>
          <w:lang w:val="fr-FR"/>
        </w:rPr>
        <w:t>produits chimiques. En 2017, l</w:t>
      </w:r>
      <w:r w:rsidR="00CE30FD" w:rsidRPr="00F1660D">
        <w:rPr>
          <w:lang w:val="fr-FR"/>
        </w:rPr>
        <w:t>’</w:t>
      </w:r>
      <w:r w:rsidR="00B70207" w:rsidRPr="00F1660D">
        <w:rPr>
          <w:lang w:val="fr-FR"/>
        </w:rPr>
        <w:t>Assemblée mondiale de</w:t>
      </w:r>
      <w:r w:rsidR="00A50629" w:rsidRPr="00F1660D">
        <w:rPr>
          <w:lang w:val="fr-FR"/>
        </w:rPr>
        <w:t xml:space="preserve"> la </w:t>
      </w:r>
      <w:r w:rsidR="00B70207" w:rsidRPr="00F1660D">
        <w:rPr>
          <w:lang w:val="fr-FR"/>
        </w:rPr>
        <w:t>Santé a adopté une feuille de route pour renforcer</w:t>
      </w:r>
      <w:r w:rsidR="00A50629" w:rsidRPr="00F1660D">
        <w:rPr>
          <w:lang w:val="fr-FR"/>
        </w:rPr>
        <w:t xml:space="preserve"> la </w:t>
      </w:r>
      <w:r w:rsidR="00B70207" w:rsidRPr="00F1660D">
        <w:rPr>
          <w:lang w:val="fr-FR"/>
        </w:rPr>
        <w:t>participation du secteur de</w:t>
      </w:r>
      <w:r w:rsidR="00A50629" w:rsidRPr="00F1660D">
        <w:rPr>
          <w:lang w:val="fr-FR"/>
        </w:rPr>
        <w:t xml:space="preserve"> la </w:t>
      </w:r>
      <w:r w:rsidR="00B70207" w:rsidRPr="00F1660D">
        <w:rPr>
          <w:lang w:val="fr-FR"/>
        </w:rPr>
        <w:t>santé à l</w:t>
      </w:r>
      <w:r w:rsidR="00CE30FD" w:rsidRPr="00F1660D">
        <w:rPr>
          <w:lang w:val="fr-FR"/>
        </w:rPr>
        <w:t>’</w:t>
      </w:r>
      <w:r w:rsidR="00B70207" w:rsidRPr="00F1660D">
        <w:rPr>
          <w:lang w:val="fr-FR"/>
        </w:rPr>
        <w:t>Approche stratégique en vue d</w:t>
      </w:r>
      <w:r w:rsidR="00CE30FD" w:rsidRPr="00F1660D">
        <w:rPr>
          <w:lang w:val="fr-FR"/>
        </w:rPr>
        <w:t>’</w:t>
      </w:r>
      <w:r w:rsidR="00B70207" w:rsidRPr="00F1660D">
        <w:rPr>
          <w:lang w:val="fr-FR"/>
        </w:rPr>
        <w:t>atteindre l</w:t>
      </w:r>
      <w:r w:rsidR="00CE30FD" w:rsidRPr="00F1660D">
        <w:rPr>
          <w:lang w:val="fr-FR"/>
        </w:rPr>
        <w:t>’</w:t>
      </w:r>
      <w:r w:rsidR="00B70207" w:rsidRPr="00F1660D">
        <w:rPr>
          <w:lang w:val="fr-FR"/>
        </w:rPr>
        <w:t>objectif fixé pour 2020 et au-delà. La feuille de route – qui préconisait l</w:t>
      </w:r>
      <w:r w:rsidR="00CE30FD" w:rsidRPr="00F1660D">
        <w:rPr>
          <w:lang w:val="fr-FR"/>
        </w:rPr>
        <w:t>’</w:t>
      </w:r>
      <w:r w:rsidR="00B70207" w:rsidRPr="00F1660D">
        <w:rPr>
          <w:lang w:val="fr-FR"/>
        </w:rPr>
        <w:t>adoption de mesures dans</w:t>
      </w:r>
      <w:r w:rsidR="00A50629" w:rsidRPr="00F1660D">
        <w:rPr>
          <w:lang w:val="fr-FR"/>
        </w:rPr>
        <w:t xml:space="preserve"> les </w:t>
      </w:r>
      <w:r w:rsidR="00B70207" w:rsidRPr="00F1660D">
        <w:rPr>
          <w:lang w:val="fr-FR"/>
        </w:rPr>
        <w:t>domaines de</w:t>
      </w:r>
      <w:r w:rsidR="00A50629" w:rsidRPr="00F1660D">
        <w:rPr>
          <w:lang w:val="fr-FR"/>
        </w:rPr>
        <w:t xml:space="preserve"> la </w:t>
      </w:r>
      <w:r w:rsidR="00B70207" w:rsidRPr="00F1660D">
        <w:rPr>
          <w:lang w:val="fr-FR"/>
        </w:rPr>
        <w:t>réduction</w:t>
      </w:r>
      <w:r w:rsidR="00A50629" w:rsidRPr="00F1660D">
        <w:rPr>
          <w:lang w:val="fr-FR"/>
        </w:rPr>
        <w:t xml:space="preserve"> des </w:t>
      </w:r>
      <w:r w:rsidR="00B70207" w:rsidRPr="00F1660D">
        <w:rPr>
          <w:lang w:val="fr-FR"/>
        </w:rPr>
        <w:t>risques,</w:t>
      </w:r>
      <w:r w:rsidR="00A50629" w:rsidRPr="00F1660D">
        <w:rPr>
          <w:lang w:val="fr-FR"/>
        </w:rPr>
        <w:t xml:space="preserve"> des </w:t>
      </w:r>
      <w:r w:rsidR="00B70207" w:rsidRPr="00F1660D">
        <w:rPr>
          <w:lang w:val="fr-FR"/>
        </w:rPr>
        <w:t>connaissances et</w:t>
      </w:r>
      <w:r w:rsidR="00A50629" w:rsidRPr="00F1660D">
        <w:rPr>
          <w:lang w:val="fr-FR"/>
        </w:rPr>
        <w:t xml:space="preserve"> des </w:t>
      </w:r>
      <w:r w:rsidR="00B70207" w:rsidRPr="00F1660D">
        <w:rPr>
          <w:lang w:val="fr-FR"/>
        </w:rPr>
        <w:t>données, de</w:t>
      </w:r>
      <w:r w:rsidR="00A50629" w:rsidRPr="00F1660D">
        <w:rPr>
          <w:lang w:val="fr-FR"/>
        </w:rPr>
        <w:t xml:space="preserve"> la </w:t>
      </w:r>
      <w:r w:rsidR="00B70207" w:rsidRPr="00F1660D">
        <w:rPr>
          <w:lang w:val="fr-FR"/>
        </w:rPr>
        <w:t>capacité institutionnelle et de</w:t>
      </w:r>
      <w:r w:rsidR="00A50629" w:rsidRPr="00F1660D">
        <w:rPr>
          <w:lang w:val="fr-FR"/>
        </w:rPr>
        <w:t xml:space="preserve"> la </w:t>
      </w:r>
      <w:r w:rsidR="00B70207" w:rsidRPr="00F1660D">
        <w:rPr>
          <w:lang w:val="fr-FR"/>
        </w:rPr>
        <w:t>direction et</w:t>
      </w:r>
      <w:r w:rsidR="00A50629" w:rsidRPr="00F1660D">
        <w:rPr>
          <w:lang w:val="fr-FR"/>
        </w:rPr>
        <w:t xml:space="preserve"> la </w:t>
      </w:r>
      <w:r w:rsidR="00B70207" w:rsidRPr="00F1660D">
        <w:rPr>
          <w:lang w:val="fr-FR"/>
        </w:rPr>
        <w:t>coordination – a aidé</w:t>
      </w:r>
      <w:r w:rsidR="00A50629" w:rsidRPr="00F1660D">
        <w:rPr>
          <w:lang w:val="fr-FR"/>
        </w:rPr>
        <w:t xml:space="preserve"> les </w:t>
      </w:r>
      <w:r w:rsidR="00B70207" w:rsidRPr="00F1660D">
        <w:rPr>
          <w:lang w:val="fr-FR"/>
        </w:rPr>
        <w:t>ministères de</w:t>
      </w:r>
      <w:r w:rsidR="00A50629" w:rsidRPr="00F1660D">
        <w:rPr>
          <w:lang w:val="fr-FR"/>
        </w:rPr>
        <w:t xml:space="preserve"> la </w:t>
      </w:r>
      <w:r w:rsidR="00B70207" w:rsidRPr="00F1660D">
        <w:rPr>
          <w:lang w:val="fr-FR"/>
        </w:rPr>
        <w:t>santé à planifier et à établir</w:t>
      </w:r>
      <w:r w:rsidR="00A50629" w:rsidRPr="00F1660D">
        <w:rPr>
          <w:lang w:val="fr-FR"/>
        </w:rPr>
        <w:t xml:space="preserve"> des </w:t>
      </w:r>
      <w:r w:rsidR="00B70207" w:rsidRPr="00F1660D">
        <w:rPr>
          <w:lang w:val="fr-FR"/>
        </w:rPr>
        <w:t>priorités, leur a fourni un appui en matière de renforcement</w:t>
      </w:r>
      <w:r w:rsidR="00A50629" w:rsidRPr="00F1660D">
        <w:rPr>
          <w:lang w:val="fr-FR"/>
        </w:rPr>
        <w:t xml:space="preserve"> des </w:t>
      </w:r>
      <w:r w:rsidR="00B70207" w:rsidRPr="00F1660D">
        <w:rPr>
          <w:lang w:val="fr-FR"/>
        </w:rPr>
        <w:t>capacités et de sensibilisation et leur a permis de prendre</w:t>
      </w:r>
      <w:r w:rsidR="00A50629" w:rsidRPr="00F1660D">
        <w:rPr>
          <w:lang w:val="fr-FR"/>
        </w:rPr>
        <w:t xml:space="preserve"> des </w:t>
      </w:r>
      <w:r w:rsidR="00B70207" w:rsidRPr="00F1660D">
        <w:rPr>
          <w:lang w:val="fr-FR"/>
        </w:rPr>
        <w:t>décisions éclairées concernant</w:t>
      </w:r>
      <w:r w:rsidR="00A50629" w:rsidRPr="00F1660D">
        <w:rPr>
          <w:lang w:val="fr-FR"/>
        </w:rPr>
        <w:t xml:space="preserve"> les </w:t>
      </w:r>
      <w:r w:rsidR="00B70207" w:rsidRPr="00F1660D">
        <w:rPr>
          <w:lang w:val="fr-FR"/>
        </w:rPr>
        <w:t>produits chimiques connus. Une approche de précaution devait être adoptée en ce qui concerne</w:t>
      </w:r>
      <w:r w:rsidR="00A50629" w:rsidRPr="00F1660D">
        <w:rPr>
          <w:lang w:val="fr-FR"/>
        </w:rPr>
        <w:t xml:space="preserve"> les </w:t>
      </w:r>
      <w:r w:rsidR="00B70207" w:rsidRPr="00F1660D">
        <w:rPr>
          <w:lang w:val="fr-FR"/>
        </w:rPr>
        <w:t>produits chimiques à l</w:t>
      </w:r>
      <w:r w:rsidR="00CE30FD" w:rsidRPr="00F1660D">
        <w:rPr>
          <w:lang w:val="fr-FR"/>
        </w:rPr>
        <w:t>’</w:t>
      </w:r>
      <w:r w:rsidR="00B70207" w:rsidRPr="00F1660D">
        <w:rPr>
          <w:lang w:val="fr-FR"/>
        </w:rPr>
        <w:t>égard desquels</w:t>
      </w:r>
      <w:r w:rsidR="00A50629" w:rsidRPr="00F1660D">
        <w:rPr>
          <w:lang w:val="fr-FR"/>
        </w:rPr>
        <w:t xml:space="preserve"> des </w:t>
      </w:r>
      <w:r w:rsidR="00B70207" w:rsidRPr="00F1660D">
        <w:rPr>
          <w:lang w:val="fr-FR"/>
        </w:rPr>
        <w:t>incertitudes subsistaient. Dans l</w:t>
      </w:r>
      <w:r w:rsidR="00CE30FD" w:rsidRPr="00F1660D">
        <w:rPr>
          <w:lang w:val="fr-FR"/>
        </w:rPr>
        <w:t>’</w:t>
      </w:r>
      <w:r w:rsidR="00B70207" w:rsidRPr="00F1660D">
        <w:rPr>
          <w:lang w:val="fr-FR"/>
        </w:rPr>
        <w:t>ensemble,</w:t>
      </w:r>
      <w:r w:rsidR="00A50629" w:rsidRPr="00F1660D">
        <w:rPr>
          <w:lang w:val="fr-FR"/>
        </w:rPr>
        <w:t xml:space="preserve"> les </w:t>
      </w:r>
      <w:r w:rsidR="00B70207" w:rsidRPr="00F1660D">
        <w:rPr>
          <w:lang w:val="fr-FR"/>
        </w:rPr>
        <w:t>pays étaient collectivement responsables de</w:t>
      </w:r>
      <w:r w:rsidR="00A50629" w:rsidRPr="00F1660D">
        <w:rPr>
          <w:lang w:val="fr-FR"/>
        </w:rPr>
        <w:t xml:space="preserve"> la </w:t>
      </w:r>
      <w:r w:rsidR="00B70207" w:rsidRPr="00F1660D">
        <w:rPr>
          <w:lang w:val="fr-FR"/>
        </w:rPr>
        <w:t>production de connaissances sur</w:t>
      </w:r>
      <w:r w:rsidR="00A50629" w:rsidRPr="00F1660D">
        <w:rPr>
          <w:lang w:val="fr-FR"/>
        </w:rPr>
        <w:t xml:space="preserve"> les </w:t>
      </w:r>
      <w:r w:rsidR="00B70207" w:rsidRPr="00F1660D">
        <w:rPr>
          <w:lang w:val="fr-FR"/>
        </w:rPr>
        <w:t>risques pour</w:t>
      </w:r>
      <w:r w:rsidR="00A50629" w:rsidRPr="00F1660D">
        <w:rPr>
          <w:lang w:val="fr-FR"/>
        </w:rPr>
        <w:t xml:space="preserve"> le </w:t>
      </w:r>
      <w:r w:rsidR="00B70207" w:rsidRPr="00F1660D">
        <w:rPr>
          <w:lang w:val="fr-FR"/>
        </w:rPr>
        <w:t>développement humain et</w:t>
      </w:r>
      <w:r w:rsidR="00A50629" w:rsidRPr="00F1660D">
        <w:rPr>
          <w:lang w:val="fr-FR"/>
        </w:rPr>
        <w:t xml:space="preserve"> les </w:t>
      </w:r>
      <w:r w:rsidR="00B70207" w:rsidRPr="00F1660D">
        <w:rPr>
          <w:lang w:val="fr-FR"/>
        </w:rPr>
        <w:t>êtres humains tout</w:t>
      </w:r>
      <w:r w:rsidR="00A50629" w:rsidRPr="00F1660D">
        <w:rPr>
          <w:lang w:val="fr-FR"/>
        </w:rPr>
        <w:t xml:space="preserve"> au </w:t>
      </w:r>
      <w:r w:rsidR="00B70207" w:rsidRPr="00F1660D">
        <w:rPr>
          <w:lang w:val="fr-FR"/>
        </w:rPr>
        <w:t>long du cycle de vie</w:t>
      </w:r>
      <w:r w:rsidR="00A50629" w:rsidRPr="00F1660D">
        <w:rPr>
          <w:lang w:val="fr-FR"/>
        </w:rPr>
        <w:t xml:space="preserve"> des </w:t>
      </w:r>
      <w:r w:rsidR="00B70207" w:rsidRPr="00F1660D">
        <w:rPr>
          <w:lang w:val="fr-FR"/>
        </w:rPr>
        <w:t>produits chimiques et</w:t>
      </w:r>
      <w:r w:rsidR="00592CC7" w:rsidRPr="00F1660D">
        <w:rPr>
          <w:lang w:val="fr-FR"/>
        </w:rPr>
        <w:t> </w:t>
      </w:r>
      <w:r w:rsidR="00B70207" w:rsidRPr="00F1660D">
        <w:rPr>
          <w:lang w:val="fr-FR"/>
        </w:rPr>
        <w:t>de</w:t>
      </w:r>
      <w:r w:rsidR="00A50629" w:rsidRPr="00F1660D">
        <w:rPr>
          <w:lang w:val="fr-FR"/>
        </w:rPr>
        <w:t xml:space="preserve"> la </w:t>
      </w:r>
      <w:r w:rsidR="00B70207" w:rsidRPr="00F1660D">
        <w:rPr>
          <w:lang w:val="fr-FR"/>
        </w:rPr>
        <w:t>communication de ces connaissances aux décideurs. Il fallait que de nombreux secteurs coopèrent, notamment</w:t>
      </w:r>
      <w:r w:rsidR="00A50629" w:rsidRPr="00F1660D">
        <w:rPr>
          <w:lang w:val="fr-FR"/>
        </w:rPr>
        <w:t xml:space="preserve"> la </w:t>
      </w:r>
      <w:r w:rsidR="00B70207" w:rsidRPr="00F1660D">
        <w:rPr>
          <w:lang w:val="fr-FR"/>
        </w:rPr>
        <w:t>santé, l</w:t>
      </w:r>
      <w:r w:rsidR="00CE30FD" w:rsidRPr="00F1660D">
        <w:rPr>
          <w:lang w:val="fr-FR"/>
        </w:rPr>
        <w:t>’</w:t>
      </w:r>
      <w:r w:rsidR="00B70207" w:rsidRPr="00F1660D">
        <w:rPr>
          <w:lang w:val="fr-FR"/>
        </w:rPr>
        <w:t>environnement, l</w:t>
      </w:r>
      <w:r w:rsidR="00CE30FD" w:rsidRPr="00F1660D">
        <w:rPr>
          <w:lang w:val="fr-FR"/>
        </w:rPr>
        <w:t>’</w:t>
      </w:r>
      <w:r w:rsidR="00B70207" w:rsidRPr="00F1660D">
        <w:rPr>
          <w:lang w:val="fr-FR"/>
        </w:rPr>
        <w:t>industrie,</w:t>
      </w:r>
      <w:r w:rsidR="00A50629" w:rsidRPr="00F1660D">
        <w:rPr>
          <w:lang w:val="fr-FR"/>
        </w:rPr>
        <w:t xml:space="preserve"> les </w:t>
      </w:r>
      <w:r w:rsidR="00B70207" w:rsidRPr="00F1660D">
        <w:rPr>
          <w:lang w:val="fr-FR"/>
        </w:rPr>
        <w:t>transports,</w:t>
      </w:r>
      <w:r w:rsidR="00A50629" w:rsidRPr="00F1660D">
        <w:rPr>
          <w:lang w:val="fr-FR"/>
        </w:rPr>
        <w:t xml:space="preserve"> le </w:t>
      </w:r>
      <w:r w:rsidR="00B70207" w:rsidRPr="00F1660D">
        <w:rPr>
          <w:lang w:val="fr-FR"/>
        </w:rPr>
        <w:t>commerce et l</w:t>
      </w:r>
      <w:r w:rsidR="00CE30FD" w:rsidRPr="00F1660D">
        <w:rPr>
          <w:lang w:val="fr-FR"/>
        </w:rPr>
        <w:t>’</w:t>
      </w:r>
      <w:r w:rsidR="00B70207" w:rsidRPr="00F1660D">
        <w:rPr>
          <w:lang w:val="fr-FR"/>
        </w:rPr>
        <w:t>agriculture, ainsi que</w:t>
      </w:r>
      <w:r w:rsidR="00A50629" w:rsidRPr="00F1660D">
        <w:rPr>
          <w:lang w:val="fr-FR"/>
        </w:rPr>
        <w:t xml:space="preserve"> les </w:t>
      </w:r>
      <w:r w:rsidR="00B70207" w:rsidRPr="00F1660D">
        <w:rPr>
          <w:lang w:val="fr-FR"/>
        </w:rPr>
        <w:t>milieux universitaires</w:t>
      </w:r>
      <w:r w:rsidR="008F66A1" w:rsidRPr="00F1660D">
        <w:rPr>
          <w:lang w:val="fr-FR"/>
        </w:rPr>
        <w:t>,</w:t>
      </w:r>
      <w:r w:rsidR="00A50629" w:rsidRPr="00F1660D">
        <w:rPr>
          <w:lang w:val="fr-FR"/>
        </w:rPr>
        <w:t xml:space="preserve"> le </w:t>
      </w:r>
      <w:r w:rsidR="008F66A1" w:rsidRPr="00F1660D">
        <w:rPr>
          <w:lang w:val="fr-FR"/>
        </w:rPr>
        <w:t>secteur professionnel</w:t>
      </w:r>
      <w:r w:rsidR="00B70207" w:rsidRPr="00F1660D">
        <w:rPr>
          <w:lang w:val="fr-FR"/>
        </w:rPr>
        <w:t xml:space="preserve"> et</w:t>
      </w:r>
      <w:r w:rsidR="00A50629" w:rsidRPr="00F1660D">
        <w:rPr>
          <w:lang w:val="fr-FR"/>
        </w:rPr>
        <w:t xml:space="preserve"> les </w:t>
      </w:r>
      <w:r w:rsidR="00B70207" w:rsidRPr="00F1660D">
        <w:rPr>
          <w:lang w:val="fr-FR"/>
        </w:rPr>
        <w:t>organisations de</w:t>
      </w:r>
      <w:r w:rsidR="00A50629" w:rsidRPr="00F1660D">
        <w:rPr>
          <w:lang w:val="fr-FR"/>
        </w:rPr>
        <w:t xml:space="preserve"> la </w:t>
      </w:r>
      <w:r w:rsidR="00B70207" w:rsidRPr="00F1660D">
        <w:rPr>
          <w:lang w:val="fr-FR"/>
        </w:rPr>
        <w:t>société civile, afin d</w:t>
      </w:r>
      <w:r w:rsidR="00CE30FD" w:rsidRPr="00F1660D">
        <w:rPr>
          <w:lang w:val="fr-FR"/>
        </w:rPr>
        <w:t>’</w:t>
      </w:r>
      <w:r w:rsidR="00B70207" w:rsidRPr="00F1660D">
        <w:rPr>
          <w:lang w:val="fr-FR"/>
        </w:rPr>
        <w:t>établir</w:t>
      </w:r>
      <w:r w:rsidR="00A50629" w:rsidRPr="00F1660D">
        <w:rPr>
          <w:lang w:val="fr-FR"/>
        </w:rPr>
        <w:t xml:space="preserve"> des </w:t>
      </w:r>
      <w:r w:rsidR="00B70207" w:rsidRPr="00F1660D">
        <w:rPr>
          <w:lang w:val="fr-FR"/>
        </w:rPr>
        <w:t>pratiques de gestion</w:t>
      </w:r>
      <w:r w:rsidR="00A50629" w:rsidRPr="00F1660D">
        <w:rPr>
          <w:lang w:val="fr-FR"/>
        </w:rPr>
        <w:t xml:space="preserve"> des </w:t>
      </w:r>
      <w:r w:rsidR="00B70207" w:rsidRPr="00F1660D">
        <w:rPr>
          <w:lang w:val="fr-FR"/>
        </w:rPr>
        <w:t>produits chimiques qui soient plus sûres et plus durables.</w:t>
      </w:r>
    </w:p>
    <w:p w14:paraId="11DFF9EC" w14:textId="65C6EFAF" w:rsidR="00B70207" w:rsidRPr="00F1660D" w:rsidRDefault="00FC1EE7" w:rsidP="00733A1C">
      <w:pPr>
        <w:pStyle w:val="Normalnumber"/>
        <w:rPr>
          <w:lang w:val="fr-FR"/>
        </w:rPr>
      </w:pPr>
      <w:r w:rsidRPr="00F1660D">
        <w:rPr>
          <w:lang w:val="fr-FR"/>
        </w:rPr>
        <w:t>M. </w:t>
      </w:r>
      <w:r w:rsidR="00B70207" w:rsidRPr="00F1660D">
        <w:rPr>
          <w:lang w:val="fr-FR"/>
        </w:rPr>
        <w:t xml:space="preserve">Ariel </w:t>
      </w:r>
      <w:proofErr w:type="spellStart"/>
      <w:r w:rsidR="00B70207" w:rsidRPr="00F1660D">
        <w:rPr>
          <w:lang w:val="fr-FR"/>
        </w:rPr>
        <w:t>Bergamino</w:t>
      </w:r>
      <w:proofErr w:type="spellEnd"/>
      <w:r w:rsidR="00B70207" w:rsidRPr="00F1660D">
        <w:rPr>
          <w:lang w:val="fr-FR"/>
        </w:rPr>
        <w:t xml:space="preserve"> a axé sa déclaration sur l</w:t>
      </w:r>
      <w:r w:rsidR="00CE30FD" w:rsidRPr="00F1660D">
        <w:rPr>
          <w:lang w:val="fr-FR"/>
        </w:rPr>
        <w:t>’</w:t>
      </w:r>
      <w:r w:rsidR="00B70207" w:rsidRPr="00F1660D">
        <w:rPr>
          <w:lang w:val="fr-FR"/>
        </w:rPr>
        <w:t>importance de l</w:t>
      </w:r>
      <w:r w:rsidR="00CE30FD" w:rsidRPr="00F1660D">
        <w:rPr>
          <w:lang w:val="fr-FR"/>
        </w:rPr>
        <w:t>’</w:t>
      </w:r>
      <w:r w:rsidR="00B70207" w:rsidRPr="00F1660D">
        <w:rPr>
          <w:lang w:val="fr-FR"/>
        </w:rPr>
        <w:t>Approche stratégique et du</w:t>
      </w:r>
      <w:r w:rsidR="00D50259" w:rsidRPr="00F1660D">
        <w:rPr>
          <w:lang w:val="fr-FR"/>
        </w:rPr>
        <w:t> </w:t>
      </w:r>
      <w:r w:rsidR="00B70207" w:rsidRPr="00F1660D">
        <w:rPr>
          <w:lang w:val="fr-FR"/>
        </w:rPr>
        <w:t>Groupe de travail à composition non limitée dans</w:t>
      </w:r>
      <w:r w:rsidR="00A50629" w:rsidRPr="00F1660D">
        <w:rPr>
          <w:lang w:val="fr-FR"/>
        </w:rPr>
        <w:t xml:space="preserve"> le </w:t>
      </w:r>
      <w:r w:rsidR="00B70207" w:rsidRPr="00F1660D">
        <w:rPr>
          <w:lang w:val="fr-FR"/>
        </w:rPr>
        <w:t>cadre de l</w:t>
      </w:r>
      <w:r w:rsidR="00CE30FD" w:rsidRPr="00F1660D">
        <w:rPr>
          <w:lang w:val="fr-FR"/>
        </w:rPr>
        <w:t>’</w:t>
      </w:r>
      <w:r w:rsidR="00B70207" w:rsidRPr="00F1660D">
        <w:rPr>
          <w:lang w:val="fr-FR"/>
        </w:rPr>
        <w:t>action internationale en faveur de</w:t>
      </w:r>
      <w:r w:rsidR="00A50629" w:rsidRPr="00F1660D">
        <w:rPr>
          <w:lang w:val="fr-FR"/>
        </w:rPr>
        <w:t xml:space="preserve"> la </w:t>
      </w:r>
      <w:r w:rsidR="00B70207" w:rsidRPr="00F1660D">
        <w:rPr>
          <w:lang w:val="fr-FR"/>
        </w:rPr>
        <w:t>gestion rationnelle</w:t>
      </w:r>
      <w:r w:rsidR="00A50629" w:rsidRPr="00F1660D">
        <w:rPr>
          <w:lang w:val="fr-FR"/>
        </w:rPr>
        <w:t xml:space="preserve"> des </w:t>
      </w:r>
      <w:r w:rsidR="00B70207" w:rsidRPr="00F1660D">
        <w:rPr>
          <w:lang w:val="fr-FR"/>
        </w:rPr>
        <w:t xml:space="preserve">produits chimiques. Le Groupe de travail avait </w:t>
      </w:r>
      <w:r w:rsidR="00BE4BE0" w:rsidRPr="00F1660D">
        <w:rPr>
          <w:lang w:val="fr-FR"/>
        </w:rPr>
        <w:t xml:space="preserve">en particulier </w:t>
      </w:r>
      <w:r w:rsidR="00B70207" w:rsidRPr="00F1660D">
        <w:rPr>
          <w:lang w:val="fr-FR"/>
        </w:rPr>
        <w:t>permis de</w:t>
      </w:r>
      <w:r w:rsidR="00D50259" w:rsidRPr="00F1660D">
        <w:rPr>
          <w:lang w:val="fr-FR"/>
        </w:rPr>
        <w:t> </w:t>
      </w:r>
      <w:r w:rsidR="00B70207" w:rsidRPr="00F1660D">
        <w:rPr>
          <w:lang w:val="fr-FR"/>
        </w:rPr>
        <w:t>promouvoir</w:t>
      </w:r>
      <w:r w:rsidR="00A50629" w:rsidRPr="00F1660D">
        <w:rPr>
          <w:lang w:val="fr-FR"/>
        </w:rPr>
        <w:t xml:space="preserve"> le </w:t>
      </w:r>
      <w:r w:rsidR="00B70207" w:rsidRPr="00F1660D">
        <w:rPr>
          <w:lang w:val="fr-FR"/>
        </w:rPr>
        <w:t>renforcement</w:t>
      </w:r>
      <w:r w:rsidR="00A50629" w:rsidRPr="00F1660D">
        <w:rPr>
          <w:lang w:val="fr-FR"/>
        </w:rPr>
        <w:t xml:space="preserve"> des </w:t>
      </w:r>
      <w:r w:rsidR="00B70207" w:rsidRPr="00F1660D">
        <w:rPr>
          <w:lang w:val="fr-FR"/>
        </w:rPr>
        <w:t>capacités dans</w:t>
      </w:r>
      <w:r w:rsidR="00A50629" w:rsidRPr="00F1660D">
        <w:rPr>
          <w:lang w:val="fr-FR"/>
        </w:rPr>
        <w:t xml:space="preserve"> les </w:t>
      </w:r>
      <w:r w:rsidR="00B70207" w:rsidRPr="00F1660D">
        <w:rPr>
          <w:lang w:val="fr-FR"/>
        </w:rPr>
        <w:t>pays en développement et en transition et de</w:t>
      </w:r>
      <w:r w:rsidR="00D50259" w:rsidRPr="00F1660D">
        <w:rPr>
          <w:lang w:val="fr-FR"/>
        </w:rPr>
        <w:t> </w:t>
      </w:r>
      <w:r w:rsidR="007436D8" w:rsidRPr="00F1660D">
        <w:rPr>
          <w:lang w:val="fr-FR"/>
        </w:rPr>
        <w:t>renforcer</w:t>
      </w:r>
      <w:r w:rsidR="00A50629" w:rsidRPr="00F1660D">
        <w:rPr>
          <w:lang w:val="fr-FR"/>
        </w:rPr>
        <w:t xml:space="preserve"> le </w:t>
      </w:r>
      <w:r w:rsidR="007436D8" w:rsidRPr="00F1660D">
        <w:rPr>
          <w:lang w:val="fr-FR"/>
        </w:rPr>
        <w:t>dialogue avec</w:t>
      </w:r>
      <w:r w:rsidR="00A50629" w:rsidRPr="00F1660D">
        <w:rPr>
          <w:lang w:val="fr-FR"/>
        </w:rPr>
        <w:t xml:space="preserve"> le </w:t>
      </w:r>
      <w:r w:rsidR="00B70207" w:rsidRPr="00F1660D">
        <w:rPr>
          <w:lang w:val="fr-FR"/>
        </w:rPr>
        <w:t xml:space="preserve">secteur privé </w:t>
      </w:r>
      <w:r w:rsidR="007436D8" w:rsidRPr="00F1660D">
        <w:rPr>
          <w:lang w:val="fr-FR"/>
        </w:rPr>
        <w:t>et d</w:t>
      </w:r>
      <w:r w:rsidR="00CE30FD" w:rsidRPr="00F1660D">
        <w:rPr>
          <w:lang w:val="fr-FR"/>
        </w:rPr>
        <w:t>’</w:t>
      </w:r>
      <w:r w:rsidR="007436D8" w:rsidRPr="00F1660D">
        <w:rPr>
          <w:lang w:val="fr-FR"/>
        </w:rPr>
        <w:t>autres secteurs sur</w:t>
      </w:r>
      <w:r w:rsidR="00A50629" w:rsidRPr="00F1660D">
        <w:rPr>
          <w:lang w:val="fr-FR"/>
        </w:rPr>
        <w:t xml:space="preserve"> la </w:t>
      </w:r>
      <w:r w:rsidR="007436D8" w:rsidRPr="00F1660D">
        <w:rPr>
          <w:lang w:val="fr-FR"/>
        </w:rPr>
        <w:t>gestion et</w:t>
      </w:r>
      <w:r w:rsidR="00B70207" w:rsidRPr="00F1660D">
        <w:rPr>
          <w:lang w:val="fr-FR"/>
        </w:rPr>
        <w:t xml:space="preserve"> l</w:t>
      </w:r>
      <w:r w:rsidR="00CE30FD" w:rsidRPr="00F1660D">
        <w:rPr>
          <w:lang w:val="fr-FR"/>
        </w:rPr>
        <w:t>’</w:t>
      </w:r>
      <w:r w:rsidR="00B70207" w:rsidRPr="00F1660D">
        <w:rPr>
          <w:lang w:val="fr-FR"/>
        </w:rPr>
        <w:t>utilisation durable</w:t>
      </w:r>
      <w:r w:rsidR="007436D8" w:rsidRPr="00F1660D">
        <w:rPr>
          <w:lang w:val="fr-FR"/>
        </w:rPr>
        <w:t>s</w:t>
      </w:r>
      <w:r w:rsidR="00A50629" w:rsidRPr="00F1660D">
        <w:rPr>
          <w:lang w:val="fr-FR"/>
        </w:rPr>
        <w:t xml:space="preserve"> des </w:t>
      </w:r>
      <w:r w:rsidR="00B70207" w:rsidRPr="00F1660D">
        <w:rPr>
          <w:lang w:val="fr-FR"/>
        </w:rPr>
        <w:t>produits chimiques. Il était fondamental de maintenir</w:t>
      </w:r>
      <w:r w:rsidR="00A50629" w:rsidRPr="00F1660D">
        <w:rPr>
          <w:lang w:val="fr-FR"/>
        </w:rPr>
        <w:t xml:space="preserve"> le </w:t>
      </w:r>
      <w:r w:rsidR="00B70207" w:rsidRPr="00F1660D">
        <w:rPr>
          <w:lang w:val="fr-FR"/>
        </w:rPr>
        <w:t>Groupe de travail aux fins de</w:t>
      </w:r>
      <w:r w:rsidR="00A50629" w:rsidRPr="00F1660D">
        <w:rPr>
          <w:lang w:val="fr-FR"/>
        </w:rPr>
        <w:t xml:space="preserve"> la </w:t>
      </w:r>
      <w:r w:rsidR="00B70207" w:rsidRPr="00F1660D">
        <w:rPr>
          <w:lang w:val="fr-FR"/>
        </w:rPr>
        <w:t>réalisation du Programme de développement durable à l</w:t>
      </w:r>
      <w:r w:rsidR="00CE30FD" w:rsidRPr="00F1660D">
        <w:rPr>
          <w:lang w:val="fr-FR"/>
        </w:rPr>
        <w:t>’</w:t>
      </w:r>
      <w:r w:rsidRPr="00F1660D">
        <w:rPr>
          <w:lang w:val="fr-FR"/>
        </w:rPr>
        <w:t>horizon </w:t>
      </w:r>
      <w:r w:rsidR="00B70207" w:rsidRPr="00F1660D">
        <w:rPr>
          <w:lang w:val="fr-FR"/>
        </w:rPr>
        <w:t>2030, qui était</w:t>
      </w:r>
      <w:r w:rsidR="00A50629" w:rsidRPr="00F1660D">
        <w:rPr>
          <w:lang w:val="fr-FR"/>
        </w:rPr>
        <w:t xml:space="preserve"> le </w:t>
      </w:r>
      <w:r w:rsidR="00B70207" w:rsidRPr="00F1660D">
        <w:rPr>
          <w:lang w:val="fr-FR"/>
        </w:rPr>
        <w:t>programme de développement</w:t>
      </w:r>
      <w:r w:rsidR="00A50629" w:rsidRPr="00F1660D">
        <w:rPr>
          <w:lang w:val="fr-FR"/>
        </w:rPr>
        <w:t xml:space="preserve"> le </w:t>
      </w:r>
      <w:r w:rsidR="00B70207" w:rsidRPr="00F1660D">
        <w:rPr>
          <w:lang w:val="fr-FR"/>
        </w:rPr>
        <w:t>plus légitime,</w:t>
      </w:r>
      <w:r w:rsidR="00A50629" w:rsidRPr="00F1660D">
        <w:rPr>
          <w:lang w:val="fr-FR"/>
        </w:rPr>
        <w:t xml:space="preserve"> le </w:t>
      </w:r>
      <w:r w:rsidR="00B70207" w:rsidRPr="00F1660D">
        <w:rPr>
          <w:lang w:val="fr-FR"/>
        </w:rPr>
        <w:t>plus solide et</w:t>
      </w:r>
      <w:r w:rsidR="00A50629" w:rsidRPr="00F1660D">
        <w:rPr>
          <w:lang w:val="fr-FR"/>
        </w:rPr>
        <w:t xml:space="preserve"> le </w:t>
      </w:r>
      <w:r w:rsidR="00B70207" w:rsidRPr="00F1660D">
        <w:rPr>
          <w:lang w:val="fr-FR"/>
        </w:rPr>
        <w:t>plus audacieux dont disposait l</w:t>
      </w:r>
      <w:r w:rsidR="00CE30FD" w:rsidRPr="00F1660D">
        <w:rPr>
          <w:lang w:val="fr-FR"/>
        </w:rPr>
        <w:t>’</w:t>
      </w:r>
      <w:r w:rsidR="00B70207" w:rsidRPr="00F1660D">
        <w:rPr>
          <w:lang w:val="fr-FR"/>
        </w:rPr>
        <w:t>humanité. Le Groupe de travail s</w:t>
      </w:r>
      <w:r w:rsidR="00CE30FD" w:rsidRPr="00F1660D">
        <w:rPr>
          <w:lang w:val="fr-FR"/>
        </w:rPr>
        <w:t>’</w:t>
      </w:r>
      <w:r w:rsidR="00B70207" w:rsidRPr="00F1660D">
        <w:rPr>
          <w:lang w:val="fr-FR"/>
        </w:rPr>
        <w:t>occupait</w:t>
      </w:r>
      <w:r w:rsidR="00A50629" w:rsidRPr="00F1660D">
        <w:rPr>
          <w:lang w:val="fr-FR"/>
        </w:rPr>
        <w:t xml:space="preserve"> des </w:t>
      </w:r>
      <w:r w:rsidR="00B70207" w:rsidRPr="00F1660D">
        <w:rPr>
          <w:lang w:val="fr-FR"/>
        </w:rPr>
        <w:t>produits chimiques qui n</w:t>
      </w:r>
      <w:r w:rsidR="00CE30FD" w:rsidRPr="00F1660D">
        <w:rPr>
          <w:lang w:val="fr-FR"/>
        </w:rPr>
        <w:t>’</w:t>
      </w:r>
      <w:r w:rsidR="00B70207" w:rsidRPr="00F1660D">
        <w:rPr>
          <w:lang w:val="fr-FR"/>
        </w:rPr>
        <w:t>étaient pas encore couverts par</w:t>
      </w:r>
      <w:r w:rsidR="00A50629" w:rsidRPr="00F1660D">
        <w:rPr>
          <w:lang w:val="fr-FR"/>
        </w:rPr>
        <w:t xml:space="preserve"> des </w:t>
      </w:r>
      <w:r w:rsidR="00B70207" w:rsidRPr="00F1660D">
        <w:rPr>
          <w:lang w:val="fr-FR"/>
        </w:rPr>
        <w:t>accords internationaux et permettait de renforcer et de promouvoir</w:t>
      </w:r>
      <w:r w:rsidR="00A50629" w:rsidRPr="00F1660D">
        <w:rPr>
          <w:lang w:val="fr-FR"/>
        </w:rPr>
        <w:t xml:space="preserve"> le </w:t>
      </w:r>
      <w:r w:rsidR="00B70207" w:rsidRPr="00F1660D">
        <w:rPr>
          <w:lang w:val="fr-FR"/>
        </w:rPr>
        <w:t>dialogue avec l</w:t>
      </w:r>
      <w:r w:rsidR="00CE30FD" w:rsidRPr="00F1660D">
        <w:rPr>
          <w:lang w:val="fr-FR"/>
        </w:rPr>
        <w:t>’</w:t>
      </w:r>
      <w:r w:rsidR="00B70207" w:rsidRPr="00F1660D">
        <w:rPr>
          <w:lang w:val="fr-FR"/>
        </w:rPr>
        <w:t>industrie et</w:t>
      </w:r>
      <w:r w:rsidR="00A50629" w:rsidRPr="00F1660D">
        <w:rPr>
          <w:lang w:val="fr-FR"/>
        </w:rPr>
        <w:t xml:space="preserve"> le </w:t>
      </w:r>
      <w:r w:rsidR="00B70207" w:rsidRPr="00F1660D">
        <w:rPr>
          <w:lang w:val="fr-FR"/>
        </w:rPr>
        <w:t>secteur privé. Par ailleurs, il</w:t>
      </w:r>
      <w:r w:rsidR="00D50259" w:rsidRPr="00F1660D">
        <w:rPr>
          <w:lang w:val="fr-FR"/>
        </w:rPr>
        <w:t> </w:t>
      </w:r>
      <w:r w:rsidR="00B70207" w:rsidRPr="00F1660D">
        <w:rPr>
          <w:lang w:val="fr-FR"/>
        </w:rPr>
        <w:t>fallait impérativement mettre en place un mécanisme de financement de l</w:t>
      </w:r>
      <w:r w:rsidR="00CE30FD" w:rsidRPr="00F1660D">
        <w:rPr>
          <w:lang w:val="fr-FR"/>
        </w:rPr>
        <w:t>’</w:t>
      </w:r>
      <w:r w:rsidR="00B70207" w:rsidRPr="00F1660D">
        <w:rPr>
          <w:lang w:val="fr-FR"/>
        </w:rPr>
        <w:t xml:space="preserve">instrument pour </w:t>
      </w:r>
      <w:r w:rsidR="00D50259" w:rsidRPr="00F1660D">
        <w:rPr>
          <w:lang w:val="fr-FR"/>
        </w:rPr>
        <w:br/>
      </w:r>
      <w:r w:rsidR="00B70207" w:rsidRPr="00F1660D">
        <w:rPr>
          <w:lang w:val="fr-FR"/>
        </w:rPr>
        <w:t>l</w:t>
      </w:r>
      <w:r w:rsidR="00CE30FD" w:rsidRPr="00F1660D">
        <w:rPr>
          <w:lang w:val="fr-FR"/>
        </w:rPr>
        <w:t>’</w:t>
      </w:r>
      <w:r w:rsidR="00B70207" w:rsidRPr="00F1660D">
        <w:rPr>
          <w:lang w:val="fr-FR"/>
        </w:rPr>
        <w:t>après-2020, assurer l</w:t>
      </w:r>
      <w:r w:rsidR="00CE30FD" w:rsidRPr="00F1660D">
        <w:rPr>
          <w:lang w:val="fr-FR"/>
        </w:rPr>
        <w:t>’</w:t>
      </w:r>
      <w:r w:rsidR="00B70207" w:rsidRPr="00F1660D">
        <w:rPr>
          <w:lang w:val="fr-FR"/>
        </w:rPr>
        <w:t>échange de connaissances et de technologies et renforcer</w:t>
      </w:r>
      <w:r w:rsidR="00A50629" w:rsidRPr="00F1660D">
        <w:rPr>
          <w:lang w:val="fr-FR"/>
        </w:rPr>
        <w:t xml:space="preserve"> les </w:t>
      </w:r>
      <w:r w:rsidR="00B70207" w:rsidRPr="00F1660D">
        <w:rPr>
          <w:lang w:val="fr-FR"/>
        </w:rPr>
        <w:t>capacités.</w:t>
      </w:r>
    </w:p>
    <w:p w14:paraId="58837A98" w14:textId="51579F52" w:rsidR="00B70207" w:rsidRPr="00F1660D" w:rsidRDefault="00FC1EE7" w:rsidP="00733A1C">
      <w:pPr>
        <w:pStyle w:val="Normalnumber"/>
        <w:rPr>
          <w:lang w:val="fr-FR"/>
        </w:rPr>
      </w:pPr>
      <w:r w:rsidRPr="00F1660D">
        <w:rPr>
          <w:lang w:val="fr-FR"/>
        </w:rPr>
        <w:t>Mme </w:t>
      </w:r>
      <w:proofErr w:type="spellStart"/>
      <w:r w:rsidR="00B70207" w:rsidRPr="00F1660D">
        <w:rPr>
          <w:lang w:val="fr-FR"/>
        </w:rPr>
        <w:t>Sahler</w:t>
      </w:r>
      <w:proofErr w:type="spellEnd"/>
      <w:r w:rsidR="00B70207" w:rsidRPr="00F1660D">
        <w:rPr>
          <w:lang w:val="fr-FR"/>
        </w:rPr>
        <w:t xml:space="preserve"> a tout d</w:t>
      </w:r>
      <w:r w:rsidR="00CE30FD" w:rsidRPr="00F1660D">
        <w:rPr>
          <w:lang w:val="fr-FR"/>
        </w:rPr>
        <w:t>’</w:t>
      </w:r>
      <w:r w:rsidR="00B70207" w:rsidRPr="00F1660D">
        <w:rPr>
          <w:lang w:val="fr-FR"/>
        </w:rPr>
        <w:t>abord fait observer qu</w:t>
      </w:r>
      <w:r w:rsidR="005858A5" w:rsidRPr="00F1660D">
        <w:rPr>
          <w:lang w:val="fr-FR"/>
        </w:rPr>
        <w:t>e</w:t>
      </w:r>
      <w:r w:rsidR="00A50629" w:rsidRPr="00F1660D">
        <w:rPr>
          <w:lang w:val="fr-FR"/>
        </w:rPr>
        <w:t xml:space="preserve"> le </w:t>
      </w:r>
      <w:r w:rsidR="005858A5" w:rsidRPr="00F1660D">
        <w:rPr>
          <w:lang w:val="fr-FR"/>
        </w:rPr>
        <w:t>processus intersessions d</w:t>
      </w:r>
      <w:r w:rsidR="00CE30FD" w:rsidRPr="00F1660D">
        <w:rPr>
          <w:lang w:val="fr-FR"/>
        </w:rPr>
        <w:t>’</w:t>
      </w:r>
      <w:r w:rsidR="005858A5" w:rsidRPr="00F1660D">
        <w:rPr>
          <w:lang w:val="fr-FR"/>
        </w:rPr>
        <w:t>examen de</w:t>
      </w:r>
      <w:r w:rsidR="00B70207" w:rsidRPr="00F1660D">
        <w:rPr>
          <w:lang w:val="fr-FR"/>
        </w:rPr>
        <w:t xml:space="preserve"> l</w:t>
      </w:r>
      <w:r w:rsidR="00CE30FD" w:rsidRPr="00F1660D">
        <w:rPr>
          <w:lang w:val="fr-FR"/>
        </w:rPr>
        <w:t>’</w:t>
      </w:r>
      <w:r w:rsidR="00B70207" w:rsidRPr="00F1660D">
        <w:rPr>
          <w:lang w:val="fr-FR"/>
        </w:rPr>
        <w:t>Approche stratégique de</w:t>
      </w:r>
      <w:r w:rsidR="00A50629" w:rsidRPr="00F1660D">
        <w:rPr>
          <w:lang w:val="fr-FR"/>
        </w:rPr>
        <w:t xml:space="preserve"> la </w:t>
      </w:r>
      <w:r w:rsidR="00B70207" w:rsidRPr="00F1660D">
        <w:rPr>
          <w:lang w:val="fr-FR"/>
        </w:rPr>
        <w:t>gestion internationale</w:t>
      </w:r>
      <w:r w:rsidR="00A50629" w:rsidRPr="00F1660D">
        <w:rPr>
          <w:lang w:val="fr-FR"/>
        </w:rPr>
        <w:t xml:space="preserve"> des </w:t>
      </w:r>
      <w:r w:rsidR="00B70207" w:rsidRPr="00F1660D">
        <w:rPr>
          <w:lang w:val="fr-FR"/>
        </w:rPr>
        <w:t>produits chimiques et</w:t>
      </w:r>
      <w:r w:rsidR="00A50629" w:rsidRPr="00F1660D">
        <w:rPr>
          <w:lang w:val="fr-FR"/>
        </w:rPr>
        <w:t xml:space="preserve"> la </w:t>
      </w:r>
      <w:r w:rsidR="00B70207" w:rsidRPr="00F1660D">
        <w:rPr>
          <w:lang w:val="fr-FR"/>
        </w:rPr>
        <w:t>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au-delà de 2020 avait jeté</w:t>
      </w:r>
      <w:r w:rsidR="00A50629" w:rsidRPr="00F1660D">
        <w:rPr>
          <w:lang w:val="fr-FR"/>
        </w:rPr>
        <w:t xml:space="preserve"> les </w:t>
      </w:r>
      <w:r w:rsidR="00B70207" w:rsidRPr="00F1660D">
        <w:rPr>
          <w:lang w:val="fr-FR"/>
        </w:rPr>
        <w:t>bases de négociations fructueuses qui devaient avoir lieu à</w:t>
      </w:r>
      <w:r w:rsidR="00A50629" w:rsidRPr="00F1660D">
        <w:rPr>
          <w:lang w:val="fr-FR"/>
        </w:rPr>
        <w:t xml:space="preserve"> la </w:t>
      </w:r>
      <w:r w:rsidR="00B70207" w:rsidRPr="00F1660D">
        <w:rPr>
          <w:lang w:val="fr-FR"/>
        </w:rPr>
        <w:t>réunion en cours. La vision,</w:t>
      </w:r>
      <w:r w:rsidR="00A50629" w:rsidRPr="00F1660D">
        <w:rPr>
          <w:lang w:val="fr-FR"/>
        </w:rPr>
        <w:t xml:space="preserve"> la </w:t>
      </w:r>
      <w:r w:rsidR="00B70207" w:rsidRPr="00F1660D">
        <w:rPr>
          <w:lang w:val="fr-FR"/>
        </w:rPr>
        <w:t>portée,</w:t>
      </w:r>
      <w:r w:rsidR="00A50629" w:rsidRPr="00F1660D">
        <w:rPr>
          <w:lang w:val="fr-FR"/>
        </w:rPr>
        <w:t xml:space="preserve"> les </w:t>
      </w:r>
      <w:r w:rsidR="00B70207" w:rsidRPr="00F1660D">
        <w:rPr>
          <w:lang w:val="fr-FR"/>
        </w:rPr>
        <w:t>principes et</w:t>
      </w:r>
      <w:r w:rsidR="00A50629" w:rsidRPr="00F1660D">
        <w:rPr>
          <w:lang w:val="fr-FR"/>
        </w:rPr>
        <w:t xml:space="preserve"> les </w:t>
      </w:r>
      <w:r w:rsidR="00B70207" w:rsidRPr="00F1660D">
        <w:rPr>
          <w:lang w:val="fr-FR"/>
        </w:rPr>
        <w:t>objectifs stratégiques du futur cadre de 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avaient fait l</w:t>
      </w:r>
      <w:r w:rsidR="00CE30FD" w:rsidRPr="00F1660D">
        <w:rPr>
          <w:lang w:val="fr-FR"/>
        </w:rPr>
        <w:t>’</w:t>
      </w:r>
      <w:r w:rsidR="00B70207" w:rsidRPr="00F1660D">
        <w:rPr>
          <w:lang w:val="fr-FR"/>
        </w:rPr>
        <w:t>objet d</w:t>
      </w:r>
      <w:r w:rsidR="00CE30FD" w:rsidRPr="00F1660D">
        <w:rPr>
          <w:lang w:val="fr-FR"/>
        </w:rPr>
        <w:t>’</w:t>
      </w:r>
      <w:r w:rsidR="00B70207" w:rsidRPr="00F1660D">
        <w:rPr>
          <w:lang w:val="fr-FR"/>
        </w:rPr>
        <w:t>un débat approfondi et il fallait espérer que</w:t>
      </w:r>
      <w:r w:rsidR="00A50629" w:rsidRPr="00F1660D">
        <w:rPr>
          <w:lang w:val="fr-FR"/>
        </w:rPr>
        <w:t xml:space="preserve"> la </w:t>
      </w:r>
      <w:r w:rsidR="00B70207" w:rsidRPr="00F1660D">
        <w:rPr>
          <w:lang w:val="fr-FR"/>
        </w:rPr>
        <w:t>définition de ces éléments pourrait être considérablement avancée, voire finalisée, et que ceux-ci pourraient être soumis à</w:t>
      </w:r>
      <w:r w:rsidR="00A50629" w:rsidRPr="00F1660D">
        <w:rPr>
          <w:lang w:val="fr-FR"/>
        </w:rPr>
        <w:t xml:space="preserve"> la </w:t>
      </w:r>
      <w:r w:rsidR="00B70207" w:rsidRPr="00F1660D">
        <w:rPr>
          <w:lang w:val="fr-FR"/>
        </w:rPr>
        <w:t>Conférence internationale sur</w:t>
      </w:r>
      <w:r w:rsidR="00A50629" w:rsidRPr="00F1660D">
        <w:rPr>
          <w:lang w:val="fr-FR"/>
        </w:rPr>
        <w:t xml:space="preserve"> la </w:t>
      </w:r>
      <w:r w:rsidR="00B70207" w:rsidRPr="00F1660D">
        <w:rPr>
          <w:lang w:val="fr-FR"/>
        </w:rPr>
        <w:t>gestion</w:t>
      </w:r>
      <w:r w:rsidR="00A50629" w:rsidRPr="00F1660D">
        <w:rPr>
          <w:lang w:val="fr-FR"/>
        </w:rPr>
        <w:t xml:space="preserve"> des </w:t>
      </w:r>
      <w:r w:rsidR="00B70207" w:rsidRPr="00F1660D">
        <w:rPr>
          <w:lang w:val="fr-FR"/>
        </w:rPr>
        <w:t>produits chimiques de sorte qu</w:t>
      </w:r>
      <w:r w:rsidR="00CE30FD" w:rsidRPr="00F1660D">
        <w:rPr>
          <w:lang w:val="fr-FR"/>
        </w:rPr>
        <w:t>’</w:t>
      </w:r>
      <w:r w:rsidR="00B70207" w:rsidRPr="00F1660D">
        <w:rPr>
          <w:lang w:val="fr-FR"/>
        </w:rPr>
        <w:t>elle puisse éventuellement</w:t>
      </w:r>
      <w:r w:rsidR="00A50629" w:rsidRPr="00F1660D">
        <w:rPr>
          <w:lang w:val="fr-FR"/>
        </w:rPr>
        <w:t xml:space="preserve"> les </w:t>
      </w:r>
      <w:r w:rsidR="00B70207" w:rsidRPr="00F1660D">
        <w:rPr>
          <w:lang w:val="fr-FR"/>
        </w:rPr>
        <w:t>adopter à sa</w:t>
      </w:r>
      <w:r w:rsidR="00D50259" w:rsidRPr="00F1660D">
        <w:rPr>
          <w:lang w:val="fr-FR"/>
        </w:rPr>
        <w:t> </w:t>
      </w:r>
      <w:r w:rsidR="00B70207" w:rsidRPr="00F1660D">
        <w:rPr>
          <w:lang w:val="fr-FR"/>
        </w:rPr>
        <w:t>cinquième</w:t>
      </w:r>
      <w:r w:rsidR="00D50259" w:rsidRPr="00F1660D">
        <w:rPr>
          <w:lang w:val="fr-FR"/>
        </w:rPr>
        <w:t> </w:t>
      </w:r>
      <w:r w:rsidR="00B70207" w:rsidRPr="00F1660D">
        <w:rPr>
          <w:lang w:val="fr-FR"/>
        </w:rPr>
        <w:t>session.</w:t>
      </w:r>
      <w:r w:rsidR="00A50629" w:rsidRPr="00F1660D">
        <w:rPr>
          <w:lang w:val="fr-FR"/>
        </w:rPr>
        <w:t xml:space="preserve"> Les </w:t>
      </w:r>
      <w:r w:rsidR="00B70207" w:rsidRPr="00F1660D">
        <w:rPr>
          <w:lang w:val="fr-FR"/>
        </w:rPr>
        <w:t>éléments supplémentaires</w:t>
      </w:r>
      <w:r w:rsidR="00A50629" w:rsidRPr="00F1660D">
        <w:rPr>
          <w:lang w:val="fr-FR"/>
        </w:rPr>
        <w:t xml:space="preserve"> des </w:t>
      </w:r>
      <w:r w:rsidR="00B70207" w:rsidRPr="00F1660D">
        <w:rPr>
          <w:lang w:val="fr-FR"/>
        </w:rPr>
        <w:t>dispositifs institutionnels,</w:t>
      </w:r>
      <w:r w:rsidR="00A50629" w:rsidRPr="00F1660D">
        <w:rPr>
          <w:lang w:val="fr-FR"/>
        </w:rPr>
        <w:t xml:space="preserve"> les </w:t>
      </w:r>
      <w:r w:rsidR="00B70207" w:rsidRPr="00F1660D">
        <w:rPr>
          <w:lang w:val="fr-FR"/>
        </w:rPr>
        <w:t>mécanismes d</w:t>
      </w:r>
      <w:r w:rsidR="00CE30FD" w:rsidRPr="00F1660D">
        <w:rPr>
          <w:lang w:val="fr-FR"/>
        </w:rPr>
        <w:t>’</w:t>
      </w:r>
      <w:r w:rsidR="00B70207" w:rsidRPr="00F1660D">
        <w:rPr>
          <w:lang w:val="fr-FR"/>
        </w:rPr>
        <w:t>appui à</w:t>
      </w:r>
      <w:r w:rsidR="00A50629" w:rsidRPr="00F1660D">
        <w:rPr>
          <w:lang w:val="fr-FR"/>
        </w:rPr>
        <w:t xml:space="preserve"> la </w:t>
      </w:r>
      <w:r w:rsidR="00B70207" w:rsidRPr="00F1660D">
        <w:rPr>
          <w:lang w:val="fr-FR"/>
        </w:rPr>
        <w:t>mise en œuvre et</w:t>
      </w:r>
      <w:r w:rsidR="00A50629" w:rsidRPr="00F1660D">
        <w:rPr>
          <w:lang w:val="fr-FR"/>
        </w:rPr>
        <w:t xml:space="preserve"> les </w:t>
      </w:r>
      <w:r w:rsidR="00B70207" w:rsidRPr="00F1660D">
        <w:rPr>
          <w:lang w:val="fr-FR"/>
        </w:rPr>
        <w:t>considérations financières pourraient être examinés à</w:t>
      </w:r>
      <w:r w:rsidR="00A50629" w:rsidRPr="00F1660D">
        <w:rPr>
          <w:lang w:val="fr-FR"/>
        </w:rPr>
        <w:t xml:space="preserve"> la </w:t>
      </w:r>
      <w:r w:rsidR="00B70207" w:rsidRPr="00F1660D">
        <w:rPr>
          <w:lang w:val="fr-FR"/>
        </w:rPr>
        <w:t>troisième</w:t>
      </w:r>
      <w:r w:rsidR="00D50259" w:rsidRPr="00F1660D">
        <w:rPr>
          <w:lang w:val="fr-FR"/>
        </w:rPr>
        <w:t> </w:t>
      </w:r>
      <w:r w:rsidR="00B70207" w:rsidRPr="00F1660D">
        <w:rPr>
          <w:lang w:val="fr-FR"/>
        </w:rPr>
        <w:t>réunion du processus intersessions. La Présidente a insisté sur deux points de l</w:t>
      </w:r>
      <w:r w:rsidR="00CE30FD" w:rsidRPr="00F1660D">
        <w:rPr>
          <w:lang w:val="fr-FR"/>
        </w:rPr>
        <w:t>’</w:t>
      </w:r>
      <w:r w:rsidR="00B70207" w:rsidRPr="00F1660D">
        <w:rPr>
          <w:lang w:val="fr-FR"/>
        </w:rPr>
        <w:t>ordre du jour qui étaient particulièrement importants pour</w:t>
      </w:r>
      <w:r w:rsidR="00A50629" w:rsidRPr="00F1660D">
        <w:rPr>
          <w:lang w:val="fr-FR"/>
        </w:rPr>
        <w:t xml:space="preserve"> la </w:t>
      </w:r>
      <w:r w:rsidR="00B70207" w:rsidRPr="00F1660D">
        <w:rPr>
          <w:lang w:val="fr-FR"/>
        </w:rPr>
        <w:t>réunion e</w:t>
      </w:r>
      <w:r w:rsidRPr="00F1660D">
        <w:rPr>
          <w:lang w:val="fr-FR"/>
        </w:rPr>
        <w:t>n cours. Premièrement,</w:t>
      </w:r>
      <w:r w:rsidR="00A50629" w:rsidRPr="00F1660D">
        <w:rPr>
          <w:lang w:val="fr-FR"/>
        </w:rPr>
        <w:t xml:space="preserve"> le </w:t>
      </w:r>
      <w:r w:rsidRPr="00F1660D">
        <w:rPr>
          <w:lang w:val="fr-FR"/>
        </w:rPr>
        <w:t>point </w:t>
      </w:r>
      <w:r w:rsidR="00B70207" w:rsidRPr="00F1660D">
        <w:rPr>
          <w:lang w:val="fr-FR"/>
        </w:rPr>
        <w:t>3 (L</w:t>
      </w:r>
      <w:r w:rsidR="00CE30FD" w:rsidRPr="00F1660D">
        <w:rPr>
          <w:lang w:val="fr-FR"/>
        </w:rPr>
        <w:t>’</w:t>
      </w:r>
      <w:r w:rsidR="00B70207" w:rsidRPr="00F1660D">
        <w:rPr>
          <w:lang w:val="fr-FR"/>
        </w:rPr>
        <w:t>Approche stratégique et</w:t>
      </w:r>
      <w:r w:rsidR="00A50629" w:rsidRPr="00F1660D">
        <w:rPr>
          <w:lang w:val="fr-FR"/>
        </w:rPr>
        <w:t xml:space="preserve"> la </w:t>
      </w:r>
      <w:r w:rsidR="00B70207" w:rsidRPr="00F1660D">
        <w:rPr>
          <w:lang w:val="fr-FR"/>
        </w:rPr>
        <w:t>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au-delà de 2020), dont</w:t>
      </w:r>
      <w:r w:rsidR="00A50629" w:rsidRPr="00F1660D">
        <w:rPr>
          <w:lang w:val="fr-FR"/>
        </w:rPr>
        <w:t xml:space="preserve"> les </w:t>
      </w:r>
      <w:r w:rsidR="00B70207" w:rsidRPr="00F1660D">
        <w:rPr>
          <w:lang w:val="fr-FR"/>
        </w:rPr>
        <w:t>débats seraient utilement orientés par</w:t>
      </w:r>
      <w:r w:rsidR="00A50629" w:rsidRPr="00F1660D">
        <w:rPr>
          <w:lang w:val="fr-FR"/>
        </w:rPr>
        <w:t xml:space="preserve"> le </w:t>
      </w:r>
      <w:r w:rsidR="00B70207" w:rsidRPr="00F1660D">
        <w:rPr>
          <w:lang w:val="fr-FR"/>
        </w:rPr>
        <w:t>document élaboré par</w:t>
      </w:r>
      <w:r w:rsidR="00A50629" w:rsidRPr="00F1660D">
        <w:rPr>
          <w:lang w:val="fr-FR"/>
        </w:rPr>
        <w:t xml:space="preserve"> les </w:t>
      </w:r>
      <w:r w:rsidR="00B70207" w:rsidRPr="00F1660D">
        <w:rPr>
          <w:lang w:val="fr-FR"/>
        </w:rPr>
        <w:t>coprésidents du</w:t>
      </w:r>
      <w:r w:rsidR="00D50259" w:rsidRPr="00F1660D">
        <w:rPr>
          <w:lang w:val="fr-FR"/>
        </w:rPr>
        <w:t> </w:t>
      </w:r>
      <w:r w:rsidR="00B70207" w:rsidRPr="00F1660D">
        <w:rPr>
          <w:lang w:val="fr-FR"/>
        </w:rPr>
        <w:t>processus interse</w:t>
      </w:r>
      <w:r w:rsidRPr="00F1660D">
        <w:rPr>
          <w:lang w:val="fr-FR"/>
        </w:rPr>
        <w:t>ssions ; deuxièmement,</w:t>
      </w:r>
      <w:r w:rsidR="00A50629" w:rsidRPr="00F1660D">
        <w:rPr>
          <w:lang w:val="fr-FR"/>
        </w:rPr>
        <w:t xml:space="preserve"> le </w:t>
      </w:r>
      <w:r w:rsidRPr="00F1660D">
        <w:rPr>
          <w:lang w:val="fr-FR"/>
        </w:rPr>
        <w:t>point </w:t>
      </w:r>
      <w:r w:rsidR="00B70207" w:rsidRPr="00F1660D">
        <w:rPr>
          <w:lang w:val="fr-FR"/>
        </w:rPr>
        <w:t>4 (Progrès accomplis dans</w:t>
      </w:r>
      <w:r w:rsidR="00A50629" w:rsidRPr="00F1660D">
        <w:rPr>
          <w:lang w:val="fr-FR"/>
        </w:rPr>
        <w:t xml:space="preserve"> la </w:t>
      </w:r>
      <w:r w:rsidR="00B70207" w:rsidRPr="00F1660D">
        <w:rPr>
          <w:lang w:val="fr-FR"/>
        </w:rPr>
        <w:t>réalisation de l</w:t>
      </w:r>
      <w:r w:rsidR="00CE30FD" w:rsidRPr="00F1660D">
        <w:rPr>
          <w:lang w:val="fr-FR"/>
        </w:rPr>
        <w:t>’</w:t>
      </w:r>
      <w:r w:rsidR="00B70207" w:rsidRPr="00F1660D">
        <w:rPr>
          <w:lang w:val="fr-FR"/>
        </w:rPr>
        <w:t>objectif global d</w:t>
      </w:r>
      <w:r w:rsidR="00CE30FD" w:rsidRPr="00F1660D">
        <w:rPr>
          <w:lang w:val="fr-FR"/>
        </w:rPr>
        <w:t>’</w:t>
      </w:r>
      <w:r w:rsidR="00B70207" w:rsidRPr="00F1660D">
        <w:rPr>
          <w:lang w:val="fr-FR"/>
        </w:rPr>
        <w:t>une gestion rationnelle</w:t>
      </w:r>
      <w:r w:rsidR="00A50629" w:rsidRPr="00F1660D">
        <w:rPr>
          <w:lang w:val="fr-FR"/>
        </w:rPr>
        <w:t xml:space="preserve"> des </w:t>
      </w:r>
      <w:r w:rsidR="00B70207" w:rsidRPr="00F1660D">
        <w:rPr>
          <w:lang w:val="fr-FR"/>
        </w:rPr>
        <w:t>produits chimiques fixé pour 2020). Si quelques progrès avaient été accomplis, l</w:t>
      </w:r>
      <w:r w:rsidR="00CE30FD" w:rsidRPr="00F1660D">
        <w:rPr>
          <w:lang w:val="fr-FR"/>
        </w:rPr>
        <w:t>’</w:t>
      </w:r>
      <w:r w:rsidR="00B70207" w:rsidRPr="00F1660D">
        <w:rPr>
          <w:lang w:val="fr-FR"/>
        </w:rPr>
        <w:t>Approche stratégique – plateforme volontaire, multisectorielle et multipartite – s</w:t>
      </w:r>
      <w:r w:rsidR="00CE30FD" w:rsidRPr="00F1660D">
        <w:rPr>
          <w:lang w:val="fr-FR"/>
        </w:rPr>
        <w:t>’</w:t>
      </w:r>
      <w:r w:rsidR="00B70207" w:rsidRPr="00F1660D">
        <w:rPr>
          <w:lang w:val="fr-FR"/>
        </w:rPr>
        <w:t>était avérée incapable de tenir toutes</w:t>
      </w:r>
      <w:r w:rsidR="00A50629" w:rsidRPr="00F1660D">
        <w:rPr>
          <w:lang w:val="fr-FR"/>
        </w:rPr>
        <w:t xml:space="preserve"> les </w:t>
      </w:r>
      <w:r w:rsidR="00B70207" w:rsidRPr="00F1660D">
        <w:rPr>
          <w:lang w:val="fr-FR"/>
        </w:rPr>
        <w:t>promesses faites à son lancement en 2006. L</w:t>
      </w:r>
      <w:r w:rsidR="00CE30FD" w:rsidRPr="00F1660D">
        <w:rPr>
          <w:lang w:val="fr-FR"/>
        </w:rPr>
        <w:t>’</w:t>
      </w:r>
      <w:r w:rsidR="00B70207" w:rsidRPr="00F1660D">
        <w:rPr>
          <w:lang w:val="fr-FR"/>
        </w:rPr>
        <w:t>objectif fixé pour</w:t>
      </w:r>
      <w:r w:rsidR="00D50259" w:rsidRPr="00F1660D">
        <w:rPr>
          <w:lang w:val="fr-FR"/>
        </w:rPr>
        <w:t> </w:t>
      </w:r>
      <w:r w:rsidR="00B70207" w:rsidRPr="00F1660D">
        <w:rPr>
          <w:lang w:val="fr-FR"/>
        </w:rPr>
        <w:t>2020 ne serait pas atteint et</w:t>
      </w:r>
      <w:r w:rsidR="00A50629" w:rsidRPr="00F1660D">
        <w:rPr>
          <w:lang w:val="fr-FR"/>
        </w:rPr>
        <w:t xml:space="preserve"> la </w:t>
      </w:r>
      <w:r w:rsidR="00B70207" w:rsidRPr="00F1660D">
        <w:rPr>
          <w:lang w:val="fr-FR"/>
        </w:rPr>
        <w:t>cohérence et</w:t>
      </w:r>
      <w:r w:rsidR="00A50629" w:rsidRPr="00F1660D">
        <w:rPr>
          <w:lang w:val="fr-FR"/>
        </w:rPr>
        <w:t xml:space="preserve"> les </w:t>
      </w:r>
      <w:r w:rsidR="00B70207" w:rsidRPr="00F1660D">
        <w:rPr>
          <w:lang w:val="fr-FR"/>
        </w:rPr>
        <w:t>synergies entre</w:t>
      </w:r>
      <w:r w:rsidR="00A50629" w:rsidRPr="00F1660D">
        <w:rPr>
          <w:lang w:val="fr-FR"/>
        </w:rPr>
        <w:t xml:space="preserve"> les </w:t>
      </w:r>
      <w:r w:rsidR="00B70207" w:rsidRPr="00F1660D">
        <w:rPr>
          <w:lang w:val="fr-FR"/>
        </w:rPr>
        <w:t>organisations qui devaient contribuer à</w:t>
      </w:r>
      <w:r w:rsidR="00A50629" w:rsidRPr="00F1660D">
        <w:rPr>
          <w:lang w:val="fr-FR"/>
        </w:rPr>
        <w:t xml:space="preserve"> la </w:t>
      </w:r>
      <w:r w:rsidR="00B70207" w:rsidRPr="00F1660D">
        <w:rPr>
          <w:lang w:val="fr-FR"/>
        </w:rPr>
        <w:t>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n</w:t>
      </w:r>
      <w:r w:rsidR="00CE30FD" w:rsidRPr="00F1660D">
        <w:rPr>
          <w:lang w:val="fr-FR"/>
        </w:rPr>
        <w:t>’</w:t>
      </w:r>
      <w:r w:rsidR="00B70207" w:rsidRPr="00F1660D">
        <w:rPr>
          <w:lang w:val="fr-FR"/>
        </w:rPr>
        <w:t xml:space="preserve">avaient pas été </w:t>
      </w:r>
      <w:r w:rsidR="007436D8" w:rsidRPr="00F1660D">
        <w:rPr>
          <w:lang w:val="fr-FR"/>
        </w:rPr>
        <w:t xml:space="preserve">suffisamment </w:t>
      </w:r>
      <w:r w:rsidR="00B70207" w:rsidRPr="00F1660D">
        <w:rPr>
          <w:lang w:val="fr-FR"/>
        </w:rPr>
        <w:t>renforcées. Il restait donc beaucoup à faire. La deuxième édition du rapport Global Chemicals Outlook (Perspectives mondiales en matière de produits chimiques), qui avait été publiée peu de temps auparavant sous</w:t>
      </w:r>
      <w:r w:rsidR="00A50629" w:rsidRPr="00F1660D">
        <w:rPr>
          <w:lang w:val="fr-FR"/>
        </w:rPr>
        <w:t xml:space="preserve"> le </w:t>
      </w:r>
      <w:r w:rsidR="00B70207" w:rsidRPr="00F1660D">
        <w:rPr>
          <w:lang w:val="fr-FR"/>
        </w:rPr>
        <w:t>titre « </w:t>
      </w:r>
      <w:proofErr w:type="spellStart"/>
      <w:r w:rsidR="00B70207" w:rsidRPr="00F1660D">
        <w:rPr>
          <w:i/>
          <w:iCs/>
          <w:lang w:val="fr-FR"/>
        </w:rPr>
        <w:t>From</w:t>
      </w:r>
      <w:proofErr w:type="spellEnd"/>
      <w:r w:rsidR="00B70207" w:rsidRPr="00F1660D">
        <w:rPr>
          <w:i/>
          <w:iCs/>
          <w:lang w:val="fr-FR"/>
        </w:rPr>
        <w:t xml:space="preserve"> </w:t>
      </w:r>
      <w:proofErr w:type="spellStart"/>
      <w:r w:rsidR="00B70207" w:rsidRPr="00F1660D">
        <w:rPr>
          <w:i/>
          <w:iCs/>
          <w:lang w:val="fr-FR"/>
        </w:rPr>
        <w:t>L</w:t>
      </w:r>
      <w:r w:rsidRPr="00F1660D">
        <w:rPr>
          <w:i/>
          <w:iCs/>
          <w:lang w:val="fr-FR"/>
        </w:rPr>
        <w:t>egacies</w:t>
      </w:r>
      <w:proofErr w:type="spellEnd"/>
      <w:r w:rsidRPr="00F1660D">
        <w:rPr>
          <w:i/>
          <w:iCs/>
          <w:lang w:val="fr-FR"/>
        </w:rPr>
        <w:t xml:space="preserve"> to Innovative Solutions</w:t>
      </w:r>
      <w:r w:rsidR="00F908EE" w:rsidRPr="00F1660D">
        <w:rPr>
          <w:i/>
          <w:iCs/>
          <w:lang w:val="fr-FR"/>
        </w:rPr>
        <w:t xml:space="preserve"> </w:t>
      </w:r>
      <w:r w:rsidR="00B70207" w:rsidRPr="00F1660D">
        <w:rPr>
          <w:i/>
          <w:iCs/>
          <w:lang w:val="fr-FR"/>
        </w:rPr>
        <w:t xml:space="preserve">: </w:t>
      </w:r>
      <w:proofErr w:type="spellStart"/>
      <w:r w:rsidR="00B70207" w:rsidRPr="00F1660D">
        <w:rPr>
          <w:i/>
          <w:iCs/>
          <w:lang w:val="fr-FR"/>
        </w:rPr>
        <w:t>Implementing</w:t>
      </w:r>
      <w:proofErr w:type="spellEnd"/>
      <w:r w:rsidR="00B70207" w:rsidRPr="00F1660D">
        <w:rPr>
          <w:i/>
          <w:iCs/>
          <w:lang w:val="fr-FR"/>
        </w:rPr>
        <w:t xml:space="preserve"> the 2030 Agenda for </w:t>
      </w:r>
      <w:proofErr w:type="spellStart"/>
      <w:r w:rsidR="00B70207" w:rsidRPr="00F1660D">
        <w:rPr>
          <w:i/>
          <w:iCs/>
          <w:lang w:val="fr-FR"/>
        </w:rPr>
        <w:t>Sustainable</w:t>
      </w:r>
      <w:proofErr w:type="spellEnd"/>
      <w:r w:rsidR="00B70207" w:rsidRPr="00F1660D">
        <w:rPr>
          <w:i/>
          <w:iCs/>
          <w:lang w:val="fr-FR"/>
        </w:rPr>
        <w:t xml:space="preserve"> </w:t>
      </w:r>
      <w:proofErr w:type="spellStart"/>
      <w:r w:rsidR="00B70207" w:rsidRPr="00F1660D">
        <w:rPr>
          <w:i/>
          <w:iCs/>
          <w:lang w:val="fr-FR"/>
        </w:rPr>
        <w:t>Development</w:t>
      </w:r>
      <w:proofErr w:type="spellEnd"/>
      <w:r w:rsidR="00B70207" w:rsidRPr="00F1660D">
        <w:rPr>
          <w:lang w:val="fr-FR"/>
        </w:rPr>
        <w:t> », appelait à</w:t>
      </w:r>
      <w:r w:rsidR="00A50629" w:rsidRPr="00F1660D">
        <w:rPr>
          <w:lang w:val="fr-FR"/>
        </w:rPr>
        <w:t xml:space="preserve"> la </w:t>
      </w:r>
      <w:r w:rsidR="00B70207" w:rsidRPr="00F1660D">
        <w:rPr>
          <w:lang w:val="fr-FR"/>
        </w:rPr>
        <w:t>mise en place d</w:t>
      </w:r>
      <w:r w:rsidR="00CE30FD" w:rsidRPr="00F1660D">
        <w:rPr>
          <w:lang w:val="fr-FR"/>
        </w:rPr>
        <w:t>’</w:t>
      </w:r>
      <w:r w:rsidR="00B70207" w:rsidRPr="00F1660D">
        <w:rPr>
          <w:lang w:val="fr-FR"/>
        </w:rPr>
        <w:t>un cadre mondial complet pour stimuler l</w:t>
      </w:r>
      <w:r w:rsidR="00CE30FD" w:rsidRPr="00F1660D">
        <w:rPr>
          <w:lang w:val="fr-FR"/>
        </w:rPr>
        <w:t>’</w:t>
      </w:r>
      <w:r w:rsidR="00B70207" w:rsidRPr="00F1660D">
        <w:rPr>
          <w:lang w:val="fr-FR"/>
        </w:rPr>
        <w:t>engagement et</w:t>
      </w:r>
      <w:r w:rsidR="00A50629" w:rsidRPr="00F1660D">
        <w:rPr>
          <w:lang w:val="fr-FR"/>
        </w:rPr>
        <w:t xml:space="preserve"> la </w:t>
      </w:r>
      <w:r w:rsidR="00B70207" w:rsidRPr="00F1660D">
        <w:rPr>
          <w:lang w:val="fr-FR"/>
        </w:rPr>
        <w:t xml:space="preserve">participation de </w:t>
      </w:r>
      <w:r w:rsidRPr="00F1660D">
        <w:rPr>
          <w:lang w:val="fr-FR"/>
        </w:rPr>
        <w:t>tous</w:t>
      </w:r>
      <w:r w:rsidR="00A50629" w:rsidRPr="00F1660D">
        <w:rPr>
          <w:lang w:val="fr-FR"/>
        </w:rPr>
        <w:t xml:space="preserve"> les </w:t>
      </w:r>
      <w:r w:rsidRPr="00F1660D">
        <w:rPr>
          <w:lang w:val="fr-FR"/>
        </w:rPr>
        <w:t>acteurs concernés. Mme </w:t>
      </w:r>
      <w:proofErr w:type="spellStart"/>
      <w:r w:rsidR="00B70207" w:rsidRPr="00F1660D">
        <w:rPr>
          <w:lang w:val="fr-FR"/>
        </w:rPr>
        <w:t>Sahler</w:t>
      </w:r>
      <w:proofErr w:type="spellEnd"/>
      <w:r w:rsidR="00B70207" w:rsidRPr="00F1660D">
        <w:rPr>
          <w:lang w:val="fr-FR"/>
        </w:rPr>
        <w:t xml:space="preserve"> a invité</w:t>
      </w:r>
      <w:r w:rsidR="00A50629" w:rsidRPr="00F1660D">
        <w:rPr>
          <w:lang w:val="fr-FR"/>
        </w:rPr>
        <w:t xml:space="preserve"> les </w:t>
      </w:r>
      <w:r w:rsidR="00B70207" w:rsidRPr="00F1660D">
        <w:rPr>
          <w:lang w:val="fr-FR"/>
        </w:rPr>
        <w:t>représentants à examiner</w:t>
      </w:r>
      <w:r w:rsidR="00A50629" w:rsidRPr="00F1660D">
        <w:rPr>
          <w:lang w:val="fr-FR"/>
        </w:rPr>
        <w:t xml:space="preserve"> la </w:t>
      </w:r>
      <w:r w:rsidR="00B70207" w:rsidRPr="00F1660D">
        <w:rPr>
          <w:lang w:val="fr-FR"/>
        </w:rPr>
        <w:t>forme qu</w:t>
      </w:r>
      <w:r w:rsidR="00CE30FD" w:rsidRPr="00F1660D">
        <w:rPr>
          <w:lang w:val="fr-FR"/>
        </w:rPr>
        <w:t>’</w:t>
      </w:r>
      <w:r w:rsidR="00B70207" w:rsidRPr="00F1660D">
        <w:rPr>
          <w:lang w:val="fr-FR"/>
        </w:rPr>
        <w:t xml:space="preserve">un tel cadre pourrait prendre. </w:t>
      </w:r>
    </w:p>
    <w:p w14:paraId="47030B56" w14:textId="1B377A24" w:rsidR="00B70207" w:rsidRPr="00F1660D" w:rsidRDefault="00B70207" w:rsidP="00733A1C">
      <w:pPr>
        <w:pStyle w:val="Normalnumber"/>
        <w:rPr>
          <w:lang w:val="fr-FR"/>
        </w:rPr>
      </w:pPr>
      <w:r w:rsidRPr="00F1660D">
        <w:rPr>
          <w:lang w:val="fr-FR"/>
        </w:rPr>
        <w:t>S</w:t>
      </w:r>
      <w:r w:rsidR="00CE30FD" w:rsidRPr="00F1660D">
        <w:rPr>
          <w:lang w:val="fr-FR"/>
        </w:rPr>
        <w:t>’</w:t>
      </w:r>
      <w:r w:rsidRPr="00F1660D">
        <w:rPr>
          <w:lang w:val="fr-FR"/>
        </w:rPr>
        <w:t>exprimant</w:t>
      </w:r>
      <w:r w:rsidR="00A50629" w:rsidRPr="00F1660D">
        <w:rPr>
          <w:lang w:val="fr-FR"/>
        </w:rPr>
        <w:t xml:space="preserve"> au </w:t>
      </w:r>
      <w:r w:rsidRPr="00F1660D">
        <w:rPr>
          <w:lang w:val="fr-FR"/>
        </w:rPr>
        <w:t>nom de l</w:t>
      </w:r>
      <w:r w:rsidR="00CE30FD" w:rsidRPr="00F1660D">
        <w:rPr>
          <w:lang w:val="fr-FR"/>
        </w:rPr>
        <w:t>’</w:t>
      </w:r>
      <w:r w:rsidRPr="00F1660D">
        <w:rPr>
          <w:lang w:val="fr-FR"/>
        </w:rPr>
        <w:t>Union europée</w:t>
      </w:r>
      <w:r w:rsidR="00FC1EE7" w:rsidRPr="00F1660D">
        <w:rPr>
          <w:lang w:val="fr-FR"/>
        </w:rPr>
        <w:t>nne et de ses États membres, M. </w:t>
      </w:r>
      <w:proofErr w:type="spellStart"/>
      <w:r w:rsidRPr="00F1660D">
        <w:rPr>
          <w:lang w:val="fr-FR"/>
        </w:rPr>
        <w:t>Neculaescu</w:t>
      </w:r>
      <w:proofErr w:type="spellEnd"/>
      <w:r w:rsidRPr="00F1660D">
        <w:rPr>
          <w:lang w:val="fr-FR"/>
        </w:rPr>
        <w:t xml:space="preserve"> a déclaré que</w:t>
      </w:r>
      <w:r w:rsidR="00A50629" w:rsidRPr="00F1660D">
        <w:rPr>
          <w:lang w:val="fr-FR"/>
        </w:rPr>
        <w:t xml:space="preserve"> le </w:t>
      </w:r>
      <w:r w:rsidRPr="00F1660D">
        <w:rPr>
          <w:lang w:val="fr-FR"/>
        </w:rPr>
        <w:t>document établi par</w:t>
      </w:r>
      <w:r w:rsidR="00A50629" w:rsidRPr="00F1660D">
        <w:rPr>
          <w:lang w:val="fr-FR"/>
        </w:rPr>
        <w:t xml:space="preserve"> les </w:t>
      </w:r>
      <w:r w:rsidRPr="00F1660D">
        <w:rPr>
          <w:lang w:val="fr-FR"/>
        </w:rPr>
        <w:t>coprésidents servirait utilement à élaborer</w:t>
      </w:r>
      <w:r w:rsidR="00A50629" w:rsidRPr="00F1660D">
        <w:rPr>
          <w:lang w:val="fr-FR"/>
        </w:rPr>
        <w:t xml:space="preserve"> des </w:t>
      </w:r>
      <w:r w:rsidRPr="00F1660D">
        <w:rPr>
          <w:lang w:val="fr-FR"/>
        </w:rPr>
        <w:t>recommandations concrètes sur l</w:t>
      </w:r>
      <w:r w:rsidR="00CE30FD" w:rsidRPr="00F1660D">
        <w:rPr>
          <w:lang w:val="fr-FR"/>
        </w:rPr>
        <w:t>’</w:t>
      </w:r>
      <w:r w:rsidRPr="00F1660D">
        <w:rPr>
          <w:lang w:val="fr-FR"/>
        </w:rPr>
        <w:t>Approche stratégique et</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w:t>
      </w:r>
      <w:r w:rsidRPr="00F1660D">
        <w:rPr>
          <w:lang w:val="fr-FR"/>
        </w:rPr>
        <w:noBreakHyphen/>
        <w:t>delà de 2020. L</w:t>
      </w:r>
      <w:r w:rsidR="00CE30FD" w:rsidRPr="00F1660D">
        <w:rPr>
          <w:lang w:val="fr-FR"/>
        </w:rPr>
        <w:t>’</w:t>
      </w:r>
      <w:r w:rsidRPr="00F1660D">
        <w:rPr>
          <w:lang w:val="fr-FR"/>
        </w:rPr>
        <w:t>Union européenne et ses États membres avaient mené</w:t>
      </w:r>
      <w:r w:rsidR="00A50629" w:rsidRPr="00F1660D">
        <w:rPr>
          <w:lang w:val="fr-FR"/>
        </w:rPr>
        <w:t xml:space="preserve"> des </w:t>
      </w:r>
      <w:r w:rsidRPr="00F1660D">
        <w:rPr>
          <w:lang w:val="fr-FR"/>
        </w:rPr>
        <w:t>travaux similaires qui seraient présentés à</w:t>
      </w:r>
      <w:r w:rsidR="00A50629" w:rsidRPr="00F1660D">
        <w:rPr>
          <w:lang w:val="fr-FR"/>
        </w:rPr>
        <w:t xml:space="preserve"> la </w:t>
      </w:r>
      <w:r w:rsidRPr="00F1660D">
        <w:rPr>
          <w:lang w:val="fr-FR"/>
        </w:rPr>
        <w:t>réunion en cours. Se déroulant à un moment crucial, à savoir dans</w:t>
      </w:r>
      <w:r w:rsidR="00A50629" w:rsidRPr="00F1660D">
        <w:rPr>
          <w:lang w:val="fr-FR"/>
        </w:rPr>
        <w:t xml:space="preserve"> la </w:t>
      </w:r>
      <w:r w:rsidRPr="00F1660D">
        <w:rPr>
          <w:lang w:val="fr-FR"/>
        </w:rPr>
        <w:t>foulée de</w:t>
      </w:r>
      <w:r w:rsidR="00A50629" w:rsidRPr="00F1660D">
        <w:rPr>
          <w:lang w:val="fr-FR"/>
        </w:rPr>
        <w:t xml:space="preserve"> la </w:t>
      </w:r>
      <w:r w:rsidRPr="00F1660D">
        <w:rPr>
          <w:lang w:val="fr-FR"/>
        </w:rPr>
        <w:t>quatrième session de l</w:t>
      </w:r>
      <w:r w:rsidR="00CE30FD" w:rsidRPr="00F1660D">
        <w:rPr>
          <w:lang w:val="fr-FR"/>
        </w:rPr>
        <w:t>’</w:t>
      </w:r>
      <w:r w:rsidRPr="00F1660D">
        <w:rPr>
          <w:lang w:val="fr-FR"/>
        </w:rPr>
        <w:t>Assemblée</w:t>
      </w:r>
      <w:r w:rsidR="00A50629" w:rsidRPr="00F1660D">
        <w:rPr>
          <w:lang w:val="fr-FR"/>
        </w:rPr>
        <w:t xml:space="preserve"> des </w:t>
      </w:r>
      <w:r w:rsidR="002C67A2" w:rsidRPr="00F1660D">
        <w:rPr>
          <w:lang w:val="fr-FR"/>
        </w:rPr>
        <w:t>Nations Unies</w:t>
      </w:r>
      <w:r w:rsidRPr="00F1660D">
        <w:rPr>
          <w:lang w:val="fr-FR"/>
        </w:rPr>
        <w:t xml:space="preserve"> pour l</w:t>
      </w:r>
      <w:r w:rsidR="00CE30FD" w:rsidRPr="00F1660D">
        <w:rPr>
          <w:lang w:val="fr-FR"/>
        </w:rPr>
        <w:t>’</w:t>
      </w:r>
      <w:r w:rsidRPr="00F1660D">
        <w:rPr>
          <w:lang w:val="fr-FR"/>
        </w:rPr>
        <w:t>environnement et après</w:t>
      </w:r>
      <w:r w:rsidR="00A50629" w:rsidRPr="00F1660D">
        <w:rPr>
          <w:lang w:val="fr-FR"/>
        </w:rPr>
        <w:t xml:space="preserve"> le </w:t>
      </w:r>
      <w:r w:rsidRPr="00F1660D">
        <w:rPr>
          <w:lang w:val="fr-FR"/>
        </w:rPr>
        <w:t>lancement de l</w:t>
      </w:r>
      <w:r w:rsidR="00CE30FD" w:rsidRPr="00F1660D">
        <w:rPr>
          <w:lang w:val="fr-FR"/>
        </w:rPr>
        <w:t>’</w:t>
      </w:r>
      <w:r w:rsidRPr="00F1660D">
        <w:rPr>
          <w:lang w:val="fr-FR"/>
        </w:rPr>
        <w:t>Alliance de grande ambition sur</w:t>
      </w:r>
      <w:r w:rsidR="00A50629" w:rsidRPr="00F1660D">
        <w:rPr>
          <w:lang w:val="fr-FR"/>
        </w:rPr>
        <w:t xml:space="preserve"> les </w:t>
      </w:r>
      <w:r w:rsidRPr="00F1660D">
        <w:rPr>
          <w:lang w:val="fr-FR"/>
        </w:rPr>
        <w:t>produits chimiques et</w:t>
      </w:r>
      <w:r w:rsidR="00A50629" w:rsidRPr="00F1660D">
        <w:rPr>
          <w:lang w:val="fr-FR"/>
        </w:rPr>
        <w:t xml:space="preserve"> les </w:t>
      </w:r>
      <w:r w:rsidRPr="00F1660D">
        <w:rPr>
          <w:lang w:val="fr-FR"/>
        </w:rPr>
        <w:t>déchets, qui avaient toutes deux</w:t>
      </w:r>
      <w:r w:rsidR="00D50259" w:rsidRPr="00F1660D">
        <w:rPr>
          <w:lang w:val="fr-FR"/>
        </w:rPr>
        <w:t> </w:t>
      </w:r>
      <w:r w:rsidRPr="00F1660D">
        <w:rPr>
          <w:lang w:val="fr-FR"/>
        </w:rPr>
        <w:t>démontré que</w:t>
      </w:r>
      <w:r w:rsidR="00A50629" w:rsidRPr="00F1660D">
        <w:rPr>
          <w:lang w:val="fr-FR"/>
        </w:rPr>
        <w:t xml:space="preserve"> le </w:t>
      </w:r>
      <w:r w:rsidRPr="00F1660D">
        <w:rPr>
          <w:lang w:val="fr-FR"/>
        </w:rPr>
        <w:t>monde politique avait conscience qu</w:t>
      </w:r>
      <w:r w:rsidR="00CE30FD" w:rsidRPr="00F1660D">
        <w:rPr>
          <w:lang w:val="fr-FR"/>
        </w:rPr>
        <w:t>’</w:t>
      </w:r>
      <w:r w:rsidRPr="00F1660D">
        <w:rPr>
          <w:lang w:val="fr-FR"/>
        </w:rPr>
        <w:t>il importait d</w:t>
      </w:r>
      <w:r w:rsidR="00CE30FD" w:rsidRPr="00F1660D">
        <w:rPr>
          <w:lang w:val="fr-FR"/>
        </w:rPr>
        <w:t>’</w:t>
      </w:r>
      <w:r w:rsidRPr="00F1660D">
        <w:rPr>
          <w:lang w:val="fr-FR"/>
        </w:rPr>
        <w:t>assurer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A50629" w:rsidRPr="00F1660D">
        <w:rPr>
          <w:lang w:val="fr-FR"/>
        </w:rPr>
        <w:t xml:space="preserve"> la </w:t>
      </w:r>
      <w:r w:rsidRPr="00F1660D">
        <w:rPr>
          <w:lang w:val="fr-FR"/>
        </w:rPr>
        <w:t>réunion en cours donnait l</w:t>
      </w:r>
      <w:r w:rsidR="00CE30FD" w:rsidRPr="00F1660D">
        <w:rPr>
          <w:lang w:val="fr-FR"/>
        </w:rPr>
        <w:t>’</w:t>
      </w:r>
      <w:r w:rsidRPr="00F1660D">
        <w:rPr>
          <w:lang w:val="fr-FR"/>
        </w:rPr>
        <w:t>occasion de faire véritablement évoluer</w:t>
      </w:r>
      <w:r w:rsidR="00A50629" w:rsidRPr="00F1660D">
        <w:rPr>
          <w:lang w:val="fr-FR"/>
        </w:rPr>
        <w:t xml:space="preserve"> la </w:t>
      </w:r>
      <w:r w:rsidRPr="00F1660D">
        <w:rPr>
          <w:lang w:val="fr-FR"/>
        </w:rPr>
        <w:t>situation. Il ressortait de</w:t>
      </w:r>
      <w:r w:rsidR="00A50629" w:rsidRPr="00F1660D">
        <w:rPr>
          <w:lang w:val="fr-FR"/>
        </w:rPr>
        <w:t xml:space="preserve"> la </w:t>
      </w:r>
      <w:r w:rsidRPr="00F1660D">
        <w:rPr>
          <w:lang w:val="fr-FR"/>
        </w:rPr>
        <w:t>deuxième édition du rapport sur</w:t>
      </w:r>
      <w:r w:rsidR="00A50629" w:rsidRPr="00F1660D">
        <w:rPr>
          <w:lang w:val="fr-FR"/>
        </w:rPr>
        <w:t xml:space="preserve"> les </w:t>
      </w:r>
      <w:r w:rsidRPr="00F1660D">
        <w:rPr>
          <w:lang w:val="fr-FR"/>
        </w:rPr>
        <w:t>perspectives mondiales en matière de produits chimiques, qui indiquait que l</w:t>
      </w:r>
      <w:r w:rsidR="00CE30FD" w:rsidRPr="00F1660D">
        <w:rPr>
          <w:lang w:val="fr-FR"/>
        </w:rPr>
        <w:t>’</w:t>
      </w:r>
      <w:r w:rsidRPr="00F1660D">
        <w:rPr>
          <w:lang w:val="fr-FR"/>
        </w:rPr>
        <w:t>objectif fixé pour 2020 ne serait pas atteint, que</w:t>
      </w:r>
      <w:r w:rsidR="00A50629" w:rsidRPr="00F1660D">
        <w:rPr>
          <w:lang w:val="fr-FR"/>
        </w:rPr>
        <w:t xml:space="preserve"> le </w:t>
      </w:r>
      <w:r w:rsidRPr="00F1660D">
        <w:rPr>
          <w:lang w:val="fr-FR"/>
        </w:rPr>
        <w:t>statu quo n</w:t>
      </w:r>
      <w:r w:rsidR="00CE30FD" w:rsidRPr="00F1660D">
        <w:rPr>
          <w:lang w:val="fr-FR"/>
        </w:rPr>
        <w:t>’</w:t>
      </w:r>
      <w:r w:rsidRPr="00F1660D">
        <w:rPr>
          <w:lang w:val="fr-FR"/>
        </w:rPr>
        <w:t>était pas une option viable.</w:t>
      </w:r>
      <w:r w:rsidR="00A50629" w:rsidRPr="00F1660D">
        <w:rPr>
          <w:lang w:val="fr-FR"/>
        </w:rPr>
        <w:t xml:space="preserve"> Les </w:t>
      </w:r>
      <w:r w:rsidRPr="00F1660D">
        <w:rPr>
          <w:lang w:val="fr-FR"/>
        </w:rPr>
        <w:t>décideurs devaient redoubler d</w:t>
      </w:r>
      <w:r w:rsidR="00CE30FD" w:rsidRPr="00F1660D">
        <w:rPr>
          <w:lang w:val="fr-FR"/>
        </w:rPr>
        <w:t>’</w:t>
      </w:r>
      <w:r w:rsidRPr="00F1660D">
        <w:rPr>
          <w:lang w:val="fr-FR"/>
        </w:rPr>
        <w:t>efforts pour atteindre l</w:t>
      </w:r>
      <w:r w:rsidR="00CE30FD" w:rsidRPr="00F1660D">
        <w:rPr>
          <w:lang w:val="fr-FR"/>
        </w:rPr>
        <w:t>’</w:t>
      </w:r>
      <w:r w:rsidRPr="00F1660D">
        <w:rPr>
          <w:lang w:val="fr-FR"/>
        </w:rPr>
        <w:t>objectif d</w:t>
      </w:r>
      <w:r w:rsidR="00CE30FD" w:rsidRPr="00F1660D">
        <w:rPr>
          <w:lang w:val="fr-FR"/>
        </w:rPr>
        <w:t>’</w:t>
      </w:r>
      <w:r w:rsidRPr="00F1660D">
        <w:rPr>
          <w:lang w:val="fr-FR"/>
        </w:rPr>
        <w:t>ici à 2030</w:t>
      </w:r>
      <w:r w:rsidR="00A50629" w:rsidRPr="00F1660D">
        <w:rPr>
          <w:lang w:val="fr-FR"/>
        </w:rPr>
        <w:t xml:space="preserve"> au </w:t>
      </w:r>
      <w:r w:rsidRPr="00F1660D">
        <w:rPr>
          <w:lang w:val="fr-FR"/>
        </w:rPr>
        <w:t>plus tard. Toutes</w:t>
      </w:r>
      <w:r w:rsidR="00A50629" w:rsidRPr="00F1660D">
        <w:rPr>
          <w:lang w:val="fr-FR"/>
        </w:rPr>
        <w:t xml:space="preserve"> les </w:t>
      </w:r>
      <w:r w:rsidRPr="00F1660D">
        <w:rPr>
          <w:lang w:val="fr-FR"/>
        </w:rPr>
        <w:t>parties prenantes devaient prendre</w:t>
      </w:r>
      <w:r w:rsidR="00A50629" w:rsidRPr="00F1660D">
        <w:rPr>
          <w:lang w:val="fr-FR"/>
        </w:rPr>
        <w:t xml:space="preserve"> des </w:t>
      </w:r>
      <w:r w:rsidRPr="00F1660D">
        <w:rPr>
          <w:lang w:val="fr-FR"/>
        </w:rPr>
        <w:t>mesures d</w:t>
      </w:r>
      <w:r w:rsidR="00CE30FD" w:rsidRPr="00F1660D">
        <w:rPr>
          <w:lang w:val="fr-FR"/>
        </w:rPr>
        <w:t>’</w:t>
      </w:r>
      <w:r w:rsidRPr="00F1660D">
        <w:rPr>
          <w:lang w:val="fr-FR"/>
        </w:rPr>
        <w:t>urgence pour renforcer et hiérarchiser</w:t>
      </w:r>
      <w:r w:rsidR="00A50629" w:rsidRPr="00F1660D">
        <w:rPr>
          <w:lang w:val="fr-FR"/>
        </w:rPr>
        <w:t xml:space="preserve"> les </w:t>
      </w:r>
      <w:r w:rsidRPr="00F1660D">
        <w:rPr>
          <w:lang w:val="fr-FR"/>
        </w:rPr>
        <w:t>efforts visant à parvenir à</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A50629" w:rsidRPr="00F1660D">
        <w:rPr>
          <w:lang w:val="fr-FR"/>
        </w:rPr>
        <w:t xml:space="preserve"> y </w:t>
      </w:r>
      <w:r w:rsidRPr="00F1660D">
        <w:rPr>
          <w:lang w:val="fr-FR"/>
        </w:rPr>
        <w:t>compris adopter un meilleur cadre permettant de mettre en œuvre efficacement</w:t>
      </w:r>
      <w:r w:rsidR="00A50629" w:rsidRPr="00F1660D">
        <w:rPr>
          <w:lang w:val="fr-FR"/>
        </w:rPr>
        <w:t xml:space="preserve"> les </w:t>
      </w:r>
      <w:r w:rsidR="00F908EE" w:rsidRPr="00F1660D">
        <w:rPr>
          <w:lang w:val="fr-FR"/>
        </w:rPr>
        <w:t xml:space="preserve">volets </w:t>
      </w:r>
      <w:r w:rsidRPr="00F1660D">
        <w:rPr>
          <w:lang w:val="fr-FR"/>
        </w:rPr>
        <w:t>du Programme 2030 relati</w:t>
      </w:r>
      <w:r w:rsidR="00F908EE" w:rsidRPr="00F1660D">
        <w:rPr>
          <w:lang w:val="fr-FR"/>
        </w:rPr>
        <w:t>f</w:t>
      </w:r>
      <w:r w:rsidRPr="00F1660D">
        <w:rPr>
          <w:lang w:val="fr-FR"/>
        </w:rPr>
        <w:t>s aux produits chimiques et aux déchets. En</w:t>
      </w:r>
      <w:r w:rsidR="00101BB8" w:rsidRPr="00F1660D">
        <w:rPr>
          <w:lang w:val="fr-FR"/>
        </w:rPr>
        <w:t> </w:t>
      </w:r>
      <w:r w:rsidRPr="00F1660D">
        <w:rPr>
          <w:lang w:val="fr-FR"/>
        </w:rPr>
        <w:t>conclusion, M. </w:t>
      </w:r>
      <w:proofErr w:type="spellStart"/>
      <w:r w:rsidRPr="00F1660D">
        <w:rPr>
          <w:lang w:val="fr-FR"/>
        </w:rPr>
        <w:t>Neculaescu</w:t>
      </w:r>
      <w:proofErr w:type="spellEnd"/>
      <w:r w:rsidRPr="00F1660D">
        <w:rPr>
          <w:lang w:val="fr-FR"/>
        </w:rPr>
        <w:t xml:space="preserve"> s</w:t>
      </w:r>
      <w:r w:rsidR="00CE30FD" w:rsidRPr="00F1660D">
        <w:rPr>
          <w:lang w:val="fr-FR"/>
        </w:rPr>
        <w:t>’</w:t>
      </w:r>
      <w:r w:rsidRPr="00F1660D">
        <w:rPr>
          <w:lang w:val="fr-FR"/>
        </w:rPr>
        <w:t>est déclaré favorable à ce que</w:t>
      </w:r>
      <w:r w:rsidR="00A50629" w:rsidRPr="00F1660D">
        <w:rPr>
          <w:lang w:val="fr-FR"/>
        </w:rPr>
        <w:t xml:space="preserve"> les </w:t>
      </w:r>
      <w:r w:rsidRPr="00F1660D">
        <w:rPr>
          <w:lang w:val="fr-FR"/>
        </w:rPr>
        <w:t>objectifs recommandés énoncés dans</w:t>
      </w:r>
      <w:r w:rsidR="00A50629" w:rsidRPr="00F1660D">
        <w:rPr>
          <w:lang w:val="fr-FR"/>
        </w:rPr>
        <w:t xml:space="preserve"> le </w:t>
      </w:r>
      <w:r w:rsidRPr="00F1660D">
        <w:rPr>
          <w:lang w:val="fr-FR"/>
        </w:rPr>
        <w:t>document établi par</w:t>
      </w:r>
      <w:r w:rsidR="00A50629" w:rsidRPr="00F1660D">
        <w:rPr>
          <w:lang w:val="fr-FR"/>
        </w:rPr>
        <w:t xml:space="preserve"> les </w:t>
      </w:r>
      <w:r w:rsidRPr="00F1660D">
        <w:rPr>
          <w:lang w:val="fr-FR"/>
        </w:rPr>
        <w:t>coprésidents servent de base à</w:t>
      </w:r>
      <w:r w:rsidR="00A50629" w:rsidRPr="00F1660D">
        <w:rPr>
          <w:lang w:val="fr-FR"/>
        </w:rPr>
        <w:t xml:space="preserve"> la </w:t>
      </w:r>
      <w:r w:rsidRPr="00F1660D">
        <w:rPr>
          <w:lang w:val="fr-FR"/>
        </w:rPr>
        <w:t>poursuite</w:t>
      </w:r>
      <w:r w:rsidR="00A50629" w:rsidRPr="00F1660D">
        <w:rPr>
          <w:lang w:val="fr-FR"/>
        </w:rPr>
        <w:t xml:space="preserve"> des </w:t>
      </w:r>
      <w:r w:rsidRPr="00F1660D">
        <w:rPr>
          <w:lang w:val="fr-FR"/>
        </w:rPr>
        <w:t>travaux intersessions et à ce que</w:t>
      </w:r>
      <w:r w:rsidR="00A50629" w:rsidRPr="00F1660D">
        <w:rPr>
          <w:lang w:val="fr-FR"/>
        </w:rPr>
        <w:t xml:space="preserve"> des </w:t>
      </w:r>
      <w:r w:rsidRPr="00F1660D">
        <w:rPr>
          <w:lang w:val="fr-FR"/>
        </w:rPr>
        <w:t>indicateurs soient élaborés en parallèle pour permettre l</w:t>
      </w:r>
      <w:r w:rsidR="00CE30FD" w:rsidRPr="00F1660D">
        <w:rPr>
          <w:lang w:val="fr-FR"/>
        </w:rPr>
        <w:t>’</w:t>
      </w:r>
      <w:r w:rsidRPr="00F1660D">
        <w:rPr>
          <w:lang w:val="fr-FR"/>
        </w:rPr>
        <w:t>évaluation</w:t>
      </w:r>
      <w:r w:rsidR="00A50629" w:rsidRPr="00F1660D">
        <w:rPr>
          <w:lang w:val="fr-FR"/>
        </w:rPr>
        <w:t xml:space="preserve"> des </w:t>
      </w:r>
      <w:r w:rsidRPr="00F1660D">
        <w:rPr>
          <w:lang w:val="fr-FR"/>
        </w:rPr>
        <w:t xml:space="preserve">progrès. </w:t>
      </w:r>
    </w:p>
    <w:p w14:paraId="64AA6F31" w14:textId="6D9FA54A" w:rsidR="00FC0533" w:rsidRPr="00F1660D" w:rsidRDefault="00FC1EE7" w:rsidP="00733A1C">
      <w:pPr>
        <w:pStyle w:val="Normalnumber"/>
        <w:rPr>
          <w:lang w:val="fr-FR"/>
        </w:rPr>
      </w:pPr>
      <w:r w:rsidRPr="00F1660D">
        <w:rPr>
          <w:lang w:val="fr-FR"/>
        </w:rPr>
        <w:t>Dans sa déclaration, M. </w:t>
      </w:r>
      <w:proofErr w:type="spellStart"/>
      <w:r w:rsidR="00B70207" w:rsidRPr="00F1660D">
        <w:rPr>
          <w:lang w:val="fr-FR"/>
        </w:rPr>
        <w:t>Kasten</w:t>
      </w:r>
      <w:proofErr w:type="spellEnd"/>
      <w:r w:rsidR="00B70207" w:rsidRPr="00F1660D">
        <w:rPr>
          <w:lang w:val="fr-FR"/>
        </w:rPr>
        <w:t xml:space="preserve"> a estimé que</w:t>
      </w:r>
      <w:r w:rsidR="00A50629" w:rsidRPr="00F1660D">
        <w:rPr>
          <w:lang w:val="fr-FR"/>
        </w:rPr>
        <w:t xml:space="preserve"> la </w:t>
      </w:r>
      <w:r w:rsidR="00B70207" w:rsidRPr="00F1660D">
        <w:rPr>
          <w:lang w:val="fr-FR"/>
        </w:rPr>
        <w:t>réunion en cours se tenait à un moment crucial, alors que</w:t>
      </w:r>
      <w:r w:rsidR="00A50629" w:rsidRPr="00F1660D">
        <w:rPr>
          <w:lang w:val="fr-FR"/>
        </w:rPr>
        <w:t xml:space="preserve"> le </w:t>
      </w:r>
      <w:r w:rsidR="00B70207" w:rsidRPr="00F1660D">
        <w:rPr>
          <w:lang w:val="fr-FR"/>
        </w:rPr>
        <w:t>monde faisait face à de multiples défis environnementaux, tels que</w:t>
      </w:r>
      <w:r w:rsidR="00A50629" w:rsidRPr="00F1660D">
        <w:rPr>
          <w:lang w:val="fr-FR"/>
        </w:rPr>
        <w:t xml:space="preserve"> la </w:t>
      </w:r>
      <w:r w:rsidR="00B70207" w:rsidRPr="00F1660D">
        <w:rPr>
          <w:lang w:val="fr-FR"/>
        </w:rPr>
        <w:t>perte de biodiversité,</w:t>
      </w:r>
      <w:r w:rsidR="00A50629" w:rsidRPr="00F1660D">
        <w:rPr>
          <w:lang w:val="fr-FR"/>
        </w:rPr>
        <w:t xml:space="preserve"> la </w:t>
      </w:r>
      <w:r w:rsidR="00B70207" w:rsidRPr="00F1660D">
        <w:rPr>
          <w:lang w:val="fr-FR"/>
        </w:rPr>
        <w:t>résistance aux antimicrobiens,</w:t>
      </w:r>
      <w:r w:rsidR="00A50629" w:rsidRPr="00F1660D">
        <w:rPr>
          <w:lang w:val="fr-FR"/>
        </w:rPr>
        <w:t xml:space="preserve"> les </w:t>
      </w:r>
      <w:r w:rsidR="00B70207" w:rsidRPr="00F1660D">
        <w:rPr>
          <w:lang w:val="fr-FR"/>
        </w:rPr>
        <w:t>changements climatiques et</w:t>
      </w:r>
      <w:r w:rsidR="00A50629" w:rsidRPr="00F1660D">
        <w:rPr>
          <w:lang w:val="fr-FR"/>
        </w:rPr>
        <w:t xml:space="preserve"> la </w:t>
      </w:r>
      <w:r w:rsidR="00B70207" w:rsidRPr="00F1660D">
        <w:rPr>
          <w:lang w:val="fr-FR"/>
        </w:rPr>
        <w:t>pollution, qui étaient tous directement liés à</w:t>
      </w:r>
      <w:r w:rsidR="00A50629" w:rsidRPr="00F1660D">
        <w:rPr>
          <w:lang w:val="fr-FR"/>
        </w:rPr>
        <w:t xml:space="preserve"> la </w:t>
      </w:r>
      <w:r w:rsidR="00B70207" w:rsidRPr="00F1660D">
        <w:rPr>
          <w:lang w:val="fr-FR"/>
        </w:rPr>
        <w:t>gestion non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De même que</w:t>
      </w:r>
      <w:r w:rsidR="00A50629" w:rsidRPr="00F1660D">
        <w:rPr>
          <w:lang w:val="fr-FR"/>
        </w:rPr>
        <w:t xml:space="preserve"> les </w:t>
      </w:r>
      <w:r w:rsidR="00B70207" w:rsidRPr="00F1660D">
        <w:rPr>
          <w:lang w:val="fr-FR"/>
        </w:rPr>
        <w:t>accords multilatéraux sur l</w:t>
      </w:r>
      <w:r w:rsidR="00CE30FD" w:rsidRPr="00F1660D">
        <w:rPr>
          <w:lang w:val="fr-FR"/>
        </w:rPr>
        <w:t>’</w:t>
      </w:r>
      <w:r w:rsidR="00B70207" w:rsidRPr="00F1660D">
        <w:rPr>
          <w:lang w:val="fr-FR"/>
        </w:rPr>
        <w:t>environnement relatifs aux produits chimiques et aux déchets, l</w:t>
      </w:r>
      <w:r w:rsidR="00CE30FD" w:rsidRPr="00F1660D">
        <w:rPr>
          <w:lang w:val="fr-FR"/>
        </w:rPr>
        <w:t>’</w:t>
      </w:r>
      <w:r w:rsidR="00B70207" w:rsidRPr="00F1660D">
        <w:rPr>
          <w:lang w:val="fr-FR"/>
        </w:rPr>
        <w:t>Approche stratégique visait à instaurer une 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ce qui était essentiel pour atteindre</w:t>
      </w:r>
      <w:r w:rsidR="00A50629" w:rsidRPr="00F1660D">
        <w:rPr>
          <w:lang w:val="fr-FR"/>
        </w:rPr>
        <w:t xml:space="preserve"> les </w:t>
      </w:r>
      <w:r w:rsidR="00B70207" w:rsidRPr="00F1660D">
        <w:rPr>
          <w:lang w:val="fr-FR"/>
        </w:rPr>
        <w:t>objectifs énoncés dans</w:t>
      </w:r>
      <w:r w:rsidR="00A50629" w:rsidRPr="00F1660D">
        <w:rPr>
          <w:lang w:val="fr-FR"/>
        </w:rPr>
        <w:t xml:space="preserve"> le </w:t>
      </w:r>
      <w:r w:rsidR="00B70207" w:rsidRPr="00F1660D">
        <w:rPr>
          <w:lang w:val="fr-FR"/>
        </w:rPr>
        <w:t xml:space="preserve">Programme 2030 et pour garantir </w:t>
      </w:r>
      <w:proofErr w:type="gramStart"/>
      <w:r w:rsidR="00B70207" w:rsidRPr="00F1660D">
        <w:rPr>
          <w:lang w:val="fr-FR"/>
        </w:rPr>
        <w:t>une</w:t>
      </w:r>
      <w:proofErr w:type="gramEnd"/>
      <w:r w:rsidR="00D50259" w:rsidRPr="00F1660D">
        <w:rPr>
          <w:lang w:val="fr-FR"/>
        </w:rPr>
        <w:t> </w:t>
      </w:r>
      <w:r w:rsidR="00B70207" w:rsidRPr="00F1660D">
        <w:rPr>
          <w:lang w:val="fr-FR"/>
        </w:rPr>
        <w:t>planète saine pour</w:t>
      </w:r>
      <w:r w:rsidR="00A50629" w:rsidRPr="00F1660D">
        <w:rPr>
          <w:lang w:val="fr-FR"/>
        </w:rPr>
        <w:t xml:space="preserve"> des </w:t>
      </w:r>
      <w:r w:rsidR="00B70207" w:rsidRPr="00F1660D">
        <w:rPr>
          <w:lang w:val="fr-FR"/>
        </w:rPr>
        <w:t>populations en bonne santé. Plusieurs</w:t>
      </w:r>
      <w:r w:rsidR="00A50629" w:rsidRPr="00F1660D">
        <w:rPr>
          <w:lang w:val="fr-FR"/>
        </w:rPr>
        <w:t xml:space="preserve"> des </w:t>
      </w:r>
      <w:r w:rsidR="00B70207" w:rsidRPr="00F1660D">
        <w:rPr>
          <w:lang w:val="fr-FR"/>
        </w:rPr>
        <w:t>documents issus de</w:t>
      </w:r>
      <w:r w:rsidR="00A50629" w:rsidRPr="00F1660D">
        <w:rPr>
          <w:lang w:val="fr-FR"/>
        </w:rPr>
        <w:t xml:space="preserve"> la </w:t>
      </w:r>
      <w:r w:rsidR="00B70207" w:rsidRPr="00F1660D">
        <w:rPr>
          <w:lang w:val="fr-FR"/>
        </w:rPr>
        <w:t>quatrième</w:t>
      </w:r>
      <w:r w:rsidR="00D50259" w:rsidRPr="00F1660D">
        <w:rPr>
          <w:lang w:val="fr-FR"/>
        </w:rPr>
        <w:t> </w:t>
      </w:r>
      <w:r w:rsidR="00B70207" w:rsidRPr="00F1660D">
        <w:rPr>
          <w:lang w:val="fr-FR"/>
        </w:rPr>
        <w:t>session de l</w:t>
      </w:r>
      <w:r w:rsidR="00CE30FD" w:rsidRPr="00F1660D">
        <w:rPr>
          <w:lang w:val="fr-FR"/>
        </w:rPr>
        <w:t>’</w:t>
      </w:r>
      <w:r w:rsidR="00B70207" w:rsidRPr="00F1660D">
        <w:rPr>
          <w:lang w:val="fr-FR"/>
        </w:rPr>
        <w:t>Assemblée</w:t>
      </w:r>
      <w:r w:rsidR="00A50629" w:rsidRPr="00F1660D">
        <w:rPr>
          <w:lang w:val="fr-FR"/>
        </w:rPr>
        <w:t xml:space="preserve"> des </w:t>
      </w:r>
      <w:r w:rsidR="002C67A2" w:rsidRPr="00F1660D">
        <w:rPr>
          <w:lang w:val="fr-FR"/>
        </w:rPr>
        <w:t>Nations Unies</w:t>
      </w:r>
      <w:r w:rsidR="00B70207" w:rsidRPr="00F1660D">
        <w:rPr>
          <w:lang w:val="fr-FR"/>
        </w:rPr>
        <w:t xml:space="preserve"> pour l</w:t>
      </w:r>
      <w:r w:rsidR="00CE30FD" w:rsidRPr="00F1660D">
        <w:rPr>
          <w:lang w:val="fr-FR"/>
        </w:rPr>
        <w:t>’</w:t>
      </w:r>
      <w:r w:rsidR="00B70207" w:rsidRPr="00F1660D">
        <w:rPr>
          <w:lang w:val="fr-FR"/>
        </w:rPr>
        <w:t>environnement intéressaient</w:t>
      </w:r>
      <w:r w:rsidR="00A50629" w:rsidRPr="00F1660D">
        <w:rPr>
          <w:lang w:val="fr-FR"/>
        </w:rPr>
        <w:t xml:space="preserve"> la </w:t>
      </w:r>
      <w:r w:rsidR="00B70207" w:rsidRPr="00F1660D">
        <w:rPr>
          <w:lang w:val="fr-FR"/>
        </w:rPr>
        <w:t>réunion en cours, notamment</w:t>
      </w:r>
      <w:r w:rsidR="00A50629" w:rsidRPr="00F1660D">
        <w:rPr>
          <w:lang w:val="fr-FR"/>
        </w:rPr>
        <w:t xml:space="preserve"> la </w:t>
      </w:r>
      <w:r w:rsidR="00B70207" w:rsidRPr="00F1660D">
        <w:rPr>
          <w:lang w:val="fr-FR"/>
        </w:rPr>
        <w:t>déclaration ministérielle sur</w:t>
      </w:r>
      <w:r w:rsidR="00A50629" w:rsidRPr="00F1660D">
        <w:rPr>
          <w:lang w:val="fr-FR"/>
        </w:rPr>
        <w:t xml:space="preserve"> les </w:t>
      </w:r>
      <w:r w:rsidR="00B70207" w:rsidRPr="00F1660D">
        <w:rPr>
          <w:lang w:val="fr-FR"/>
        </w:rPr>
        <w:t>solutions novatrices pour relever</w:t>
      </w:r>
      <w:r w:rsidR="00A50629" w:rsidRPr="00F1660D">
        <w:rPr>
          <w:lang w:val="fr-FR"/>
        </w:rPr>
        <w:t xml:space="preserve"> les </w:t>
      </w:r>
      <w:r w:rsidR="00B70207" w:rsidRPr="00F1660D">
        <w:rPr>
          <w:lang w:val="fr-FR"/>
        </w:rPr>
        <w:t>défis environnementaux et instaurer</w:t>
      </w:r>
      <w:r w:rsidR="00A50629" w:rsidRPr="00F1660D">
        <w:rPr>
          <w:lang w:val="fr-FR"/>
        </w:rPr>
        <w:t xml:space="preserve"> des </w:t>
      </w:r>
      <w:r w:rsidR="00B70207" w:rsidRPr="00F1660D">
        <w:rPr>
          <w:lang w:val="fr-FR"/>
        </w:rPr>
        <w:t>modes de consommation et de production durables, dans laquelle l</w:t>
      </w:r>
      <w:r w:rsidR="00CE30FD" w:rsidRPr="00F1660D">
        <w:rPr>
          <w:lang w:val="fr-FR"/>
        </w:rPr>
        <w:t>’</w:t>
      </w:r>
      <w:r w:rsidR="00B70207" w:rsidRPr="00F1660D">
        <w:rPr>
          <w:lang w:val="fr-FR"/>
        </w:rPr>
        <w:t>Assemblée pour l</w:t>
      </w:r>
      <w:r w:rsidR="00CE30FD" w:rsidRPr="00F1660D">
        <w:rPr>
          <w:lang w:val="fr-FR"/>
        </w:rPr>
        <w:t>’</w:t>
      </w:r>
      <w:r w:rsidR="00B70207" w:rsidRPr="00F1660D">
        <w:rPr>
          <w:lang w:val="fr-FR"/>
        </w:rPr>
        <w:t>environnement avait souligné qu</w:t>
      </w:r>
      <w:r w:rsidR="00CE30FD" w:rsidRPr="00F1660D">
        <w:rPr>
          <w:lang w:val="fr-FR"/>
        </w:rPr>
        <w:t>’</w:t>
      </w:r>
      <w:r w:rsidR="00B70207" w:rsidRPr="00F1660D">
        <w:rPr>
          <w:lang w:val="fr-FR"/>
        </w:rPr>
        <w:t>il fallait prendre</w:t>
      </w:r>
      <w:r w:rsidR="00A50629" w:rsidRPr="00F1660D">
        <w:rPr>
          <w:lang w:val="fr-FR"/>
        </w:rPr>
        <w:t xml:space="preserve"> des </w:t>
      </w:r>
      <w:r w:rsidR="00B70207" w:rsidRPr="00F1660D">
        <w:rPr>
          <w:lang w:val="fr-FR"/>
        </w:rPr>
        <w:t>mesures concertées en</w:t>
      </w:r>
      <w:r w:rsidR="00D50259" w:rsidRPr="00F1660D">
        <w:rPr>
          <w:lang w:val="fr-FR"/>
        </w:rPr>
        <w:t> </w:t>
      </w:r>
      <w:r w:rsidR="00B70207" w:rsidRPr="00F1660D">
        <w:rPr>
          <w:lang w:val="fr-FR"/>
        </w:rPr>
        <w:t>faveur de</w:t>
      </w:r>
      <w:r w:rsidR="00A50629" w:rsidRPr="00F1660D">
        <w:rPr>
          <w:lang w:val="fr-FR"/>
        </w:rPr>
        <w:t xml:space="preserve"> la </w:t>
      </w:r>
      <w:r w:rsidR="00B70207" w:rsidRPr="00F1660D">
        <w:rPr>
          <w:lang w:val="fr-FR"/>
        </w:rPr>
        <w:t>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au-delà de 2020 et qu</w:t>
      </w:r>
      <w:r w:rsidR="00CE30FD" w:rsidRPr="00F1660D">
        <w:rPr>
          <w:lang w:val="fr-FR"/>
        </w:rPr>
        <w:t>’</w:t>
      </w:r>
      <w:r w:rsidR="00B70207" w:rsidRPr="00F1660D">
        <w:rPr>
          <w:lang w:val="fr-FR"/>
        </w:rPr>
        <w:t>un</w:t>
      </w:r>
      <w:r w:rsidR="00D50259" w:rsidRPr="00F1660D">
        <w:rPr>
          <w:lang w:val="fr-FR"/>
        </w:rPr>
        <w:t> </w:t>
      </w:r>
      <w:r w:rsidR="00B70207" w:rsidRPr="00F1660D">
        <w:rPr>
          <w:lang w:val="fr-FR"/>
        </w:rPr>
        <w:t>cadre adapté pour l</w:t>
      </w:r>
      <w:r w:rsidR="00CE30FD" w:rsidRPr="00F1660D">
        <w:rPr>
          <w:lang w:val="fr-FR"/>
        </w:rPr>
        <w:t>’</w:t>
      </w:r>
      <w:r w:rsidR="00B70207" w:rsidRPr="00F1660D">
        <w:rPr>
          <w:lang w:val="fr-FR"/>
        </w:rPr>
        <w:t>après</w:t>
      </w:r>
      <w:r w:rsidR="00B70207" w:rsidRPr="00F1660D">
        <w:rPr>
          <w:lang w:val="fr-FR"/>
        </w:rPr>
        <w:noBreakHyphen/>
        <w:t>2020 devait être adopté, et</w:t>
      </w:r>
      <w:r w:rsidR="00A50629" w:rsidRPr="00F1660D">
        <w:rPr>
          <w:lang w:val="fr-FR"/>
        </w:rPr>
        <w:t xml:space="preserve"> les </w:t>
      </w:r>
      <w:r w:rsidR="00B70207" w:rsidRPr="00F1660D">
        <w:rPr>
          <w:lang w:val="fr-FR"/>
        </w:rPr>
        <w:t>résolutions sur</w:t>
      </w:r>
      <w:r w:rsidR="00A50629" w:rsidRPr="00F1660D">
        <w:rPr>
          <w:lang w:val="fr-FR"/>
        </w:rPr>
        <w:t xml:space="preserve"> la </w:t>
      </w:r>
      <w:r w:rsidR="00B70207" w:rsidRPr="00F1660D">
        <w:rPr>
          <w:lang w:val="fr-FR"/>
        </w:rPr>
        <w:t>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déchets, sur</w:t>
      </w:r>
      <w:r w:rsidR="00A50629" w:rsidRPr="00F1660D">
        <w:rPr>
          <w:lang w:val="fr-FR"/>
        </w:rPr>
        <w:t xml:space="preserve"> les </w:t>
      </w:r>
      <w:r w:rsidR="00B70207" w:rsidRPr="00F1660D">
        <w:rPr>
          <w:lang w:val="fr-FR"/>
        </w:rPr>
        <w:t xml:space="preserve">déchets </w:t>
      </w:r>
      <w:r w:rsidR="007436D8" w:rsidRPr="00F1660D">
        <w:rPr>
          <w:lang w:val="fr-FR"/>
        </w:rPr>
        <w:t xml:space="preserve">plastiques </w:t>
      </w:r>
      <w:r w:rsidR="00B70207" w:rsidRPr="00F1660D">
        <w:rPr>
          <w:lang w:val="fr-FR"/>
        </w:rPr>
        <w:t>et</w:t>
      </w:r>
      <w:r w:rsidR="00A50629" w:rsidRPr="00F1660D">
        <w:rPr>
          <w:lang w:val="fr-FR"/>
        </w:rPr>
        <w:t xml:space="preserve"> les </w:t>
      </w:r>
      <w:r w:rsidR="00B70207" w:rsidRPr="00F1660D">
        <w:rPr>
          <w:lang w:val="fr-FR"/>
        </w:rPr>
        <w:t>microplastiques dans</w:t>
      </w:r>
      <w:r w:rsidR="00A50629" w:rsidRPr="00F1660D">
        <w:rPr>
          <w:lang w:val="fr-FR"/>
        </w:rPr>
        <w:t xml:space="preserve"> le </w:t>
      </w:r>
      <w:r w:rsidR="00B70207" w:rsidRPr="00F1660D">
        <w:rPr>
          <w:lang w:val="fr-FR"/>
        </w:rPr>
        <w:t>milieu marin et sur</w:t>
      </w:r>
      <w:r w:rsidR="00A50629" w:rsidRPr="00F1660D">
        <w:rPr>
          <w:lang w:val="fr-FR"/>
        </w:rPr>
        <w:t xml:space="preserve"> les </w:t>
      </w:r>
      <w:r w:rsidR="00B70207" w:rsidRPr="00F1660D">
        <w:rPr>
          <w:lang w:val="fr-FR"/>
        </w:rPr>
        <w:t>articles en plastique à usage unique. Également à</w:t>
      </w:r>
      <w:r w:rsidR="00A50629" w:rsidRPr="00F1660D">
        <w:rPr>
          <w:lang w:val="fr-FR"/>
        </w:rPr>
        <w:t xml:space="preserve"> la </w:t>
      </w:r>
      <w:r w:rsidR="00B70207" w:rsidRPr="00F1660D">
        <w:rPr>
          <w:lang w:val="fr-FR"/>
        </w:rPr>
        <w:t>quatrième session de l</w:t>
      </w:r>
      <w:r w:rsidR="00CE30FD" w:rsidRPr="00F1660D">
        <w:rPr>
          <w:lang w:val="fr-FR"/>
        </w:rPr>
        <w:t>’</w:t>
      </w:r>
      <w:r w:rsidR="00B70207" w:rsidRPr="00F1660D">
        <w:rPr>
          <w:lang w:val="fr-FR"/>
        </w:rPr>
        <w:t>Assemblée pour l</w:t>
      </w:r>
      <w:r w:rsidR="00CE30FD" w:rsidRPr="00F1660D">
        <w:rPr>
          <w:lang w:val="fr-FR"/>
        </w:rPr>
        <w:t>’</w:t>
      </w:r>
      <w:r w:rsidR="00B70207" w:rsidRPr="00F1660D">
        <w:rPr>
          <w:lang w:val="fr-FR"/>
        </w:rPr>
        <w:t>environnement,</w:t>
      </w:r>
      <w:r w:rsidR="00A50629" w:rsidRPr="00F1660D">
        <w:rPr>
          <w:lang w:val="fr-FR"/>
        </w:rPr>
        <w:t xml:space="preserve"> la </w:t>
      </w:r>
      <w:r w:rsidR="00B70207" w:rsidRPr="00F1660D">
        <w:rPr>
          <w:lang w:val="fr-FR"/>
        </w:rPr>
        <w:t>deuxième édition du rapport sur</w:t>
      </w:r>
      <w:r w:rsidR="00A50629" w:rsidRPr="00F1660D">
        <w:rPr>
          <w:lang w:val="fr-FR"/>
        </w:rPr>
        <w:t xml:space="preserve"> les </w:t>
      </w:r>
      <w:r w:rsidR="00B70207" w:rsidRPr="00F1660D">
        <w:rPr>
          <w:lang w:val="fr-FR"/>
        </w:rPr>
        <w:t>perspectives mondiales en matière de produits chimiques avait été lancé, qui signalait que</w:t>
      </w:r>
      <w:r w:rsidR="00A50629" w:rsidRPr="00F1660D">
        <w:rPr>
          <w:lang w:val="fr-FR"/>
        </w:rPr>
        <w:t xml:space="preserve"> les </w:t>
      </w:r>
      <w:r w:rsidR="00B70207" w:rsidRPr="00F1660D">
        <w:rPr>
          <w:lang w:val="fr-FR"/>
        </w:rPr>
        <w:t>progrès avaient été inégaux et que</w:t>
      </w:r>
      <w:r w:rsidR="00A50629" w:rsidRPr="00F1660D">
        <w:rPr>
          <w:lang w:val="fr-FR"/>
        </w:rPr>
        <w:t xml:space="preserve"> le </w:t>
      </w:r>
      <w:r w:rsidR="00B70207" w:rsidRPr="00F1660D">
        <w:rPr>
          <w:lang w:val="fr-FR"/>
        </w:rPr>
        <w:t>monde n</w:t>
      </w:r>
      <w:r w:rsidR="00CE30FD" w:rsidRPr="00F1660D">
        <w:rPr>
          <w:lang w:val="fr-FR"/>
        </w:rPr>
        <w:t>’</w:t>
      </w:r>
      <w:r w:rsidR="00B70207" w:rsidRPr="00F1660D">
        <w:rPr>
          <w:lang w:val="fr-FR"/>
        </w:rPr>
        <w:t>était pas en bonne voie pour atteindre l</w:t>
      </w:r>
      <w:r w:rsidR="00CE30FD" w:rsidRPr="00F1660D">
        <w:rPr>
          <w:lang w:val="fr-FR"/>
        </w:rPr>
        <w:t>’</w:t>
      </w:r>
      <w:r w:rsidR="00B70207" w:rsidRPr="00F1660D">
        <w:rPr>
          <w:lang w:val="fr-FR"/>
        </w:rPr>
        <w:t>objectif fixé à 2020.</w:t>
      </w:r>
      <w:r w:rsidR="00A50629" w:rsidRPr="00F1660D">
        <w:rPr>
          <w:lang w:val="fr-FR"/>
        </w:rPr>
        <w:t xml:space="preserve"> Les </w:t>
      </w:r>
      <w:r w:rsidR="00B70207" w:rsidRPr="00F1660D">
        <w:rPr>
          <w:lang w:val="fr-FR"/>
        </w:rPr>
        <w:t>réactions positives et l</w:t>
      </w:r>
      <w:r w:rsidR="00CE30FD" w:rsidRPr="00F1660D">
        <w:rPr>
          <w:lang w:val="fr-FR"/>
        </w:rPr>
        <w:t>’</w:t>
      </w:r>
      <w:r w:rsidR="00B70207" w:rsidRPr="00F1660D">
        <w:rPr>
          <w:lang w:val="fr-FR"/>
        </w:rPr>
        <w:t>intérêt du public à l</w:t>
      </w:r>
      <w:r w:rsidR="00CE30FD" w:rsidRPr="00F1660D">
        <w:rPr>
          <w:lang w:val="fr-FR"/>
        </w:rPr>
        <w:t>’</w:t>
      </w:r>
      <w:r w:rsidR="00B70207" w:rsidRPr="00F1660D">
        <w:rPr>
          <w:lang w:val="fr-FR"/>
        </w:rPr>
        <w:t>égard du rapport ont montré que</w:t>
      </w:r>
      <w:r w:rsidR="00A50629" w:rsidRPr="00F1660D">
        <w:rPr>
          <w:lang w:val="fr-FR"/>
        </w:rPr>
        <w:t xml:space="preserve"> le </w:t>
      </w:r>
      <w:r w:rsidR="00B70207" w:rsidRPr="00F1660D">
        <w:rPr>
          <w:lang w:val="fr-FR"/>
        </w:rPr>
        <w:t>monde était plus que jamais attentif aux effets</w:t>
      </w:r>
      <w:r w:rsidR="00A50629" w:rsidRPr="00F1660D">
        <w:rPr>
          <w:lang w:val="fr-FR"/>
        </w:rPr>
        <w:t xml:space="preserve"> des </w:t>
      </w:r>
      <w:r w:rsidR="00B70207" w:rsidRPr="00F1660D">
        <w:rPr>
          <w:lang w:val="fr-FR"/>
        </w:rPr>
        <w:t>produits chimiques sur</w:t>
      </w:r>
      <w:r w:rsidR="00A50629" w:rsidRPr="00F1660D">
        <w:rPr>
          <w:lang w:val="fr-FR"/>
        </w:rPr>
        <w:t xml:space="preserve"> la </w:t>
      </w:r>
      <w:r w:rsidR="00B70207" w:rsidRPr="00F1660D">
        <w:rPr>
          <w:lang w:val="fr-FR"/>
        </w:rPr>
        <w:t>santé humaine et l</w:t>
      </w:r>
      <w:r w:rsidR="00CE30FD" w:rsidRPr="00F1660D">
        <w:rPr>
          <w:lang w:val="fr-FR"/>
        </w:rPr>
        <w:t>’</w:t>
      </w:r>
      <w:r w:rsidRPr="00F1660D">
        <w:rPr>
          <w:lang w:val="fr-FR"/>
        </w:rPr>
        <w:t>environnement. M. </w:t>
      </w:r>
      <w:proofErr w:type="spellStart"/>
      <w:r w:rsidR="00B70207" w:rsidRPr="00F1660D">
        <w:rPr>
          <w:lang w:val="fr-FR"/>
        </w:rPr>
        <w:t>Kasten</w:t>
      </w:r>
      <w:proofErr w:type="spellEnd"/>
      <w:r w:rsidR="00B70207" w:rsidRPr="00F1660D">
        <w:rPr>
          <w:lang w:val="fr-FR"/>
        </w:rPr>
        <w:t xml:space="preserve"> a encouragé</w:t>
      </w:r>
      <w:r w:rsidR="00A50629" w:rsidRPr="00F1660D">
        <w:rPr>
          <w:lang w:val="fr-FR"/>
        </w:rPr>
        <w:t xml:space="preserve"> les </w:t>
      </w:r>
      <w:r w:rsidR="00B70207" w:rsidRPr="00F1660D">
        <w:rPr>
          <w:lang w:val="fr-FR"/>
        </w:rPr>
        <w:t>représentants à œuvrer en faveur de changements à l</w:t>
      </w:r>
      <w:r w:rsidR="00CE30FD" w:rsidRPr="00F1660D">
        <w:rPr>
          <w:lang w:val="fr-FR"/>
        </w:rPr>
        <w:t>’</w:t>
      </w:r>
      <w:r w:rsidR="00B70207" w:rsidRPr="00F1660D">
        <w:rPr>
          <w:lang w:val="fr-FR"/>
        </w:rPr>
        <w:t>échelle du système, à faire preuve d</w:t>
      </w:r>
      <w:r w:rsidR="00CE30FD" w:rsidRPr="00F1660D">
        <w:rPr>
          <w:lang w:val="fr-FR"/>
        </w:rPr>
        <w:t>’</w:t>
      </w:r>
      <w:r w:rsidR="00B70207" w:rsidRPr="00F1660D">
        <w:rPr>
          <w:lang w:val="fr-FR"/>
        </w:rPr>
        <w:t>une grande ambition en ce qui concerne</w:t>
      </w:r>
      <w:r w:rsidR="00A50629" w:rsidRPr="00F1660D">
        <w:rPr>
          <w:lang w:val="fr-FR"/>
        </w:rPr>
        <w:t xml:space="preserve"> la </w:t>
      </w:r>
      <w:r w:rsidR="00B70207" w:rsidRPr="00F1660D">
        <w:rPr>
          <w:lang w:val="fr-FR"/>
        </w:rPr>
        <w:t>gestion rationnelle</w:t>
      </w:r>
      <w:r w:rsidR="00A50629" w:rsidRPr="00F1660D">
        <w:rPr>
          <w:lang w:val="fr-FR"/>
        </w:rPr>
        <w:t xml:space="preserve"> des </w:t>
      </w:r>
      <w:r w:rsidR="00B70207" w:rsidRPr="00F1660D">
        <w:rPr>
          <w:lang w:val="fr-FR"/>
        </w:rPr>
        <w:t>produits chimiques et</w:t>
      </w:r>
      <w:r w:rsidR="00A50629" w:rsidRPr="00F1660D">
        <w:rPr>
          <w:lang w:val="fr-FR"/>
        </w:rPr>
        <w:t xml:space="preserve"> des </w:t>
      </w:r>
      <w:r w:rsidR="00B70207" w:rsidRPr="00F1660D">
        <w:rPr>
          <w:lang w:val="fr-FR"/>
        </w:rPr>
        <w:t xml:space="preserve">déchets </w:t>
      </w:r>
      <w:r w:rsidR="00101BB8" w:rsidRPr="00F1660D">
        <w:rPr>
          <w:lang w:val="fr-FR"/>
        </w:rPr>
        <w:br/>
      </w:r>
      <w:r w:rsidR="00B70207" w:rsidRPr="00F1660D">
        <w:rPr>
          <w:lang w:val="fr-FR"/>
        </w:rPr>
        <w:t>au-delà de 2020 et à se rappeler que</w:t>
      </w:r>
      <w:r w:rsidR="00A50629" w:rsidRPr="00F1660D">
        <w:rPr>
          <w:lang w:val="fr-FR"/>
        </w:rPr>
        <w:t xml:space="preserve"> des </w:t>
      </w:r>
      <w:r w:rsidR="00B70207" w:rsidRPr="00F1660D">
        <w:rPr>
          <w:lang w:val="fr-FR"/>
        </w:rPr>
        <w:t>solutions existaient, mais qu</w:t>
      </w:r>
      <w:r w:rsidR="00CE30FD" w:rsidRPr="00F1660D">
        <w:rPr>
          <w:lang w:val="fr-FR"/>
        </w:rPr>
        <w:t>’</w:t>
      </w:r>
      <w:r w:rsidR="00B70207" w:rsidRPr="00F1660D">
        <w:rPr>
          <w:lang w:val="fr-FR"/>
        </w:rPr>
        <w:t>il fallait que toutes</w:t>
      </w:r>
      <w:r w:rsidR="00A50629" w:rsidRPr="00F1660D">
        <w:rPr>
          <w:lang w:val="fr-FR"/>
        </w:rPr>
        <w:t xml:space="preserve"> les </w:t>
      </w:r>
      <w:r w:rsidR="00B70207" w:rsidRPr="00F1660D">
        <w:rPr>
          <w:lang w:val="fr-FR"/>
        </w:rPr>
        <w:t>parties prenantes prennent d</w:t>
      </w:r>
      <w:r w:rsidR="00CE30FD" w:rsidRPr="00F1660D">
        <w:rPr>
          <w:lang w:val="fr-FR"/>
        </w:rPr>
        <w:t>’</w:t>
      </w:r>
      <w:r w:rsidR="00B70207" w:rsidRPr="00F1660D">
        <w:rPr>
          <w:lang w:val="fr-FR"/>
        </w:rPr>
        <w:t>urgence</w:t>
      </w:r>
      <w:r w:rsidR="00A50629" w:rsidRPr="00F1660D">
        <w:rPr>
          <w:lang w:val="fr-FR"/>
        </w:rPr>
        <w:t xml:space="preserve"> des </w:t>
      </w:r>
      <w:r w:rsidR="00B70207" w:rsidRPr="00F1660D">
        <w:rPr>
          <w:lang w:val="fr-FR"/>
        </w:rPr>
        <w:t>mesures plus ambitieuses.</w:t>
      </w:r>
    </w:p>
    <w:p w14:paraId="7BD08A0B" w14:textId="715F8B29" w:rsidR="00FC0533" w:rsidRPr="00F1660D" w:rsidRDefault="00D50259" w:rsidP="00D50259">
      <w:pPr>
        <w:pStyle w:val="CH1"/>
        <w:rPr>
          <w:lang w:val="fr-FR"/>
        </w:rPr>
      </w:pPr>
      <w:r w:rsidRPr="00F1660D">
        <w:rPr>
          <w:lang w:val="fr-FR"/>
        </w:rPr>
        <w:tab/>
        <w:t>III.</w:t>
      </w:r>
      <w:r w:rsidRPr="00F1660D">
        <w:rPr>
          <w:lang w:val="fr-FR"/>
        </w:rPr>
        <w:tab/>
      </w:r>
      <w:r w:rsidR="006579B1" w:rsidRPr="00F1660D">
        <w:rPr>
          <w:lang w:val="fr-FR"/>
        </w:rPr>
        <w:t>Questions d</w:t>
      </w:r>
      <w:r w:rsidR="00CE30FD" w:rsidRPr="00F1660D">
        <w:rPr>
          <w:lang w:val="fr-FR"/>
        </w:rPr>
        <w:t>’</w:t>
      </w:r>
      <w:r w:rsidR="006579B1" w:rsidRPr="00F1660D">
        <w:rPr>
          <w:lang w:val="fr-FR"/>
        </w:rPr>
        <w:t>organisation</w:t>
      </w:r>
    </w:p>
    <w:p w14:paraId="38D5A92F" w14:textId="094BDA3F" w:rsidR="00FC0533" w:rsidRPr="00F1660D" w:rsidRDefault="00D50259" w:rsidP="00D50259">
      <w:pPr>
        <w:pStyle w:val="CH2"/>
        <w:rPr>
          <w:lang w:val="fr-FR"/>
        </w:rPr>
      </w:pPr>
      <w:r w:rsidRPr="00F1660D">
        <w:rPr>
          <w:lang w:val="fr-FR"/>
        </w:rPr>
        <w:tab/>
        <w:t>A.</w:t>
      </w:r>
      <w:r w:rsidRPr="00F1660D">
        <w:rPr>
          <w:lang w:val="fr-FR"/>
        </w:rPr>
        <w:tab/>
      </w:r>
      <w:r w:rsidR="00FC0533" w:rsidRPr="00F1660D">
        <w:rPr>
          <w:lang w:val="fr-FR"/>
        </w:rPr>
        <w:t>Adoption de l</w:t>
      </w:r>
      <w:r w:rsidR="00CE30FD" w:rsidRPr="00F1660D">
        <w:rPr>
          <w:lang w:val="fr-FR"/>
        </w:rPr>
        <w:t>’</w:t>
      </w:r>
      <w:r w:rsidR="00FC0533" w:rsidRPr="00F1660D">
        <w:rPr>
          <w:lang w:val="fr-FR"/>
        </w:rPr>
        <w:t>ordre du jour</w:t>
      </w:r>
    </w:p>
    <w:p w14:paraId="3C459555" w14:textId="478E0528" w:rsidR="00FC0533" w:rsidRPr="00F1660D" w:rsidRDefault="00B70207" w:rsidP="00733A1C">
      <w:pPr>
        <w:pStyle w:val="Normalnumber"/>
        <w:rPr>
          <w:lang w:val="fr-FR"/>
        </w:rPr>
      </w:pPr>
      <w:r w:rsidRPr="00F1660D">
        <w:rPr>
          <w:lang w:val="fr-FR"/>
        </w:rPr>
        <w:t>Le Groupe de travail a adopté l</w:t>
      </w:r>
      <w:r w:rsidR="00CE30FD" w:rsidRPr="00F1660D">
        <w:rPr>
          <w:lang w:val="fr-FR"/>
        </w:rPr>
        <w:t>’</w:t>
      </w:r>
      <w:r w:rsidRPr="00F1660D">
        <w:rPr>
          <w:lang w:val="fr-FR"/>
        </w:rPr>
        <w:t>ordre du jour ci-après sur</w:t>
      </w:r>
      <w:r w:rsidR="00A50629" w:rsidRPr="00F1660D">
        <w:rPr>
          <w:lang w:val="fr-FR"/>
        </w:rPr>
        <w:t xml:space="preserve"> la </w:t>
      </w:r>
      <w:r w:rsidRPr="00F1660D">
        <w:rPr>
          <w:lang w:val="fr-FR"/>
        </w:rPr>
        <w:t>base de l</w:t>
      </w:r>
      <w:r w:rsidR="00CE30FD" w:rsidRPr="00F1660D">
        <w:rPr>
          <w:lang w:val="fr-FR"/>
        </w:rPr>
        <w:t>’</w:t>
      </w:r>
      <w:r w:rsidRPr="00F1660D">
        <w:rPr>
          <w:lang w:val="fr-FR"/>
        </w:rPr>
        <w:t>ordre du jour provisoire</w:t>
      </w:r>
      <w:r w:rsidR="00FC0533" w:rsidRPr="00F1660D">
        <w:rPr>
          <w:lang w:val="fr-FR"/>
        </w:rPr>
        <w:t xml:space="preserve"> (SAICM/OEWG.3/1)</w:t>
      </w:r>
      <w:r w:rsidR="00822AAA" w:rsidRPr="00F1660D">
        <w:rPr>
          <w:lang w:val="fr-FR"/>
        </w:rPr>
        <w:t xml:space="preserve"> </w:t>
      </w:r>
      <w:r w:rsidR="00FC0533" w:rsidRPr="00F1660D">
        <w:rPr>
          <w:lang w:val="fr-FR"/>
        </w:rPr>
        <w:t>:</w:t>
      </w:r>
    </w:p>
    <w:p w14:paraId="520E2944" w14:textId="7ED20337" w:rsidR="00FC0533" w:rsidRPr="00F1660D" w:rsidRDefault="005B4CB6" w:rsidP="005B4CB6">
      <w:pPr>
        <w:pStyle w:val="NormalNonumber"/>
        <w:ind w:left="2381" w:hanging="1134"/>
        <w:rPr>
          <w:lang w:val="fr-FR"/>
        </w:rPr>
      </w:pPr>
      <w:r w:rsidRPr="00F1660D">
        <w:rPr>
          <w:lang w:val="fr-FR"/>
        </w:rPr>
        <w:tab/>
        <w:t>1.</w:t>
      </w:r>
      <w:r w:rsidRPr="00F1660D">
        <w:rPr>
          <w:lang w:val="fr-FR"/>
        </w:rPr>
        <w:tab/>
      </w:r>
      <w:r w:rsidR="00FC0533" w:rsidRPr="00F1660D">
        <w:rPr>
          <w:lang w:val="fr-FR"/>
        </w:rPr>
        <w:t>Ouverture de</w:t>
      </w:r>
      <w:r w:rsidR="00A50629" w:rsidRPr="00F1660D">
        <w:rPr>
          <w:lang w:val="fr-FR"/>
        </w:rPr>
        <w:t xml:space="preserve"> la </w:t>
      </w:r>
      <w:r w:rsidR="00FC0533" w:rsidRPr="00F1660D">
        <w:rPr>
          <w:lang w:val="fr-FR"/>
        </w:rPr>
        <w:t>réunion.</w:t>
      </w:r>
    </w:p>
    <w:p w14:paraId="0451FF6F" w14:textId="2348A95D" w:rsidR="00FC0533" w:rsidRPr="00F1660D" w:rsidRDefault="005B4CB6" w:rsidP="005B4CB6">
      <w:pPr>
        <w:pStyle w:val="NormalNonumber"/>
        <w:ind w:left="2381" w:hanging="1134"/>
        <w:rPr>
          <w:lang w:val="fr-FR"/>
        </w:rPr>
      </w:pPr>
      <w:r w:rsidRPr="00F1660D">
        <w:rPr>
          <w:lang w:val="fr-FR"/>
        </w:rPr>
        <w:tab/>
        <w:t>2.</w:t>
      </w:r>
      <w:r w:rsidRPr="00F1660D">
        <w:rPr>
          <w:lang w:val="fr-FR"/>
        </w:rPr>
        <w:tab/>
      </w:r>
      <w:r w:rsidR="00FC0533" w:rsidRPr="00F1660D">
        <w:rPr>
          <w:lang w:val="fr-FR"/>
        </w:rPr>
        <w:t>Questions d</w:t>
      </w:r>
      <w:r w:rsidR="00CE30FD" w:rsidRPr="00F1660D">
        <w:rPr>
          <w:lang w:val="fr-FR"/>
        </w:rPr>
        <w:t>’</w:t>
      </w:r>
      <w:r w:rsidR="00FC0533" w:rsidRPr="00F1660D">
        <w:rPr>
          <w:lang w:val="fr-FR"/>
        </w:rPr>
        <w:t>organisation :</w:t>
      </w:r>
    </w:p>
    <w:p w14:paraId="58C0F4C1" w14:textId="5890FAF5" w:rsidR="00FC0533" w:rsidRPr="00F1660D" w:rsidRDefault="005B4CB6" w:rsidP="005B4CB6">
      <w:pPr>
        <w:pStyle w:val="NormalNonumber"/>
        <w:rPr>
          <w:lang w:val="fr-FR"/>
        </w:rPr>
      </w:pPr>
      <w:r w:rsidRPr="00F1660D">
        <w:rPr>
          <w:lang w:val="fr-FR"/>
        </w:rPr>
        <w:tab/>
      </w:r>
      <w:r w:rsidRPr="00F1660D">
        <w:rPr>
          <w:lang w:val="fr-FR"/>
        </w:rPr>
        <w:tab/>
        <w:t>a)</w:t>
      </w:r>
      <w:r w:rsidRPr="00F1660D">
        <w:rPr>
          <w:lang w:val="fr-FR"/>
        </w:rPr>
        <w:tab/>
      </w:r>
      <w:r w:rsidR="00FC0533" w:rsidRPr="00F1660D">
        <w:rPr>
          <w:lang w:val="fr-FR"/>
        </w:rPr>
        <w:t>Adoption de l</w:t>
      </w:r>
      <w:r w:rsidR="00CE30FD" w:rsidRPr="00F1660D">
        <w:rPr>
          <w:lang w:val="fr-FR"/>
        </w:rPr>
        <w:t>’</w:t>
      </w:r>
      <w:r w:rsidR="00FC0533" w:rsidRPr="00F1660D">
        <w:rPr>
          <w:lang w:val="fr-FR"/>
        </w:rPr>
        <w:t>ordre du jour ;</w:t>
      </w:r>
    </w:p>
    <w:p w14:paraId="7D7A6920" w14:textId="3FC7453F" w:rsidR="00FC0533" w:rsidRPr="00F1660D" w:rsidRDefault="005B4CB6" w:rsidP="005B4CB6">
      <w:pPr>
        <w:pStyle w:val="NormalNonumber"/>
        <w:rPr>
          <w:lang w:val="fr-FR"/>
        </w:rPr>
      </w:pPr>
      <w:r w:rsidRPr="00F1660D">
        <w:rPr>
          <w:lang w:val="fr-FR"/>
        </w:rPr>
        <w:tab/>
      </w:r>
      <w:r w:rsidRPr="00F1660D">
        <w:rPr>
          <w:lang w:val="fr-FR"/>
        </w:rPr>
        <w:tab/>
        <w:t>b)</w:t>
      </w:r>
      <w:r w:rsidRPr="00F1660D">
        <w:rPr>
          <w:lang w:val="fr-FR"/>
        </w:rPr>
        <w:tab/>
      </w:r>
      <w:r w:rsidR="00FC0533" w:rsidRPr="00F1660D">
        <w:rPr>
          <w:lang w:val="fr-FR"/>
        </w:rPr>
        <w:t>Organisation</w:t>
      </w:r>
      <w:r w:rsidR="00A50629" w:rsidRPr="00F1660D">
        <w:rPr>
          <w:lang w:val="fr-FR"/>
        </w:rPr>
        <w:t xml:space="preserve"> des </w:t>
      </w:r>
      <w:r w:rsidR="00FC0533" w:rsidRPr="00F1660D">
        <w:rPr>
          <w:lang w:val="fr-FR"/>
        </w:rPr>
        <w:t>travaux.</w:t>
      </w:r>
    </w:p>
    <w:p w14:paraId="5C1FE8BC" w14:textId="76E0E962" w:rsidR="00FC0533" w:rsidRPr="00F1660D" w:rsidRDefault="005B4CB6" w:rsidP="00F45B61">
      <w:pPr>
        <w:pStyle w:val="NormalNonumber"/>
        <w:keepNext/>
        <w:keepLines/>
        <w:ind w:left="2381" w:hanging="1134"/>
        <w:rPr>
          <w:lang w:val="fr-FR"/>
        </w:rPr>
      </w:pPr>
      <w:r w:rsidRPr="00F1660D">
        <w:rPr>
          <w:lang w:val="fr-FR"/>
        </w:rPr>
        <w:tab/>
        <w:t>3.</w:t>
      </w:r>
      <w:r w:rsidRPr="00F1660D">
        <w:rPr>
          <w:lang w:val="fr-FR"/>
        </w:rPr>
        <w:tab/>
      </w:r>
      <w:r w:rsidR="00FC0533" w:rsidRPr="00F1660D">
        <w:rPr>
          <w:lang w:val="fr-FR"/>
        </w:rPr>
        <w:t>L</w:t>
      </w:r>
      <w:r w:rsidR="00CE30FD" w:rsidRPr="00F1660D">
        <w:rPr>
          <w:lang w:val="fr-FR"/>
        </w:rPr>
        <w:t>’</w:t>
      </w:r>
      <w:r w:rsidR="00FC0533" w:rsidRPr="00F1660D">
        <w:rPr>
          <w:lang w:val="fr-FR"/>
        </w:rPr>
        <w:t>Approche stratégique et</w:t>
      </w:r>
      <w:r w:rsidR="00A50629" w:rsidRPr="00F1660D">
        <w:rPr>
          <w:lang w:val="fr-FR"/>
        </w:rPr>
        <w:t xml:space="preserve"> la </w:t>
      </w:r>
      <w:r w:rsidR="00FC0533" w:rsidRPr="00F1660D">
        <w:rPr>
          <w:lang w:val="fr-FR"/>
        </w:rPr>
        <w:t>gestion rationnelle</w:t>
      </w:r>
      <w:r w:rsidR="00A50629" w:rsidRPr="00F1660D">
        <w:rPr>
          <w:lang w:val="fr-FR"/>
        </w:rPr>
        <w:t xml:space="preserve"> des </w:t>
      </w:r>
      <w:r w:rsidR="00FC0533" w:rsidRPr="00F1660D">
        <w:rPr>
          <w:lang w:val="fr-FR"/>
        </w:rPr>
        <w:t>produits chimiques et</w:t>
      </w:r>
      <w:r w:rsidR="00A50629" w:rsidRPr="00F1660D">
        <w:rPr>
          <w:lang w:val="fr-FR"/>
        </w:rPr>
        <w:t xml:space="preserve"> des </w:t>
      </w:r>
      <w:r w:rsidR="00FC0533" w:rsidRPr="00F1660D">
        <w:rPr>
          <w:lang w:val="fr-FR"/>
        </w:rPr>
        <w:t>déchets au-delà de 2020 :</w:t>
      </w:r>
    </w:p>
    <w:p w14:paraId="4F3054BB" w14:textId="4AF28772" w:rsidR="00FC0533" w:rsidRPr="00F1660D" w:rsidRDefault="005B4CB6" w:rsidP="00F45B61">
      <w:pPr>
        <w:pStyle w:val="NormalNonumber"/>
        <w:keepNext/>
        <w:keepLines/>
        <w:ind w:left="2381" w:hanging="1134"/>
        <w:rPr>
          <w:lang w:val="fr-FR"/>
        </w:rPr>
      </w:pPr>
      <w:r w:rsidRPr="00F1660D">
        <w:rPr>
          <w:lang w:val="fr-FR"/>
        </w:rPr>
        <w:tab/>
      </w:r>
      <w:r w:rsidRPr="00F1660D">
        <w:rPr>
          <w:lang w:val="fr-FR"/>
        </w:rPr>
        <w:tab/>
        <w:t>a)</w:t>
      </w:r>
      <w:r w:rsidRPr="00F1660D">
        <w:rPr>
          <w:lang w:val="fr-FR"/>
        </w:rPr>
        <w:tab/>
      </w:r>
      <w:r w:rsidR="00FC0533" w:rsidRPr="00F1660D">
        <w:rPr>
          <w:lang w:val="fr-FR"/>
        </w:rPr>
        <w:t>Évaluation indépendante de l</w:t>
      </w:r>
      <w:r w:rsidR="00CE30FD" w:rsidRPr="00F1660D">
        <w:rPr>
          <w:lang w:val="fr-FR"/>
        </w:rPr>
        <w:t>’</w:t>
      </w:r>
      <w:r w:rsidR="00FC0533" w:rsidRPr="00F1660D">
        <w:rPr>
          <w:lang w:val="fr-FR"/>
        </w:rPr>
        <w:t>Approche stratégique pour</w:t>
      </w:r>
      <w:r w:rsidR="00A50629" w:rsidRPr="00F1660D">
        <w:rPr>
          <w:lang w:val="fr-FR"/>
        </w:rPr>
        <w:t xml:space="preserve"> la </w:t>
      </w:r>
      <w:r w:rsidR="00FC0533" w:rsidRPr="00F1660D">
        <w:rPr>
          <w:lang w:val="fr-FR"/>
        </w:rPr>
        <w:t>période 2006–2015 ;</w:t>
      </w:r>
    </w:p>
    <w:p w14:paraId="0C2F5B02" w14:textId="323D9B1F" w:rsidR="00FC0533" w:rsidRPr="00F1660D" w:rsidRDefault="005B4CB6" w:rsidP="005B4CB6">
      <w:pPr>
        <w:pStyle w:val="NormalNonumber"/>
        <w:ind w:left="2948" w:hanging="1701"/>
        <w:rPr>
          <w:lang w:val="fr-FR"/>
        </w:rPr>
      </w:pPr>
      <w:r w:rsidRPr="00F1660D">
        <w:rPr>
          <w:lang w:val="fr-FR"/>
        </w:rPr>
        <w:tab/>
      </w:r>
      <w:r w:rsidRPr="00F1660D">
        <w:rPr>
          <w:lang w:val="fr-FR"/>
        </w:rPr>
        <w:tab/>
      </w:r>
      <w:r w:rsidRPr="00F1660D">
        <w:rPr>
          <w:lang w:val="fr-FR"/>
        </w:rPr>
        <w:tab/>
        <w:t>b)</w:t>
      </w:r>
      <w:r w:rsidRPr="00F1660D">
        <w:rPr>
          <w:lang w:val="fr-FR"/>
        </w:rPr>
        <w:tab/>
      </w:r>
      <w:r w:rsidR="00FC0533" w:rsidRPr="00F1660D">
        <w:rPr>
          <w:lang w:val="fr-FR"/>
        </w:rPr>
        <w:t>Considérations en vue d</w:t>
      </w:r>
      <w:r w:rsidR="00CE30FD" w:rsidRPr="00F1660D">
        <w:rPr>
          <w:lang w:val="fr-FR"/>
        </w:rPr>
        <w:t>’</w:t>
      </w:r>
      <w:r w:rsidR="00FC0533" w:rsidRPr="00F1660D">
        <w:rPr>
          <w:lang w:val="fr-FR"/>
        </w:rPr>
        <w:t>une gestion rationnelle</w:t>
      </w:r>
      <w:r w:rsidR="00A50629" w:rsidRPr="00F1660D">
        <w:rPr>
          <w:lang w:val="fr-FR"/>
        </w:rPr>
        <w:t xml:space="preserve"> des </w:t>
      </w:r>
      <w:r w:rsidR="00FC0533" w:rsidRPr="00F1660D">
        <w:rPr>
          <w:lang w:val="fr-FR"/>
        </w:rPr>
        <w:t>produits chimiques et</w:t>
      </w:r>
      <w:r w:rsidR="00A50629" w:rsidRPr="00F1660D">
        <w:rPr>
          <w:lang w:val="fr-FR"/>
        </w:rPr>
        <w:t xml:space="preserve"> des </w:t>
      </w:r>
      <w:r w:rsidR="00FC0533" w:rsidRPr="00F1660D">
        <w:rPr>
          <w:lang w:val="fr-FR"/>
        </w:rPr>
        <w:t>déchets au-delà de 2020 :</w:t>
      </w:r>
    </w:p>
    <w:p w14:paraId="0FC323BC" w14:textId="29AFED8A" w:rsidR="00FC0533" w:rsidRPr="00F1660D" w:rsidRDefault="005B4CB6" w:rsidP="005B4CB6">
      <w:pPr>
        <w:pStyle w:val="NormalNonumber"/>
        <w:ind w:left="3515" w:hanging="2268"/>
        <w:rPr>
          <w:lang w:val="fr-FR"/>
        </w:rPr>
      </w:pPr>
      <w:r w:rsidRPr="00F1660D">
        <w:rPr>
          <w:lang w:val="fr-FR"/>
        </w:rPr>
        <w:tab/>
      </w:r>
      <w:r w:rsidRPr="00F1660D">
        <w:rPr>
          <w:lang w:val="fr-FR"/>
        </w:rPr>
        <w:tab/>
      </w:r>
      <w:r w:rsidRPr="00F1660D">
        <w:rPr>
          <w:lang w:val="fr-FR"/>
        </w:rPr>
        <w:tab/>
        <w:t>i)</w:t>
      </w:r>
      <w:r w:rsidRPr="00F1660D">
        <w:rPr>
          <w:lang w:val="fr-FR"/>
        </w:rPr>
        <w:tab/>
      </w:r>
      <w:r w:rsidR="00FC0533" w:rsidRPr="00F1660D">
        <w:rPr>
          <w:lang w:val="fr-FR"/>
        </w:rPr>
        <w:t>Élaboration de recommandations en prévision de</w:t>
      </w:r>
      <w:r w:rsidR="00A50629" w:rsidRPr="00F1660D">
        <w:rPr>
          <w:lang w:val="fr-FR"/>
        </w:rPr>
        <w:t xml:space="preserve"> la </w:t>
      </w:r>
      <w:r w:rsidR="00FC0533" w:rsidRPr="00F1660D">
        <w:rPr>
          <w:lang w:val="fr-FR"/>
        </w:rPr>
        <w:t>cinquième session de</w:t>
      </w:r>
      <w:r w:rsidR="00A50629" w:rsidRPr="00F1660D">
        <w:rPr>
          <w:lang w:val="fr-FR"/>
        </w:rPr>
        <w:t xml:space="preserve"> la </w:t>
      </w:r>
      <w:r w:rsidR="00FC0533" w:rsidRPr="00F1660D">
        <w:rPr>
          <w:lang w:val="fr-FR"/>
        </w:rPr>
        <w:t>Conférence internationale sur</w:t>
      </w:r>
      <w:r w:rsidR="00A50629" w:rsidRPr="00F1660D">
        <w:rPr>
          <w:lang w:val="fr-FR"/>
        </w:rPr>
        <w:t xml:space="preserve"> la </w:t>
      </w:r>
      <w:r w:rsidR="00FC0533" w:rsidRPr="00F1660D">
        <w:rPr>
          <w:lang w:val="fr-FR"/>
        </w:rPr>
        <w:t>gestion</w:t>
      </w:r>
      <w:r w:rsidR="00A50629" w:rsidRPr="00F1660D">
        <w:rPr>
          <w:lang w:val="fr-FR"/>
        </w:rPr>
        <w:t xml:space="preserve"> des </w:t>
      </w:r>
      <w:r w:rsidR="00FC0533" w:rsidRPr="00F1660D">
        <w:rPr>
          <w:lang w:val="fr-FR"/>
        </w:rPr>
        <w:t>produits chimiques ;</w:t>
      </w:r>
    </w:p>
    <w:p w14:paraId="4C3EAC20" w14:textId="5E81B947" w:rsidR="00FC0533" w:rsidRPr="00F1660D" w:rsidRDefault="005B4CB6" w:rsidP="005B4CB6">
      <w:pPr>
        <w:pStyle w:val="NormalNonumber"/>
        <w:ind w:left="3515" w:hanging="2268"/>
        <w:rPr>
          <w:lang w:val="fr-FR"/>
        </w:rPr>
      </w:pPr>
      <w:r w:rsidRPr="00F1660D">
        <w:rPr>
          <w:lang w:val="fr-FR"/>
        </w:rPr>
        <w:tab/>
      </w:r>
      <w:r w:rsidRPr="00F1660D">
        <w:rPr>
          <w:lang w:val="fr-FR"/>
        </w:rPr>
        <w:tab/>
      </w:r>
      <w:r w:rsidRPr="00F1660D">
        <w:rPr>
          <w:lang w:val="fr-FR"/>
        </w:rPr>
        <w:tab/>
        <w:t>ii)</w:t>
      </w:r>
      <w:r w:rsidRPr="00F1660D">
        <w:rPr>
          <w:lang w:val="fr-FR"/>
        </w:rPr>
        <w:tab/>
      </w:r>
      <w:r w:rsidR="00FC0533" w:rsidRPr="00F1660D">
        <w:rPr>
          <w:lang w:val="fr-FR"/>
        </w:rPr>
        <w:t>Calendrier du processus intersessions d</w:t>
      </w:r>
      <w:r w:rsidR="00CE30FD" w:rsidRPr="00F1660D">
        <w:rPr>
          <w:lang w:val="fr-FR"/>
        </w:rPr>
        <w:t>’</w:t>
      </w:r>
      <w:r w:rsidR="00FC0533" w:rsidRPr="00F1660D">
        <w:rPr>
          <w:lang w:val="fr-FR"/>
        </w:rPr>
        <w:t>examen de l</w:t>
      </w:r>
      <w:r w:rsidR="00CE30FD" w:rsidRPr="00F1660D">
        <w:rPr>
          <w:lang w:val="fr-FR"/>
        </w:rPr>
        <w:t>’</w:t>
      </w:r>
      <w:r w:rsidR="00FC0533" w:rsidRPr="00F1660D">
        <w:rPr>
          <w:lang w:val="fr-FR"/>
        </w:rPr>
        <w:t>Approche stratégique et de</w:t>
      </w:r>
      <w:r w:rsidR="00A50629" w:rsidRPr="00F1660D">
        <w:rPr>
          <w:lang w:val="fr-FR"/>
        </w:rPr>
        <w:t xml:space="preserve"> la </w:t>
      </w:r>
      <w:r w:rsidR="00FC0533" w:rsidRPr="00F1660D">
        <w:rPr>
          <w:lang w:val="fr-FR"/>
        </w:rPr>
        <w:t>gestion rationnelle</w:t>
      </w:r>
      <w:r w:rsidR="00A50629" w:rsidRPr="00F1660D">
        <w:rPr>
          <w:lang w:val="fr-FR"/>
        </w:rPr>
        <w:t xml:space="preserve"> des </w:t>
      </w:r>
      <w:r w:rsidR="00FC0533" w:rsidRPr="00F1660D">
        <w:rPr>
          <w:lang w:val="fr-FR"/>
        </w:rPr>
        <w:t>produits chimiques et</w:t>
      </w:r>
      <w:r w:rsidR="00A50629" w:rsidRPr="00F1660D">
        <w:rPr>
          <w:lang w:val="fr-FR"/>
        </w:rPr>
        <w:t xml:space="preserve"> des </w:t>
      </w:r>
      <w:r w:rsidR="00FC0533" w:rsidRPr="00F1660D">
        <w:rPr>
          <w:lang w:val="fr-FR"/>
        </w:rPr>
        <w:t>déchets au-delà de 2020.</w:t>
      </w:r>
    </w:p>
    <w:p w14:paraId="1B5E36BF" w14:textId="70E9D42A" w:rsidR="00FC0533" w:rsidRPr="00F1660D" w:rsidRDefault="005B4CB6" w:rsidP="005B4CB6">
      <w:pPr>
        <w:pStyle w:val="NormalNonumber"/>
        <w:ind w:left="2381" w:hanging="1134"/>
        <w:rPr>
          <w:lang w:val="fr-FR"/>
        </w:rPr>
      </w:pPr>
      <w:r w:rsidRPr="00F1660D">
        <w:rPr>
          <w:lang w:val="fr-FR"/>
        </w:rPr>
        <w:tab/>
        <w:t>4.</w:t>
      </w:r>
      <w:r w:rsidRPr="00F1660D">
        <w:rPr>
          <w:lang w:val="fr-FR"/>
        </w:rPr>
        <w:tab/>
      </w:r>
      <w:r w:rsidR="00FC0533" w:rsidRPr="00F1660D">
        <w:rPr>
          <w:lang w:val="fr-FR"/>
        </w:rPr>
        <w:t>Progrès accomplis dans</w:t>
      </w:r>
      <w:r w:rsidR="00A50629" w:rsidRPr="00F1660D">
        <w:rPr>
          <w:lang w:val="fr-FR"/>
        </w:rPr>
        <w:t xml:space="preserve"> la </w:t>
      </w:r>
      <w:r w:rsidR="00FC0533" w:rsidRPr="00F1660D">
        <w:rPr>
          <w:lang w:val="fr-FR"/>
        </w:rPr>
        <w:t>réalisation de l</w:t>
      </w:r>
      <w:r w:rsidR="00CE30FD" w:rsidRPr="00F1660D">
        <w:rPr>
          <w:lang w:val="fr-FR"/>
        </w:rPr>
        <w:t>’</w:t>
      </w:r>
      <w:r w:rsidR="00FC0533" w:rsidRPr="00F1660D">
        <w:rPr>
          <w:lang w:val="fr-FR"/>
        </w:rPr>
        <w:t>objectif global d</w:t>
      </w:r>
      <w:r w:rsidR="00CE30FD" w:rsidRPr="00F1660D">
        <w:rPr>
          <w:lang w:val="fr-FR"/>
        </w:rPr>
        <w:t>’</w:t>
      </w:r>
      <w:r w:rsidR="00FC0533" w:rsidRPr="00F1660D">
        <w:rPr>
          <w:lang w:val="fr-FR"/>
        </w:rPr>
        <w:t>une gestion rationnelle</w:t>
      </w:r>
      <w:r w:rsidR="00A50629" w:rsidRPr="00F1660D">
        <w:rPr>
          <w:lang w:val="fr-FR"/>
        </w:rPr>
        <w:t xml:space="preserve"> des </w:t>
      </w:r>
      <w:r w:rsidR="00FC0533" w:rsidRPr="00F1660D">
        <w:rPr>
          <w:lang w:val="fr-FR"/>
        </w:rPr>
        <w:t>produits chimiques fixé pour 2020 :</w:t>
      </w:r>
    </w:p>
    <w:p w14:paraId="0866FF2D" w14:textId="43BD0F45" w:rsidR="00FC0533" w:rsidRPr="00F1660D" w:rsidRDefault="005B4CB6" w:rsidP="005B4CB6">
      <w:pPr>
        <w:pStyle w:val="NormalNonumber"/>
        <w:ind w:left="2948" w:hanging="1701"/>
        <w:rPr>
          <w:lang w:val="fr-FR"/>
        </w:rPr>
      </w:pPr>
      <w:r w:rsidRPr="00F1660D">
        <w:rPr>
          <w:lang w:val="fr-FR"/>
        </w:rPr>
        <w:tab/>
      </w:r>
      <w:r w:rsidRPr="00F1660D">
        <w:rPr>
          <w:lang w:val="fr-FR"/>
        </w:rPr>
        <w:tab/>
      </w:r>
      <w:r w:rsidRPr="00F1660D">
        <w:rPr>
          <w:lang w:val="fr-FR"/>
        </w:rPr>
        <w:tab/>
        <w:t>a)</w:t>
      </w:r>
      <w:r w:rsidRPr="00F1660D">
        <w:rPr>
          <w:lang w:val="fr-FR"/>
        </w:rPr>
        <w:tab/>
      </w:r>
      <w:r w:rsidR="00FC0533" w:rsidRPr="00F1660D">
        <w:rPr>
          <w:lang w:val="fr-FR"/>
        </w:rPr>
        <w:t>Rapport d</w:t>
      </w:r>
      <w:r w:rsidR="00CE30FD" w:rsidRPr="00F1660D">
        <w:rPr>
          <w:lang w:val="fr-FR"/>
        </w:rPr>
        <w:t>’</w:t>
      </w:r>
      <w:r w:rsidR="00FC0533" w:rsidRPr="00F1660D">
        <w:rPr>
          <w:lang w:val="fr-FR"/>
        </w:rPr>
        <w:t>activité pour</w:t>
      </w:r>
      <w:r w:rsidR="00A50629" w:rsidRPr="00F1660D">
        <w:rPr>
          <w:lang w:val="fr-FR"/>
        </w:rPr>
        <w:t xml:space="preserve"> la </w:t>
      </w:r>
      <w:r w:rsidR="00FC0533" w:rsidRPr="00F1660D">
        <w:rPr>
          <w:lang w:val="fr-FR"/>
        </w:rPr>
        <w:t>période 2014–2016 ;</w:t>
      </w:r>
    </w:p>
    <w:p w14:paraId="72582741" w14:textId="5ACC4F98" w:rsidR="00FC0533" w:rsidRPr="00F1660D" w:rsidRDefault="005B4CB6" w:rsidP="005B4CB6">
      <w:pPr>
        <w:pStyle w:val="NormalNonumber"/>
        <w:ind w:left="2948" w:hanging="1701"/>
        <w:rPr>
          <w:lang w:val="fr-FR"/>
        </w:rPr>
      </w:pPr>
      <w:r w:rsidRPr="00F1660D">
        <w:rPr>
          <w:lang w:val="fr-FR"/>
        </w:rPr>
        <w:tab/>
      </w:r>
      <w:r w:rsidRPr="00F1660D">
        <w:rPr>
          <w:lang w:val="fr-FR"/>
        </w:rPr>
        <w:tab/>
      </w:r>
      <w:r w:rsidRPr="00F1660D">
        <w:rPr>
          <w:lang w:val="fr-FR"/>
        </w:rPr>
        <w:tab/>
        <w:t>b)</w:t>
      </w:r>
      <w:r w:rsidRPr="00F1660D">
        <w:rPr>
          <w:lang w:val="fr-FR"/>
        </w:rPr>
        <w:tab/>
      </w:r>
      <w:r w:rsidR="00FC0533" w:rsidRPr="00F1660D">
        <w:rPr>
          <w:lang w:val="fr-FR"/>
        </w:rPr>
        <w:t>Orientations générales et directives en vue de</w:t>
      </w:r>
      <w:r w:rsidR="00A50629" w:rsidRPr="00F1660D">
        <w:rPr>
          <w:lang w:val="fr-FR"/>
        </w:rPr>
        <w:t xml:space="preserve"> la </w:t>
      </w:r>
      <w:r w:rsidR="00FC0533" w:rsidRPr="00F1660D">
        <w:rPr>
          <w:lang w:val="fr-FR"/>
        </w:rPr>
        <w:t>réalisation de l</w:t>
      </w:r>
      <w:r w:rsidR="00CE30FD" w:rsidRPr="00F1660D">
        <w:rPr>
          <w:lang w:val="fr-FR"/>
        </w:rPr>
        <w:t>’</w:t>
      </w:r>
      <w:r w:rsidR="00FC0533" w:rsidRPr="00F1660D">
        <w:rPr>
          <w:lang w:val="fr-FR"/>
        </w:rPr>
        <w:t>objectif fixé pour</w:t>
      </w:r>
      <w:r w:rsidR="00D50259" w:rsidRPr="00F1660D">
        <w:rPr>
          <w:lang w:val="fr-FR"/>
        </w:rPr>
        <w:t> </w:t>
      </w:r>
      <w:r w:rsidR="00FC0533" w:rsidRPr="00F1660D">
        <w:rPr>
          <w:lang w:val="fr-FR"/>
        </w:rPr>
        <w:t>2020 ;</w:t>
      </w:r>
    </w:p>
    <w:p w14:paraId="3AE6D483" w14:textId="4E14D2FB" w:rsidR="00FC0533" w:rsidRPr="00F1660D" w:rsidRDefault="005B4CB6" w:rsidP="005B4CB6">
      <w:pPr>
        <w:pStyle w:val="NormalNonumber"/>
        <w:ind w:left="2948" w:hanging="1701"/>
        <w:rPr>
          <w:lang w:val="fr-FR"/>
        </w:rPr>
      </w:pPr>
      <w:r w:rsidRPr="00F1660D">
        <w:rPr>
          <w:lang w:val="fr-FR"/>
        </w:rPr>
        <w:tab/>
      </w:r>
      <w:r w:rsidRPr="00F1660D">
        <w:rPr>
          <w:lang w:val="fr-FR"/>
        </w:rPr>
        <w:tab/>
      </w:r>
      <w:r w:rsidRPr="00F1660D">
        <w:rPr>
          <w:lang w:val="fr-FR"/>
        </w:rPr>
        <w:tab/>
        <w:t>c)</w:t>
      </w:r>
      <w:r w:rsidRPr="00F1660D">
        <w:rPr>
          <w:lang w:val="fr-FR"/>
        </w:rPr>
        <w:tab/>
      </w:r>
      <w:r w:rsidR="00FC0533" w:rsidRPr="00F1660D">
        <w:rPr>
          <w:lang w:val="fr-FR"/>
        </w:rPr>
        <w:t>Nouvelles questions de politique générale et autres sujets de préoccupation ;</w:t>
      </w:r>
    </w:p>
    <w:p w14:paraId="44736EA5" w14:textId="56C5466B" w:rsidR="00FC0533" w:rsidRPr="00F1660D" w:rsidRDefault="005B4CB6" w:rsidP="005B4CB6">
      <w:pPr>
        <w:pStyle w:val="NormalNonumber"/>
        <w:ind w:left="2948" w:hanging="1701"/>
        <w:rPr>
          <w:lang w:val="fr-FR"/>
        </w:rPr>
      </w:pPr>
      <w:r w:rsidRPr="00F1660D">
        <w:rPr>
          <w:lang w:val="fr-FR"/>
        </w:rPr>
        <w:tab/>
      </w:r>
      <w:r w:rsidRPr="00F1660D">
        <w:rPr>
          <w:lang w:val="fr-FR"/>
        </w:rPr>
        <w:tab/>
      </w:r>
      <w:r w:rsidRPr="00F1660D">
        <w:rPr>
          <w:lang w:val="fr-FR"/>
        </w:rPr>
        <w:tab/>
        <w:t>d)</w:t>
      </w:r>
      <w:r w:rsidRPr="00F1660D">
        <w:rPr>
          <w:lang w:val="fr-FR"/>
        </w:rPr>
        <w:tab/>
      </w:r>
      <w:r w:rsidR="00FC0533" w:rsidRPr="00F1660D">
        <w:rPr>
          <w:lang w:val="fr-FR"/>
        </w:rPr>
        <w:t>Mise en œuvre de</w:t>
      </w:r>
      <w:r w:rsidR="00A50629" w:rsidRPr="00F1660D">
        <w:rPr>
          <w:lang w:val="fr-FR"/>
        </w:rPr>
        <w:t xml:space="preserve"> la </w:t>
      </w:r>
      <w:r w:rsidR="00FC0533" w:rsidRPr="00F1660D">
        <w:rPr>
          <w:lang w:val="fr-FR"/>
        </w:rPr>
        <w:t>stratégie pour</w:t>
      </w:r>
      <w:r w:rsidR="00A50629" w:rsidRPr="00F1660D">
        <w:rPr>
          <w:lang w:val="fr-FR"/>
        </w:rPr>
        <w:t xml:space="preserve"> le </w:t>
      </w:r>
      <w:r w:rsidR="00FC0533" w:rsidRPr="00F1660D">
        <w:rPr>
          <w:lang w:val="fr-FR"/>
        </w:rPr>
        <w:t>secteur de</w:t>
      </w:r>
      <w:r w:rsidR="00A50629" w:rsidRPr="00F1660D">
        <w:rPr>
          <w:lang w:val="fr-FR"/>
        </w:rPr>
        <w:t xml:space="preserve"> la </w:t>
      </w:r>
      <w:r w:rsidR="00FC0533" w:rsidRPr="00F1660D">
        <w:rPr>
          <w:lang w:val="fr-FR"/>
        </w:rPr>
        <w:t>santé ;</w:t>
      </w:r>
    </w:p>
    <w:p w14:paraId="1B688D9B" w14:textId="32EAF24B" w:rsidR="00FC0533" w:rsidRPr="00F1660D" w:rsidRDefault="005B4CB6" w:rsidP="005B4CB6">
      <w:pPr>
        <w:pStyle w:val="NormalNonumber"/>
        <w:ind w:left="2948" w:hanging="1701"/>
        <w:rPr>
          <w:lang w:val="fr-FR"/>
        </w:rPr>
      </w:pPr>
      <w:r w:rsidRPr="00F1660D">
        <w:rPr>
          <w:lang w:val="fr-FR"/>
        </w:rPr>
        <w:tab/>
      </w:r>
      <w:r w:rsidRPr="00F1660D">
        <w:rPr>
          <w:lang w:val="fr-FR"/>
        </w:rPr>
        <w:tab/>
      </w:r>
      <w:r w:rsidRPr="00F1660D">
        <w:rPr>
          <w:lang w:val="fr-FR"/>
        </w:rPr>
        <w:tab/>
        <w:t>e)</w:t>
      </w:r>
      <w:r w:rsidRPr="00F1660D">
        <w:rPr>
          <w:lang w:val="fr-FR"/>
        </w:rPr>
        <w:tab/>
      </w:r>
      <w:r w:rsidR="00FC0533" w:rsidRPr="00F1660D">
        <w:rPr>
          <w:lang w:val="fr-FR"/>
        </w:rPr>
        <w:t>Financement de l</w:t>
      </w:r>
      <w:r w:rsidR="00CE30FD" w:rsidRPr="00F1660D">
        <w:rPr>
          <w:lang w:val="fr-FR"/>
        </w:rPr>
        <w:t>’</w:t>
      </w:r>
      <w:r w:rsidR="00FC0533" w:rsidRPr="00F1660D">
        <w:rPr>
          <w:lang w:val="fr-FR"/>
        </w:rPr>
        <w:t>Approche stratégique.</w:t>
      </w:r>
    </w:p>
    <w:p w14:paraId="150D28BC" w14:textId="3EAFDD2F" w:rsidR="00FC0533" w:rsidRPr="00F1660D" w:rsidRDefault="005B4CB6" w:rsidP="005B4CB6">
      <w:pPr>
        <w:pStyle w:val="NormalNonumber"/>
        <w:ind w:left="2381" w:hanging="1134"/>
        <w:rPr>
          <w:lang w:val="fr-FR"/>
        </w:rPr>
      </w:pPr>
      <w:r w:rsidRPr="00F1660D">
        <w:rPr>
          <w:lang w:val="fr-FR"/>
        </w:rPr>
        <w:tab/>
        <w:t>5.</w:t>
      </w:r>
      <w:r w:rsidRPr="00F1660D">
        <w:rPr>
          <w:lang w:val="fr-FR"/>
        </w:rPr>
        <w:tab/>
      </w:r>
      <w:r w:rsidR="00FC0533" w:rsidRPr="00F1660D">
        <w:rPr>
          <w:lang w:val="fr-FR"/>
        </w:rPr>
        <w:t>Activités prévues et projet de budget du secrétariat pour</w:t>
      </w:r>
      <w:r w:rsidR="00A50629" w:rsidRPr="00F1660D">
        <w:rPr>
          <w:lang w:val="fr-FR"/>
        </w:rPr>
        <w:t xml:space="preserve"> la </w:t>
      </w:r>
      <w:r w:rsidR="00FC0533" w:rsidRPr="00F1660D">
        <w:rPr>
          <w:lang w:val="fr-FR"/>
        </w:rPr>
        <w:t>période 2019–2020.</w:t>
      </w:r>
    </w:p>
    <w:p w14:paraId="34E07B54" w14:textId="6B03FA6F" w:rsidR="00FC0533" w:rsidRPr="00F1660D" w:rsidRDefault="005B4CB6" w:rsidP="005B4CB6">
      <w:pPr>
        <w:pStyle w:val="NormalNonumber"/>
        <w:ind w:left="2381" w:hanging="1134"/>
        <w:rPr>
          <w:lang w:val="fr-FR"/>
        </w:rPr>
      </w:pPr>
      <w:r w:rsidRPr="00F1660D">
        <w:rPr>
          <w:lang w:val="fr-FR"/>
        </w:rPr>
        <w:tab/>
        <w:t>6.</w:t>
      </w:r>
      <w:r w:rsidRPr="00F1660D">
        <w:rPr>
          <w:lang w:val="fr-FR"/>
        </w:rPr>
        <w:tab/>
      </w:r>
      <w:r w:rsidR="00FC0533" w:rsidRPr="00F1660D">
        <w:rPr>
          <w:lang w:val="fr-FR"/>
        </w:rPr>
        <w:t>Préparation de</w:t>
      </w:r>
      <w:r w:rsidR="00A50629" w:rsidRPr="00F1660D">
        <w:rPr>
          <w:lang w:val="fr-FR"/>
        </w:rPr>
        <w:t xml:space="preserve"> la </w:t>
      </w:r>
      <w:r w:rsidR="00FC0533" w:rsidRPr="00F1660D">
        <w:rPr>
          <w:lang w:val="fr-FR"/>
        </w:rPr>
        <w:t>cinquième session de</w:t>
      </w:r>
      <w:r w:rsidR="00A50629" w:rsidRPr="00F1660D">
        <w:rPr>
          <w:lang w:val="fr-FR"/>
        </w:rPr>
        <w:t xml:space="preserve"> la </w:t>
      </w:r>
      <w:r w:rsidR="00FC0533" w:rsidRPr="00F1660D">
        <w:rPr>
          <w:lang w:val="fr-FR"/>
        </w:rPr>
        <w:t>Conférence internationale sur</w:t>
      </w:r>
      <w:r w:rsidR="00A50629" w:rsidRPr="00F1660D">
        <w:rPr>
          <w:lang w:val="fr-FR"/>
        </w:rPr>
        <w:t xml:space="preserve"> la </w:t>
      </w:r>
      <w:r w:rsidR="00FC0533" w:rsidRPr="00F1660D">
        <w:rPr>
          <w:lang w:val="fr-FR"/>
        </w:rPr>
        <w:t>gestion</w:t>
      </w:r>
      <w:r w:rsidR="00A50629" w:rsidRPr="00F1660D">
        <w:rPr>
          <w:lang w:val="fr-FR"/>
        </w:rPr>
        <w:t xml:space="preserve"> des </w:t>
      </w:r>
      <w:r w:rsidR="00FC0533" w:rsidRPr="00F1660D">
        <w:rPr>
          <w:lang w:val="fr-FR"/>
        </w:rPr>
        <w:t xml:space="preserve">produits chimiques. </w:t>
      </w:r>
    </w:p>
    <w:p w14:paraId="22E826D9" w14:textId="6D0C70A8" w:rsidR="00FC0533" w:rsidRPr="00F1660D" w:rsidRDefault="005B4CB6" w:rsidP="005B4CB6">
      <w:pPr>
        <w:pStyle w:val="NormalNonumber"/>
        <w:ind w:left="2381" w:hanging="1134"/>
        <w:rPr>
          <w:lang w:val="fr-FR"/>
        </w:rPr>
      </w:pPr>
      <w:r w:rsidRPr="00F1660D">
        <w:rPr>
          <w:lang w:val="fr-FR"/>
        </w:rPr>
        <w:tab/>
        <w:t>7.</w:t>
      </w:r>
      <w:r w:rsidRPr="00F1660D">
        <w:rPr>
          <w:lang w:val="fr-FR"/>
        </w:rPr>
        <w:tab/>
      </w:r>
      <w:r w:rsidR="00FC0533" w:rsidRPr="00F1660D">
        <w:rPr>
          <w:lang w:val="fr-FR"/>
        </w:rPr>
        <w:t>Questions diverses.</w:t>
      </w:r>
    </w:p>
    <w:p w14:paraId="3F272ACC" w14:textId="53B6D26A" w:rsidR="00FC0533" w:rsidRPr="00F1660D" w:rsidRDefault="005B4CB6" w:rsidP="005B4CB6">
      <w:pPr>
        <w:pStyle w:val="NormalNonumber"/>
        <w:ind w:left="2381" w:hanging="1134"/>
        <w:rPr>
          <w:lang w:val="fr-FR"/>
        </w:rPr>
      </w:pPr>
      <w:r w:rsidRPr="00F1660D">
        <w:rPr>
          <w:lang w:val="fr-FR"/>
        </w:rPr>
        <w:tab/>
        <w:t>8.</w:t>
      </w:r>
      <w:r w:rsidRPr="00F1660D">
        <w:rPr>
          <w:lang w:val="fr-FR"/>
        </w:rPr>
        <w:tab/>
      </w:r>
      <w:r w:rsidR="00FC0533" w:rsidRPr="00F1660D">
        <w:rPr>
          <w:lang w:val="fr-FR"/>
        </w:rPr>
        <w:t>Adoption du rapport de</w:t>
      </w:r>
      <w:r w:rsidR="00A50629" w:rsidRPr="00F1660D">
        <w:rPr>
          <w:lang w:val="fr-FR"/>
        </w:rPr>
        <w:t xml:space="preserve"> la </w:t>
      </w:r>
      <w:r w:rsidR="00FC0533" w:rsidRPr="00F1660D">
        <w:rPr>
          <w:lang w:val="fr-FR"/>
        </w:rPr>
        <w:t>réunion.</w:t>
      </w:r>
    </w:p>
    <w:p w14:paraId="5CA1B763" w14:textId="1A99EF69" w:rsidR="00FC0533" w:rsidRPr="00F1660D" w:rsidRDefault="005B4CB6" w:rsidP="005B4CB6">
      <w:pPr>
        <w:pStyle w:val="NormalNonumber"/>
        <w:ind w:left="2381" w:hanging="1134"/>
        <w:rPr>
          <w:lang w:val="fr-FR"/>
        </w:rPr>
      </w:pPr>
      <w:r w:rsidRPr="00F1660D">
        <w:rPr>
          <w:lang w:val="fr-FR"/>
        </w:rPr>
        <w:tab/>
        <w:t>9.</w:t>
      </w:r>
      <w:r w:rsidRPr="00F1660D">
        <w:rPr>
          <w:lang w:val="fr-FR"/>
        </w:rPr>
        <w:tab/>
      </w:r>
      <w:r w:rsidR="00FC0533" w:rsidRPr="00F1660D">
        <w:rPr>
          <w:lang w:val="fr-FR"/>
        </w:rPr>
        <w:t>Clôture de</w:t>
      </w:r>
      <w:r w:rsidR="00A50629" w:rsidRPr="00F1660D">
        <w:rPr>
          <w:lang w:val="fr-FR"/>
        </w:rPr>
        <w:t xml:space="preserve"> la </w:t>
      </w:r>
      <w:r w:rsidR="00FC0533" w:rsidRPr="00F1660D">
        <w:rPr>
          <w:lang w:val="fr-FR"/>
        </w:rPr>
        <w:t>réunion.</w:t>
      </w:r>
    </w:p>
    <w:p w14:paraId="40ACF057" w14:textId="000C80D2" w:rsidR="00FC0533" w:rsidRPr="00F1660D" w:rsidRDefault="00D50259" w:rsidP="00D50259">
      <w:pPr>
        <w:pStyle w:val="CH2"/>
        <w:rPr>
          <w:lang w:val="fr-FR"/>
        </w:rPr>
      </w:pPr>
      <w:r w:rsidRPr="00F1660D">
        <w:rPr>
          <w:lang w:val="fr-FR"/>
        </w:rPr>
        <w:tab/>
        <w:t>B.</w:t>
      </w:r>
      <w:r w:rsidRPr="00F1660D">
        <w:rPr>
          <w:lang w:val="fr-FR"/>
        </w:rPr>
        <w:tab/>
      </w:r>
      <w:r w:rsidR="006579B1" w:rsidRPr="00F1660D">
        <w:rPr>
          <w:lang w:val="fr-FR"/>
        </w:rPr>
        <w:t>Questions d</w:t>
      </w:r>
      <w:r w:rsidR="00CE30FD" w:rsidRPr="00F1660D">
        <w:rPr>
          <w:lang w:val="fr-FR"/>
        </w:rPr>
        <w:t>’</w:t>
      </w:r>
      <w:r w:rsidR="006579B1" w:rsidRPr="00F1660D">
        <w:rPr>
          <w:lang w:val="fr-FR"/>
        </w:rPr>
        <w:t>o</w:t>
      </w:r>
      <w:r w:rsidR="009D2925" w:rsidRPr="00F1660D">
        <w:rPr>
          <w:lang w:val="fr-FR"/>
        </w:rPr>
        <w:t>rganisation</w:t>
      </w:r>
    </w:p>
    <w:p w14:paraId="2C253143" w14:textId="324F33B5" w:rsidR="009D2925" w:rsidRPr="00F1660D" w:rsidRDefault="00D50259" w:rsidP="00D50259">
      <w:pPr>
        <w:pStyle w:val="CH3"/>
        <w:rPr>
          <w:lang w:val="fr-FR"/>
        </w:rPr>
      </w:pPr>
      <w:r w:rsidRPr="00F1660D">
        <w:rPr>
          <w:lang w:val="fr-FR"/>
        </w:rPr>
        <w:tab/>
        <w:t>1.</w:t>
      </w:r>
      <w:r w:rsidRPr="00F1660D">
        <w:rPr>
          <w:lang w:val="fr-FR"/>
        </w:rPr>
        <w:tab/>
      </w:r>
      <w:r w:rsidR="009D2925" w:rsidRPr="00F1660D">
        <w:rPr>
          <w:lang w:val="fr-FR"/>
        </w:rPr>
        <w:t>Participation</w:t>
      </w:r>
    </w:p>
    <w:p w14:paraId="3FA8B1F6" w14:textId="0DA1D1DE" w:rsidR="00B70207" w:rsidRPr="00F1660D" w:rsidRDefault="00B70207" w:rsidP="00733A1C">
      <w:pPr>
        <w:pStyle w:val="Normalnumber"/>
        <w:rPr>
          <w:lang w:val="fr-FR"/>
        </w:rPr>
      </w:pPr>
      <w:r w:rsidRPr="00F1660D">
        <w:rPr>
          <w:lang w:val="fr-FR"/>
        </w:rPr>
        <w:t>Les représentants</w:t>
      </w:r>
      <w:r w:rsidR="00A50629" w:rsidRPr="00F1660D">
        <w:rPr>
          <w:lang w:val="fr-FR"/>
        </w:rPr>
        <w:t xml:space="preserve"> des </w:t>
      </w:r>
      <w:r w:rsidRPr="00F1660D">
        <w:rPr>
          <w:lang w:val="fr-FR"/>
        </w:rPr>
        <w:t xml:space="preserve">gouvernements ci-après étaient présents : </w:t>
      </w:r>
      <w:r w:rsidR="001D6BFE" w:rsidRPr="00F1660D">
        <w:rPr>
          <w:lang w:val="fr-FR"/>
        </w:rPr>
        <w:t xml:space="preserve">Afrique du Sud, Albanie, Allemagne, Antigua-et-Barbuda, Argentine, Autriche, Azerbaïdjan, Belarus, Belgique, Belize, Bolivie (État plurinational de), Bosnie-Herzégovine, Brésil, Burkina Faso, Cambodge, Cameroun, Canada, Chili, Chine, Colombie, Comores, Congo, Costa Rica, Côte d’Ivoire, Cuba, </w:t>
      </w:r>
      <w:r w:rsidR="0070754B" w:rsidRPr="00F1660D">
        <w:rPr>
          <w:lang w:val="fr-FR"/>
        </w:rPr>
        <w:t xml:space="preserve"> Danemark, Égypte, Équateur, </w:t>
      </w:r>
      <w:r w:rsidR="00FC7310" w:rsidRPr="00F1660D">
        <w:rPr>
          <w:lang w:val="fr-FR"/>
        </w:rPr>
        <w:t xml:space="preserve">Espagne, </w:t>
      </w:r>
      <w:r w:rsidR="0070754B" w:rsidRPr="00F1660D">
        <w:rPr>
          <w:lang w:val="fr-FR"/>
        </w:rPr>
        <w:t xml:space="preserve">Estonie, </w:t>
      </w:r>
      <w:r w:rsidR="005D7872" w:rsidRPr="00F1660D">
        <w:rPr>
          <w:lang w:val="fr-FR"/>
        </w:rPr>
        <w:t xml:space="preserve">États-Unis d’Amérique, </w:t>
      </w:r>
      <w:r w:rsidR="0070754B" w:rsidRPr="00F1660D">
        <w:rPr>
          <w:lang w:val="fr-FR"/>
        </w:rPr>
        <w:t xml:space="preserve">Ethiopie, </w:t>
      </w:r>
      <w:r w:rsidR="00FC7310" w:rsidRPr="00F1660D">
        <w:rPr>
          <w:lang w:val="fr-FR"/>
        </w:rPr>
        <w:t xml:space="preserve">Fédération de Russie, </w:t>
      </w:r>
      <w:r w:rsidR="0070754B" w:rsidRPr="00F1660D">
        <w:rPr>
          <w:lang w:val="fr-FR"/>
        </w:rPr>
        <w:t>Finlande, France, Gabon, Gambie, Ghana, Guyana, Honduras, Hongrie, Inde, Indonésie, Iran (</w:t>
      </w:r>
      <w:r w:rsidR="00FC7310" w:rsidRPr="00F1660D">
        <w:rPr>
          <w:lang w:val="fr-FR"/>
        </w:rPr>
        <w:t xml:space="preserve">République islamique d’), Italie, Jamaïque, Japon, Kenya, Lettonie, Lesotho , Madagascar, Maldives, Mali, Maurice, Macédoine du Nord, Mexique, Nicaragua, Niger, Nigéria, Norvège, Oman, Panama, </w:t>
      </w:r>
      <w:r w:rsidR="00101BB8" w:rsidRPr="00F1660D">
        <w:rPr>
          <w:lang w:val="fr-FR"/>
        </w:rPr>
        <w:t xml:space="preserve">Paraguay, </w:t>
      </w:r>
      <w:r w:rsidR="00FC7310" w:rsidRPr="00F1660D">
        <w:rPr>
          <w:lang w:val="fr-FR"/>
        </w:rPr>
        <w:t xml:space="preserve">Pays-Bas, Pérou, Pologne, République dominicaine, Roumanie, </w:t>
      </w:r>
      <w:r w:rsidR="005D7872" w:rsidRPr="00F1660D">
        <w:rPr>
          <w:lang w:val="fr-FR"/>
        </w:rPr>
        <w:t xml:space="preserve">Royaume-Uni de Grande-Bretagne et d’Irlande du Nord, </w:t>
      </w:r>
      <w:r w:rsidR="00FC7310" w:rsidRPr="00F1660D">
        <w:rPr>
          <w:lang w:val="fr-FR"/>
        </w:rPr>
        <w:t xml:space="preserve">Sainte-Lucie, Saint-Vincent-et-les-Grenadines, Sénégal, Serbie, Slovaquie, Soudan, </w:t>
      </w:r>
      <w:proofErr w:type="spellStart"/>
      <w:r w:rsidR="00FC7310" w:rsidRPr="00F1660D">
        <w:rPr>
          <w:lang w:val="fr-FR"/>
        </w:rPr>
        <w:t>Sri-Lanka</w:t>
      </w:r>
      <w:proofErr w:type="spellEnd"/>
      <w:r w:rsidR="00FC7310" w:rsidRPr="00F1660D">
        <w:rPr>
          <w:lang w:val="fr-FR"/>
        </w:rPr>
        <w:t xml:space="preserve">, Suède, Suisse, </w:t>
      </w:r>
      <w:r w:rsidR="005D7872" w:rsidRPr="00F1660D">
        <w:rPr>
          <w:lang w:val="fr-FR"/>
        </w:rPr>
        <w:t>Tchéquie, Thaïlande, Tuvalu, Ukraine, Union européenne, Uruguay, Venezuela (république bolivarienne du), Zambie, Zimbabwe.</w:t>
      </w:r>
    </w:p>
    <w:p w14:paraId="45BFFCDD" w14:textId="26B34A36" w:rsidR="00B70207" w:rsidRPr="00F1660D" w:rsidRDefault="00B70207" w:rsidP="00733A1C">
      <w:pPr>
        <w:pStyle w:val="Normalnumber"/>
        <w:rPr>
          <w:lang w:val="fr-FR"/>
        </w:rPr>
      </w:pPr>
      <w:r w:rsidRPr="00F1660D">
        <w:rPr>
          <w:lang w:val="fr-FR"/>
        </w:rPr>
        <w:t xml:space="preserve">Les organisations intergouvernementales ci-après étaient représentées : </w:t>
      </w:r>
      <w:proofErr w:type="spellStart"/>
      <w:r w:rsidR="00AF15B1" w:rsidRPr="00F1660D">
        <w:rPr>
          <w:lang w:val="fr-FR"/>
        </w:rPr>
        <w:t>Africa</w:t>
      </w:r>
      <w:proofErr w:type="spellEnd"/>
      <w:r w:rsidR="00AF15B1" w:rsidRPr="00F1660D">
        <w:rPr>
          <w:lang w:val="fr-FR"/>
        </w:rPr>
        <w:t xml:space="preserve"> Institute,</w:t>
      </w:r>
      <w:r w:rsidR="003E3057" w:rsidRPr="00F1660D">
        <w:rPr>
          <w:lang w:val="fr-FR"/>
        </w:rPr>
        <w:t xml:space="preserve"> Agence européenne des produits chimiques, Banque mondiale, Centre de la Communauté d’États indépendants (CEI), Fonds pour l’environnement mondial, Haut-Commissariat des Nations Unies aux droits de l’homme, Institut des Nations Unies pour la formation et la recherche, Organisation de coopération et de développement économiques, Organisation des Nations Unies pour l’alimentation et l’agriculture,</w:t>
      </w:r>
      <w:r w:rsidR="009D573B" w:rsidRPr="00F1660D">
        <w:rPr>
          <w:lang w:val="fr-FR"/>
        </w:rPr>
        <w:t xml:space="preserve"> Organisation internationale du Travail, </w:t>
      </w:r>
      <w:r w:rsidR="003E3057" w:rsidRPr="00F1660D">
        <w:rPr>
          <w:lang w:val="fr-FR"/>
        </w:rPr>
        <w:t>Organisation</w:t>
      </w:r>
      <w:r w:rsidR="009D573B" w:rsidRPr="00F1660D">
        <w:rPr>
          <w:lang w:val="fr-FR"/>
        </w:rPr>
        <w:t xml:space="preserve"> mondiale de la Santé/</w:t>
      </w:r>
      <w:r w:rsidR="00566166" w:rsidRPr="00F1660D">
        <w:rPr>
          <w:lang w:val="fr-FR"/>
        </w:rPr>
        <w:t>O</w:t>
      </w:r>
      <w:r w:rsidR="009D573B" w:rsidRPr="00F1660D">
        <w:rPr>
          <w:lang w:val="fr-FR"/>
        </w:rPr>
        <w:t>rganisation panaméricaine de la santé, Organisation mondiale de la Santé, Programme des Nations Unies pour le développement, Programme des Nations Unies pour l’environnement, secrétariat de la Convention de Bâle sur le contrôle des mouvements transfrontières et de leur élimination, de la Convention de Rotterdam sur la procédure de consentement préalable en connaissance de cause applicable à certains produits chimiques et pesticides dangereux qui font l’objet d’un commerce international et de la Convention de Stockholm sur les polluants organiques persistants, secrétariat de la Convention de Minamata sur le mercure.</w:t>
      </w:r>
    </w:p>
    <w:p w14:paraId="71548399" w14:textId="57DE24CF" w:rsidR="00B70207" w:rsidRPr="00F1660D" w:rsidRDefault="00B70207" w:rsidP="00733A1C">
      <w:pPr>
        <w:pStyle w:val="Normalnumber"/>
        <w:rPr>
          <w:lang w:val="fr-FR"/>
        </w:rPr>
      </w:pPr>
      <w:r w:rsidRPr="00F1660D">
        <w:rPr>
          <w:lang w:val="fr-FR"/>
        </w:rPr>
        <w:t xml:space="preserve">Les organisations non gouvernementales ci-après étaient représentées : </w:t>
      </w:r>
      <w:r w:rsidR="009D573B" w:rsidRPr="00F1660D">
        <w:rPr>
          <w:lang w:val="fr-FR"/>
        </w:rPr>
        <w:t xml:space="preserve">Académie de l’eau, </w:t>
      </w:r>
      <w:proofErr w:type="spellStart"/>
      <w:r w:rsidR="009D573B" w:rsidRPr="00F1660D">
        <w:rPr>
          <w:lang w:val="fr-FR"/>
        </w:rPr>
        <w:t>Adelphi</w:t>
      </w:r>
      <w:proofErr w:type="spellEnd"/>
      <w:r w:rsidR="009D573B" w:rsidRPr="00F1660D">
        <w:rPr>
          <w:lang w:val="fr-FR"/>
        </w:rPr>
        <w:t xml:space="preserve"> </w:t>
      </w:r>
      <w:proofErr w:type="spellStart"/>
      <w:r w:rsidR="009D573B" w:rsidRPr="00F1660D">
        <w:rPr>
          <w:lang w:val="fr-FR"/>
        </w:rPr>
        <w:t>Research</w:t>
      </w:r>
      <w:proofErr w:type="spellEnd"/>
      <w:r w:rsidR="009D573B" w:rsidRPr="00F1660D">
        <w:rPr>
          <w:lang w:val="fr-FR"/>
        </w:rPr>
        <w:t xml:space="preserve">, AGENDA for </w:t>
      </w:r>
      <w:proofErr w:type="spellStart"/>
      <w:r w:rsidR="009D573B" w:rsidRPr="00F1660D">
        <w:rPr>
          <w:lang w:val="fr-FR"/>
        </w:rPr>
        <w:t>Environment</w:t>
      </w:r>
      <w:proofErr w:type="spellEnd"/>
      <w:r w:rsidR="009D573B" w:rsidRPr="00F1660D">
        <w:rPr>
          <w:lang w:val="fr-FR"/>
        </w:rPr>
        <w:t xml:space="preserve"> and </w:t>
      </w:r>
      <w:proofErr w:type="spellStart"/>
      <w:r w:rsidR="009D573B" w:rsidRPr="00F1660D">
        <w:rPr>
          <w:lang w:val="fr-FR"/>
        </w:rPr>
        <w:t>Responsible</w:t>
      </w:r>
      <w:proofErr w:type="spellEnd"/>
      <w:r w:rsidR="009D573B" w:rsidRPr="00F1660D">
        <w:rPr>
          <w:lang w:val="fr-FR"/>
        </w:rPr>
        <w:t xml:space="preserve"> </w:t>
      </w:r>
      <w:proofErr w:type="spellStart"/>
      <w:r w:rsidR="009D573B" w:rsidRPr="00F1660D">
        <w:rPr>
          <w:lang w:val="fr-FR"/>
        </w:rPr>
        <w:t>Development</w:t>
      </w:r>
      <w:proofErr w:type="spellEnd"/>
      <w:r w:rsidR="009D573B" w:rsidRPr="00F1660D">
        <w:rPr>
          <w:lang w:val="fr-FR"/>
        </w:rPr>
        <w:t xml:space="preserve">, Asian Centre for </w:t>
      </w:r>
      <w:proofErr w:type="spellStart"/>
      <w:r w:rsidR="009D573B" w:rsidRPr="00F1660D">
        <w:rPr>
          <w:lang w:val="fr-FR"/>
        </w:rPr>
        <w:t>Environmental</w:t>
      </w:r>
      <w:proofErr w:type="spellEnd"/>
      <w:r w:rsidR="009D573B" w:rsidRPr="00F1660D">
        <w:rPr>
          <w:lang w:val="fr-FR"/>
        </w:rPr>
        <w:t xml:space="preserve"> </w:t>
      </w:r>
      <w:proofErr w:type="spellStart"/>
      <w:r w:rsidR="009D573B" w:rsidRPr="00F1660D">
        <w:rPr>
          <w:lang w:val="fr-FR"/>
        </w:rPr>
        <w:t>Health</w:t>
      </w:r>
      <w:proofErr w:type="spellEnd"/>
      <w:r w:rsidR="009D573B" w:rsidRPr="00F1660D">
        <w:rPr>
          <w:lang w:val="fr-FR"/>
        </w:rPr>
        <w:t>, A</w:t>
      </w:r>
      <w:r w:rsidR="00566166" w:rsidRPr="00F1660D">
        <w:rPr>
          <w:lang w:val="fr-FR"/>
        </w:rPr>
        <w:t>ssociation de l’É</w:t>
      </w:r>
      <w:r w:rsidR="009D573B" w:rsidRPr="00F1660D">
        <w:rPr>
          <w:lang w:val="fr-FR"/>
        </w:rPr>
        <w:t xml:space="preserve">ducation Environnementale pour les Futures Générations, Association </w:t>
      </w:r>
      <w:proofErr w:type="spellStart"/>
      <w:r w:rsidR="009D573B" w:rsidRPr="00F1660D">
        <w:rPr>
          <w:lang w:val="fr-FR"/>
        </w:rPr>
        <w:t>Welfare</w:t>
      </w:r>
      <w:proofErr w:type="spellEnd"/>
      <w:r w:rsidR="009D573B" w:rsidRPr="00F1660D">
        <w:rPr>
          <w:lang w:val="fr-FR"/>
        </w:rPr>
        <w:t xml:space="preserve">, </w:t>
      </w:r>
      <w:r w:rsidR="0042494A" w:rsidRPr="00F1660D">
        <w:rPr>
          <w:lang w:val="fr-FR"/>
        </w:rPr>
        <w:t>Centre régional de la Convention de Bâle pour la formation et le transfert de technologie pour la région d</w:t>
      </w:r>
      <w:bookmarkStart w:id="1" w:name="_Hlk14268356"/>
      <w:r w:rsidR="00566166" w:rsidRPr="00F1660D">
        <w:rPr>
          <w:lang w:val="fr-FR"/>
        </w:rPr>
        <w:t>es Caraïbes à Trinité-et-Tobago</w:t>
      </w:r>
      <w:r w:rsidR="0042494A" w:rsidRPr="00F1660D">
        <w:rPr>
          <w:lang w:val="fr-FR"/>
        </w:rPr>
        <w:t>, Centre de coordination de la Convention de Bâle</w:t>
      </w:r>
      <w:r w:rsidR="009D573B" w:rsidRPr="00F1660D">
        <w:rPr>
          <w:lang w:val="fr-FR"/>
        </w:rPr>
        <w:t>/</w:t>
      </w:r>
      <w:r w:rsidR="0042494A" w:rsidRPr="00F1660D">
        <w:rPr>
          <w:lang w:val="fr-FR"/>
        </w:rPr>
        <w:t xml:space="preserve">centre régional de la Convention de Stockholm pour l’Amérique latine et les Caraïbes en </w:t>
      </w:r>
      <w:bookmarkEnd w:id="1"/>
      <w:r w:rsidR="009D573B" w:rsidRPr="00F1660D">
        <w:rPr>
          <w:lang w:val="fr-FR"/>
        </w:rPr>
        <w:t>Uruguay,  Casa CEM – Vias Verdes A.C., CENN</w:t>
      </w:r>
      <w:r w:rsidR="009D573B" w:rsidRPr="00F1660D">
        <w:rPr>
          <w:b/>
          <w:lang w:val="fr-FR"/>
        </w:rPr>
        <w:t>,</w:t>
      </w:r>
      <w:r w:rsidR="009D573B" w:rsidRPr="00F1660D">
        <w:rPr>
          <w:lang w:val="fr-FR"/>
        </w:rPr>
        <w:t xml:space="preserve"> Centre for International </w:t>
      </w:r>
      <w:proofErr w:type="spellStart"/>
      <w:r w:rsidR="009D573B" w:rsidRPr="00F1660D">
        <w:rPr>
          <w:lang w:val="fr-FR"/>
        </w:rPr>
        <w:t>Environmental</w:t>
      </w:r>
      <w:proofErr w:type="spellEnd"/>
      <w:r w:rsidR="009D573B" w:rsidRPr="00F1660D">
        <w:rPr>
          <w:lang w:val="fr-FR"/>
        </w:rPr>
        <w:t xml:space="preserve"> Law, Centre for Public </w:t>
      </w:r>
      <w:proofErr w:type="spellStart"/>
      <w:r w:rsidR="009D573B" w:rsidRPr="00F1660D">
        <w:rPr>
          <w:lang w:val="fr-FR"/>
        </w:rPr>
        <w:t>Health</w:t>
      </w:r>
      <w:proofErr w:type="spellEnd"/>
      <w:r w:rsidR="009D573B" w:rsidRPr="00F1660D">
        <w:rPr>
          <w:lang w:val="fr-FR"/>
        </w:rPr>
        <w:t xml:space="preserve"> and </w:t>
      </w:r>
      <w:proofErr w:type="spellStart"/>
      <w:r w:rsidR="009D573B" w:rsidRPr="00F1660D">
        <w:rPr>
          <w:lang w:val="fr-FR"/>
        </w:rPr>
        <w:t>Environmental</w:t>
      </w:r>
      <w:proofErr w:type="spellEnd"/>
      <w:r w:rsidR="009D573B" w:rsidRPr="00F1660D">
        <w:rPr>
          <w:lang w:val="fr-FR"/>
        </w:rPr>
        <w:t xml:space="preserve"> </w:t>
      </w:r>
      <w:proofErr w:type="spellStart"/>
      <w:r w:rsidR="009D573B" w:rsidRPr="00F1660D">
        <w:rPr>
          <w:lang w:val="fr-FR"/>
        </w:rPr>
        <w:t>Development</w:t>
      </w:r>
      <w:proofErr w:type="spellEnd"/>
      <w:r w:rsidR="009D573B" w:rsidRPr="00F1660D">
        <w:rPr>
          <w:lang w:val="fr-FR"/>
        </w:rPr>
        <w:t xml:space="preserve">, Centre de Recherche et d’Education pour le Développement, Centre for </w:t>
      </w:r>
      <w:proofErr w:type="spellStart"/>
      <w:r w:rsidR="009D573B" w:rsidRPr="00F1660D">
        <w:rPr>
          <w:lang w:val="fr-FR"/>
        </w:rPr>
        <w:t>Environment</w:t>
      </w:r>
      <w:proofErr w:type="spellEnd"/>
      <w:r w:rsidR="009D573B" w:rsidRPr="00F1660D">
        <w:rPr>
          <w:lang w:val="fr-FR"/>
        </w:rPr>
        <w:t xml:space="preserve">, Justice and </w:t>
      </w:r>
      <w:proofErr w:type="spellStart"/>
      <w:r w:rsidR="009D573B" w:rsidRPr="00F1660D">
        <w:rPr>
          <w:lang w:val="fr-FR"/>
        </w:rPr>
        <w:t>Development</w:t>
      </w:r>
      <w:proofErr w:type="spellEnd"/>
      <w:r w:rsidR="009D573B" w:rsidRPr="00F1660D">
        <w:rPr>
          <w:lang w:val="fr-FR"/>
        </w:rPr>
        <w:t xml:space="preserve">, </w:t>
      </w:r>
      <w:proofErr w:type="spellStart"/>
      <w:r w:rsidR="009D573B" w:rsidRPr="00F1660D">
        <w:rPr>
          <w:lang w:val="fr-FR"/>
        </w:rPr>
        <w:t>European</w:t>
      </w:r>
      <w:proofErr w:type="spellEnd"/>
      <w:r w:rsidR="009D573B" w:rsidRPr="00F1660D">
        <w:rPr>
          <w:lang w:val="fr-FR"/>
        </w:rPr>
        <w:t xml:space="preserve"> </w:t>
      </w:r>
      <w:proofErr w:type="spellStart"/>
      <w:r w:rsidR="009D573B" w:rsidRPr="00F1660D">
        <w:rPr>
          <w:lang w:val="fr-FR"/>
        </w:rPr>
        <w:t>Environmental</w:t>
      </w:r>
      <w:proofErr w:type="spellEnd"/>
      <w:r w:rsidR="009D573B" w:rsidRPr="00F1660D">
        <w:rPr>
          <w:lang w:val="fr-FR"/>
        </w:rPr>
        <w:t xml:space="preserve"> Bureau, Friends of the </w:t>
      </w:r>
      <w:proofErr w:type="spellStart"/>
      <w:r w:rsidR="009D573B" w:rsidRPr="00F1660D">
        <w:rPr>
          <w:lang w:val="fr-FR"/>
        </w:rPr>
        <w:t>Earth</w:t>
      </w:r>
      <w:proofErr w:type="spellEnd"/>
      <w:r w:rsidR="009D573B" w:rsidRPr="00F1660D">
        <w:rPr>
          <w:lang w:val="fr-FR"/>
        </w:rPr>
        <w:t xml:space="preserve"> Germany, Greenpeace International, </w:t>
      </w:r>
      <w:proofErr w:type="spellStart"/>
      <w:r w:rsidR="009D573B" w:rsidRPr="00F1660D">
        <w:rPr>
          <w:lang w:val="fr-FR"/>
        </w:rPr>
        <w:t>Health</w:t>
      </w:r>
      <w:proofErr w:type="spellEnd"/>
      <w:r w:rsidR="009D573B" w:rsidRPr="00F1660D">
        <w:rPr>
          <w:lang w:val="fr-FR"/>
        </w:rPr>
        <w:t xml:space="preserve"> Care </w:t>
      </w:r>
      <w:proofErr w:type="spellStart"/>
      <w:r w:rsidR="009D573B" w:rsidRPr="00F1660D">
        <w:rPr>
          <w:lang w:val="fr-FR"/>
        </w:rPr>
        <w:t>Without</w:t>
      </w:r>
      <w:proofErr w:type="spellEnd"/>
      <w:r w:rsidR="009D573B" w:rsidRPr="00F1660D">
        <w:rPr>
          <w:lang w:val="fr-FR"/>
        </w:rPr>
        <w:t xml:space="preserve"> </w:t>
      </w:r>
      <w:proofErr w:type="spellStart"/>
      <w:r w:rsidR="009D573B" w:rsidRPr="00F1660D">
        <w:rPr>
          <w:lang w:val="fr-FR"/>
        </w:rPr>
        <w:t>Harm</w:t>
      </w:r>
      <w:proofErr w:type="spellEnd"/>
      <w:r w:rsidR="009D573B" w:rsidRPr="00F1660D">
        <w:rPr>
          <w:lang w:val="fr-FR"/>
        </w:rPr>
        <w:t xml:space="preserve">, </w:t>
      </w:r>
      <w:proofErr w:type="spellStart"/>
      <w:r w:rsidR="009D573B" w:rsidRPr="00F1660D">
        <w:rPr>
          <w:lang w:val="fr-FR"/>
        </w:rPr>
        <w:t>Health</w:t>
      </w:r>
      <w:proofErr w:type="spellEnd"/>
      <w:r w:rsidR="009D573B" w:rsidRPr="00F1660D">
        <w:rPr>
          <w:lang w:val="fr-FR"/>
        </w:rPr>
        <w:t xml:space="preserve"> and </w:t>
      </w:r>
      <w:proofErr w:type="spellStart"/>
      <w:r w:rsidR="009D573B" w:rsidRPr="00F1660D">
        <w:rPr>
          <w:lang w:val="fr-FR"/>
        </w:rPr>
        <w:t>Environment</w:t>
      </w:r>
      <w:proofErr w:type="spellEnd"/>
      <w:r w:rsidR="009D573B" w:rsidRPr="00F1660D">
        <w:rPr>
          <w:lang w:val="fr-FR"/>
        </w:rPr>
        <w:t xml:space="preserve"> Justice Support, Institute of Science, </w:t>
      </w:r>
      <w:proofErr w:type="spellStart"/>
      <w:r w:rsidR="009D573B" w:rsidRPr="00F1660D">
        <w:rPr>
          <w:lang w:val="fr-FR"/>
        </w:rPr>
        <w:t>Technology</w:t>
      </w:r>
      <w:proofErr w:type="spellEnd"/>
      <w:r w:rsidR="009D573B" w:rsidRPr="00F1660D">
        <w:rPr>
          <w:lang w:val="fr-FR"/>
        </w:rPr>
        <w:t xml:space="preserve"> and Policy (ETH Zurich)/International Panel on Chemical Pollution, Interface </w:t>
      </w:r>
      <w:proofErr w:type="spellStart"/>
      <w:r w:rsidR="009D573B" w:rsidRPr="00F1660D">
        <w:rPr>
          <w:lang w:val="fr-FR"/>
        </w:rPr>
        <w:t>Development</w:t>
      </w:r>
      <w:proofErr w:type="spellEnd"/>
      <w:r w:rsidR="009D573B" w:rsidRPr="00F1660D">
        <w:rPr>
          <w:lang w:val="fr-FR"/>
        </w:rPr>
        <w:t xml:space="preserve"> Interventions, International Chrysotile Association, International Community Corrections Association, International POPS Elimination Network, International Society of </w:t>
      </w:r>
      <w:proofErr w:type="spellStart"/>
      <w:r w:rsidR="009D573B" w:rsidRPr="00F1660D">
        <w:rPr>
          <w:lang w:val="fr-FR"/>
        </w:rPr>
        <w:t>Doctors</w:t>
      </w:r>
      <w:proofErr w:type="spellEnd"/>
      <w:r w:rsidR="009D573B" w:rsidRPr="00F1660D">
        <w:rPr>
          <w:lang w:val="fr-FR"/>
        </w:rPr>
        <w:t xml:space="preserve"> for the </w:t>
      </w:r>
      <w:proofErr w:type="spellStart"/>
      <w:r w:rsidR="009D573B" w:rsidRPr="00F1660D">
        <w:rPr>
          <w:lang w:val="fr-FR"/>
        </w:rPr>
        <w:t>Environment</w:t>
      </w:r>
      <w:proofErr w:type="spellEnd"/>
      <w:r w:rsidR="009D573B" w:rsidRPr="00F1660D">
        <w:rPr>
          <w:lang w:val="fr-FR"/>
        </w:rPr>
        <w:t xml:space="preserve">, </w:t>
      </w:r>
      <w:proofErr w:type="spellStart"/>
      <w:r w:rsidR="009D573B" w:rsidRPr="00F1660D">
        <w:rPr>
          <w:lang w:val="fr-FR"/>
        </w:rPr>
        <w:t>Lok</w:t>
      </w:r>
      <w:proofErr w:type="spellEnd"/>
      <w:r w:rsidR="009D573B" w:rsidRPr="00F1660D">
        <w:rPr>
          <w:lang w:val="fr-FR"/>
        </w:rPr>
        <w:t xml:space="preserve"> Kalyan </w:t>
      </w:r>
      <w:proofErr w:type="spellStart"/>
      <w:r w:rsidR="009D573B" w:rsidRPr="00F1660D">
        <w:rPr>
          <w:lang w:val="fr-FR"/>
        </w:rPr>
        <w:t>Seva</w:t>
      </w:r>
      <w:proofErr w:type="spellEnd"/>
      <w:r w:rsidR="009D573B" w:rsidRPr="00F1660D">
        <w:rPr>
          <w:lang w:val="fr-FR"/>
        </w:rPr>
        <w:t xml:space="preserve"> </w:t>
      </w:r>
      <w:proofErr w:type="spellStart"/>
      <w:r w:rsidR="009D573B" w:rsidRPr="00F1660D">
        <w:rPr>
          <w:lang w:val="fr-FR"/>
        </w:rPr>
        <w:t>Kendra</w:t>
      </w:r>
      <w:proofErr w:type="spellEnd"/>
      <w:r w:rsidR="009D573B" w:rsidRPr="00F1660D">
        <w:rPr>
          <w:lang w:val="fr-FR"/>
        </w:rPr>
        <w:t xml:space="preserve">, </w:t>
      </w:r>
      <w:proofErr w:type="spellStart"/>
      <w:r w:rsidR="009D573B" w:rsidRPr="00F1660D">
        <w:rPr>
          <w:lang w:val="fr-FR"/>
        </w:rPr>
        <w:t>Multistakeholder</w:t>
      </w:r>
      <w:proofErr w:type="spellEnd"/>
      <w:r w:rsidR="009D573B" w:rsidRPr="00F1660D">
        <w:rPr>
          <w:lang w:val="fr-FR"/>
        </w:rPr>
        <w:t xml:space="preserve"> </w:t>
      </w:r>
      <w:proofErr w:type="spellStart"/>
      <w:r w:rsidR="009D573B" w:rsidRPr="00F1660D">
        <w:rPr>
          <w:lang w:val="fr-FR"/>
        </w:rPr>
        <w:t>Processes</w:t>
      </w:r>
      <w:proofErr w:type="spellEnd"/>
      <w:r w:rsidR="009D573B" w:rsidRPr="00F1660D">
        <w:rPr>
          <w:lang w:val="fr-FR"/>
        </w:rPr>
        <w:t xml:space="preserve"> for </w:t>
      </w:r>
      <w:proofErr w:type="spellStart"/>
      <w:r w:rsidR="009D573B" w:rsidRPr="00F1660D">
        <w:rPr>
          <w:lang w:val="fr-FR"/>
        </w:rPr>
        <w:t>Sustainable</w:t>
      </w:r>
      <w:proofErr w:type="spellEnd"/>
      <w:r w:rsidR="009D573B" w:rsidRPr="00F1660D">
        <w:rPr>
          <w:lang w:val="fr-FR"/>
        </w:rPr>
        <w:t xml:space="preserve"> </w:t>
      </w:r>
      <w:proofErr w:type="spellStart"/>
      <w:r w:rsidR="009D573B" w:rsidRPr="00F1660D">
        <w:rPr>
          <w:lang w:val="fr-FR"/>
        </w:rPr>
        <w:t>Development</w:t>
      </w:r>
      <w:proofErr w:type="spellEnd"/>
      <w:r w:rsidR="009D573B" w:rsidRPr="00F1660D">
        <w:rPr>
          <w:lang w:val="fr-FR"/>
        </w:rPr>
        <w:t xml:space="preserve"> (MSP) Institute, Pesticide Action Network, Pesticide Action Nexus Association (PAN-</w:t>
      </w:r>
      <w:proofErr w:type="spellStart"/>
      <w:r w:rsidR="009D573B" w:rsidRPr="00F1660D">
        <w:rPr>
          <w:lang w:val="fr-FR"/>
        </w:rPr>
        <w:t>Ethiopia</w:t>
      </w:r>
      <w:proofErr w:type="spellEnd"/>
      <w:r w:rsidR="009D573B" w:rsidRPr="00F1660D">
        <w:rPr>
          <w:lang w:val="fr-FR"/>
        </w:rPr>
        <w:t xml:space="preserve">), RAPAL Uruguay, Red de </w:t>
      </w:r>
      <w:proofErr w:type="spellStart"/>
      <w:r w:rsidR="009D573B" w:rsidRPr="00F1660D">
        <w:rPr>
          <w:lang w:val="fr-FR"/>
        </w:rPr>
        <w:t>Acción</w:t>
      </w:r>
      <w:proofErr w:type="spellEnd"/>
      <w:r w:rsidR="009D573B" w:rsidRPr="00F1660D">
        <w:rPr>
          <w:lang w:val="fr-FR"/>
        </w:rPr>
        <w:t xml:space="preserve"> sobre </w:t>
      </w:r>
      <w:proofErr w:type="spellStart"/>
      <w:r w:rsidR="009D573B" w:rsidRPr="00F1660D">
        <w:rPr>
          <w:lang w:val="fr-FR"/>
        </w:rPr>
        <w:t>Plaguicidas</w:t>
      </w:r>
      <w:proofErr w:type="spellEnd"/>
      <w:r w:rsidR="009D573B" w:rsidRPr="00F1660D">
        <w:rPr>
          <w:lang w:val="fr-FR"/>
        </w:rPr>
        <w:t xml:space="preserve"> y sus </w:t>
      </w:r>
      <w:proofErr w:type="spellStart"/>
      <w:r w:rsidR="009D573B" w:rsidRPr="00F1660D">
        <w:rPr>
          <w:lang w:val="fr-FR"/>
        </w:rPr>
        <w:t>Alternativas</w:t>
      </w:r>
      <w:proofErr w:type="spellEnd"/>
      <w:r w:rsidR="009D573B" w:rsidRPr="00F1660D">
        <w:rPr>
          <w:lang w:val="fr-FR"/>
        </w:rPr>
        <w:t xml:space="preserve"> de </w:t>
      </w:r>
      <w:proofErr w:type="spellStart"/>
      <w:r w:rsidR="009D573B" w:rsidRPr="00F1660D">
        <w:rPr>
          <w:lang w:val="fr-FR"/>
        </w:rPr>
        <w:t>América</w:t>
      </w:r>
      <w:proofErr w:type="spellEnd"/>
      <w:r w:rsidR="009D573B" w:rsidRPr="00F1660D">
        <w:rPr>
          <w:lang w:val="fr-FR"/>
        </w:rPr>
        <w:t xml:space="preserve"> Latina, </w:t>
      </w:r>
      <w:proofErr w:type="spellStart"/>
      <w:r w:rsidR="009D573B" w:rsidRPr="00F1660D">
        <w:rPr>
          <w:lang w:val="fr-FR"/>
        </w:rPr>
        <w:t>Summit</w:t>
      </w:r>
      <w:proofErr w:type="spellEnd"/>
      <w:r w:rsidR="009D573B" w:rsidRPr="00F1660D">
        <w:rPr>
          <w:lang w:val="fr-FR"/>
        </w:rPr>
        <w:t xml:space="preserve"> </w:t>
      </w:r>
      <w:proofErr w:type="spellStart"/>
      <w:r w:rsidR="009D573B" w:rsidRPr="00F1660D">
        <w:rPr>
          <w:lang w:val="fr-FR"/>
        </w:rPr>
        <w:t>Outcomes</w:t>
      </w:r>
      <w:proofErr w:type="spellEnd"/>
      <w:r w:rsidR="009D573B" w:rsidRPr="00F1660D">
        <w:rPr>
          <w:lang w:val="fr-FR"/>
        </w:rPr>
        <w:t xml:space="preserve"> Group, </w:t>
      </w:r>
      <w:proofErr w:type="spellStart"/>
      <w:r w:rsidR="009D573B" w:rsidRPr="00F1660D">
        <w:rPr>
          <w:lang w:val="fr-FR"/>
        </w:rPr>
        <w:t>Swedish</w:t>
      </w:r>
      <w:proofErr w:type="spellEnd"/>
      <w:r w:rsidR="009D573B" w:rsidRPr="00F1660D">
        <w:rPr>
          <w:lang w:val="fr-FR"/>
        </w:rPr>
        <w:t xml:space="preserve"> Society for Nature Conservation, </w:t>
      </w:r>
      <w:proofErr w:type="spellStart"/>
      <w:r w:rsidR="009D573B" w:rsidRPr="00F1660D">
        <w:rPr>
          <w:lang w:val="fr-FR"/>
        </w:rPr>
        <w:t>Toxics</w:t>
      </w:r>
      <w:proofErr w:type="spellEnd"/>
      <w:r w:rsidR="009D573B" w:rsidRPr="00F1660D">
        <w:rPr>
          <w:lang w:val="fr-FR"/>
        </w:rPr>
        <w:t xml:space="preserve"> Link, </w:t>
      </w:r>
      <w:proofErr w:type="spellStart"/>
      <w:r w:rsidR="009D573B" w:rsidRPr="00F1660D">
        <w:rPr>
          <w:lang w:val="fr-FR"/>
        </w:rPr>
        <w:t>Toxisphera</w:t>
      </w:r>
      <w:proofErr w:type="spellEnd"/>
      <w:r w:rsidR="009D573B" w:rsidRPr="00F1660D">
        <w:rPr>
          <w:lang w:val="fr-FR"/>
        </w:rPr>
        <w:t xml:space="preserve"> </w:t>
      </w:r>
      <w:proofErr w:type="spellStart"/>
      <w:r w:rsidR="009D573B" w:rsidRPr="00F1660D">
        <w:rPr>
          <w:lang w:val="fr-FR"/>
        </w:rPr>
        <w:t>Environmental</w:t>
      </w:r>
      <w:proofErr w:type="spellEnd"/>
      <w:r w:rsidR="009D573B" w:rsidRPr="00F1660D">
        <w:rPr>
          <w:lang w:val="fr-FR"/>
        </w:rPr>
        <w:t xml:space="preserve"> </w:t>
      </w:r>
      <w:proofErr w:type="spellStart"/>
      <w:r w:rsidR="009D573B" w:rsidRPr="00F1660D">
        <w:rPr>
          <w:lang w:val="fr-FR"/>
        </w:rPr>
        <w:t>Health</w:t>
      </w:r>
      <w:proofErr w:type="spellEnd"/>
      <w:r w:rsidR="009D573B" w:rsidRPr="00F1660D">
        <w:rPr>
          <w:lang w:val="fr-FR"/>
        </w:rPr>
        <w:t xml:space="preserve"> Association, United States Council for International Business, </w:t>
      </w:r>
      <w:proofErr w:type="spellStart"/>
      <w:r w:rsidR="009D573B" w:rsidRPr="00F1660D">
        <w:rPr>
          <w:lang w:val="fr-FR"/>
        </w:rPr>
        <w:t>University</w:t>
      </w:r>
      <w:proofErr w:type="spellEnd"/>
      <w:r w:rsidR="009D573B" w:rsidRPr="00F1660D">
        <w:rPr>
          <w:lang w:val="fr-FR"/>
        </w:rPr>
        <w:t xml:space="preserve"> of Cape Town, </w:t>
      </w:r>
      <w:proofErr w:type="spellStart"/>
      <w:r w:rsidR="009D573B" w:rsidRPr="00F1660D">
        <w:rPr>
          <w:lang w:val="fr-FR"/>
        </w:rPr>
        <w:t>University</w:t>
      </w:r>
      <w:proofErr w:type="spellEnd"/>
      <w:r w:rsidR="009D573B" w:rsidRPr="00F1660D">
        <w:rPr>
          <w:lang w:val="fr-FR"/>
        </w:rPr>
        <w:t xml:space="preserve"> of Liverpool/International Trade Union </w:t>
      </w:r>
      <w:proofErr w:type="spellStart"/>
      <w:r w:rsidR="009D573B" w:rsidRPr="00F1660D">
        <w:rPr>
          <w:lang w:val="fr-FR"/>
        </w:rPr>
        <w:t>Confederation</w:t>
      </w:r>
      <w:proofErr w:type="spellEnd"/>
      <w:r w:rsidR="009D573B" w:rsidRPr="00F1660D">
        <w:rPr>
          <w:lang w:val="fr-FR"/>
        </w:rPr>
        <w:t xml:space="preserve">, </w:t>
      </w:r>
      <w:proofErr w:type="spellStart"/>
      <w:r w:rsidR="009D573B" w:rsidRPr="00F1660D">
        <w:rPr>
          <w:lang w:val="fr-FR"/>
        </w:rPr>
        <w:t>University</w:t>
      </w:r>
      <w:proofErr w:type="spellEnd"/>
      <w:r w:rsidR="009D573B" w:rsidRPr="00F1660D">
        <w:rPr>
          <w:lang w:val="fr-FR"/>
        </w:rPr>
        <w:t xml:space="preserve"> of the </w:t>
      </w:r>
      <w:proofErr w:type="spellStart"/>
      <w:r w:rsidR="009D573B" w:rsidRPr="00F1660D">
        <w:rPr>
          <w:lang w:val="fr-FR"/>
        </w:rPr>
        <w:t>Republic</w:t>
      </w:r>
      <w:proofErr w:type="spellEnd"/>
      <w:r w:rsidR="009D573B" w:rsidRPr="00F1660D">
        <w:rPr>
          <w:lang w:val="fr-FR"/>
        </w:rPr>
        <w:t xml:space="preserve"> (Uruguay), Young </w:t>
      </w:r>
      <w:proofErr w:type="spellStart"/>
      <w:r w:rsidR="009D573B" w:rsidRPr="00F1660D">
        <w:rPr>
          <w:lang w:val="fr-FR"/>
        </w:rPr>
        <w:t>Volunteers</w:t>
      </w:r>
      <w:proofErr w:type="spellEnd"/>
      <w:r w:rsidR="009D573B" w:rsidRPr="00F1660D">
        <w:rPr>
          <w:lang w:val="fr-FR"/>
        </w:rPr>
        <w:t xml:space="preserve"> for </w:t>
      </w:r>
      <w:proofErr w:type="spellStart"/>
      <w:r w:rsidR="009D573B" w:rsidRPr="00F1660D">
        <w:rPr>
          <w:lang w:val="fr-FR"/>
        </w:rPr>
        <w:t>Environment</w:t>
      </w:r>
      <w:proofErr w:type="spellEnd"/>
      <w:r w:rsidR="009D573B" w:rsidRPr="00F1660D">
        <w:rPr>
          <w:lang w:val="fr-FR"/>
        </w:rPr>
        <w:t xml:space="preserve"> </w:t>
      </w:r>
      <w:proofErr w:type="spellStart"/>
      <w:r w:rsidR="009D573B" w:rsidRPr="00F1660D">
        <w:rPr>
          <w:lang w:val="fr-FR"/>
        </w:rPr>
        <w:t>Cameroon</w:t>
      </w:r>
      <w:proofErr w:type="spellEnd"/>
      <w:r w:rsidRPr="00F1660D">
        <w:rPr>
          <w:lang w:val="fr-FR"/>
        </w:rPr>
        <w:t>.</w:t>
      </w:r>
    </w:p>
    <w:p w14:paraId="0036FC55" w14:textId="1382943B" w:rsidR="00044105" w:rsidRPr="00F1660D" w:rsidRDefault="00044105" w:rsidP="00733A1C">
      <w:pPr>
        <w:pStyle w:val="Normalnumber"/>
        <w:rPr>
          <w:lang w:val="fr-FR"/>
        </w:rPr>
      </w:pPr>
      <w:r w:rsidRPr="00F1660D">
        <w:rPr>
          <w:lang w:val="fr-FR"/>
        </w:rPr>
        <w:t xml:space="preserve">Les entités ci-après du secteur privé étaient également représentées : Association brésilienne de l’industrie chimique, Centre de Formation en Poids Lourds (CFPL Haïti), </w:t>
      </w:r>
      <w:proofErr w:type="spellStart"/>
      <w:r w:rsidRPr="00F1660D">
        <w:rPr>
          <w:lang w:val="fr-FR"/>
        </w:rPr>
        <w:t>CropLife</w:t>
      </w:r>
      <w:proofErr w:type="spellEnd"/>
      <w:r w:rsidRPr="00F1660D">
        <w:rPr>
          <w:lang w:val="fr-FR"/>
        </w:rPr>
        <w:t xml:space="preserve"> International, International Chemical Trade Association, Conseil international des associations chimiques, Milieu Consulting, Association suédoise des industries pharmaceutiques.</w:t>
      </w:r>
    </w:p>
    <w:p w14:paraId="4F3802C4" w14:textId="726465CC" w:rsidR="0042494A" w:rsidRPr="00F1660D" w:rsidRDefault="0042494A" w:rsidP="00871C71">
      <w:pPr>
        <w:pStyle w:val="Normalnumber"/>
        <w:rPr>
          <w:lang w:val="fr-FR"/>
        </w:rPr>
      </w:pPr>
      <w:r w:rsidRPr="00F1660D">
        <w:rPr>
          <w:lang w:val="fr-FR"/>
        </w:rPr>
        <w:t xml:space="preserve">Les autres entités ci-après étaient également représentées : ADAPTA </w:t>
      </w:r>
      <w:proofErr w:type="spellStart"/>
      <w:r w:rsidRPr="00F1660D">
        <w:rPr>
          <w:lang w:val="fr-FR"/>
        </w:rPr>
        <w:t>Ingeniería</w:t>
      </w:r>
      <w:proofErr w:type="spellEnd"/>
      <w:r w:rsidRPr="00F1660D">
        <w:rPr>
          <w:lang w:val="fr-FR"/>
        </w:rPr>
        <w:t xml:space="preserve"> </w:t>
      </w:r>
      <w:proofErr w:type="spellStart"/>
      <w:r w:rsidRPr="00F1660D">
        <w:rPr>
          <w:lang w:val="fr-FR"/>
        </w:rPr>
        <w:t>Ambiental</w:t>
      </w:r>
      <w:proofErr w:type="spellEnd"/>
      <w:r w:rsidRPr="00F1660D">
        <w:rPr>
          <w:lang w:val="fr-FR"/>
        </w:rPr>
        <w:t>, EX </w:t>
      </w:r>
      <w:proofErr w:type="spellStart"/>
      <w:r w:rsidRPr="00F1660D">
        <w:rPr>
          <w:lang w:val="fr-FR"/>
        </w:rPr>
        <w:t>Research</w:t>
      </w:r>
      <w:proofErr w:type="spellEnd"/>
      <w:r w:rsidRPr="00F1660D">
        <w:rPr>
          <w:lang w:val="fr-FR"/>
        </w:rPr>
        <w:t xml:space="preserve"> Institute Ltd., International </w:t>
      </w:r>
      <w:proofErr w:type="spellStart"/>
      <w:r w:rsidRPr="00F1660D">
        <w:rPr>
          <w:lang w:val="fr-FR"/>
        </w:rPr>
        <w:t>Sustainable</w:t>
      </w:r>
      <w:proofErr w:type="spellEnd"/>
      <w:r w:rsidRPr="00F1660D">
        <w:rPr>
          <w:lang w:val="fr-FR"/>
        </w:rPr>
        <w:t xml:space="preserve"> Chemistry Collaborative Centre (ISC3). </w:t>
      </w:r>
    </w:p>
    <w:p w14:paraId="09D2EB68" w14:textId="131E5FC5" w:rsidR="009D2925" w:rsidRPr="00F1660D" w:rsidRDefault="00D50259" w:rsidP="00D50259">
      <w:pPr>
        <w:pStyle w:val="CH3"/>
        <w:rPr>
          <w:lang w:val="fr-FR"/>
        </w:rPr>
      </w:pPr>
      <w:r w:rsidRPr="00F1660D">
        <w:rPr>
          <w:lang w:val="fr-FR"/>
        </w:rPr>
        <w:tab/>
        <w:t>2.</w:t>
      </w:r>
      <w:r w:rsidRPr="00F1660D">
        <w:rPr>
          <w:lang w:val="fr-FR"/>
        </w:rPr>
        <w:tab/>
      </w:r>
      <w:r w:rsidR="009D2925" w:rsidRPr="00F1660D">
        <w:rPr>
          <w:lang w:val="fr-FR"/>
        </w:rPr>
        <w:t>Bureau</w:t>
      </w:r>
    </w:p>
    <w:p w14:paraId="2FD6137A" w14:textId="1E24A169" w:rsidR="00B0331B" w:rsidRPr="00F1660D" w:rsidRDefault="00B0331B" w:rsidP="00733A1C">
      <w:pPr>
        <w:pStyle w:val="Normalnumber"/>
        <w:rPr>
          <w:lang w:val="fr-FR"/>
        </w:rPr>
      </w:pPr>
      <w:r w:rsidRPr="00F1660D">
        <w:rPr>
          <w:lang w:val="fr-FR"/>
        </w:rPr>
        <w:t xml:space="preserve">Le </w:t>
      </w:r>
      <w:r w:rsidR="0042494A" w:rsidRPr="00F1660D">
        <w:rPr>
          <w:lang w:val="fr-FR"/>
        </w:rPr>
        <w:t>r</w:t>
      </w:r>
      <w:r w:rsidRPr="00F1660D">
        <w:rPr>
          <w:lang w:val="fr-FR"/>
        </w:rPr>
        <w:t>èglement intérieur de</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s</w:t>
      </w:r>
      <w:r w:rsidR="00CE30FD" w:rsidRPr="00F1660D">
        <w:rPr>
          <w:lang w:val="fr-FR"/>
        </w:rPr>
        <w:t>’</w:t>
      </w:r>
      <w:r w:rsidRPr="00F1660D">
        <w:rPr>
          <w:lang w:val="fr-FR"/>
        </w:rPr>
        <w:t xml:space="preserve">applique </w:t>
      </w:r>
      <w:r w:rsidRPr="00F1660D">
        <w:rPr>
          <w:i/>
          <w:iCs/>
          <w:lang w:val="fr-FR"/>
        </w:rPr>
        <w:t>mutatis mutandis</w:t>
      </w:r>
      <w:r w:rsidRPr="00F1660D">
        <w:rPr>
          <w:lang w:val="fr-FR"/>
        </w:rPr>
        <w:t xml:space="preserve"> aux travaux du Groupe de travail</w:t>
      </w:r>
      <w:r w:rsidR="0042494A" w:rsidRPr="00F1660D">
        <w:rPr>
          <w:lang w:val="fr-FR"/>
        </w:rPr>
        <w:t xml:space="preserve"> à composition non limitée</w:t>
      </w:r>
      <w:r w:rsidRPr="00F1660D">
        <w:rPr>
          <w:lang w:val="fr-FR"/>
        </w:rPr>
        <w:t>, tel que prévu à l</w:t>
      </w:r>
      <w:r w:rsidR="00CE30FD" w:rsidRPr="00F1660D">
        <w:rPr>
          <w:lang w:val="fr-FR"/>
        </w:rPr>
        <w:t>’</w:t>
      </w:r>
      <w:r w:rsidRPr="00F1660D">
        <w:rPr>
          <w:lang w:val="fr-FR"/>
        </w:rPr>
        <w:t xml:space="preserve">article 23 dudit </w:t>
      </w:r>
      <w:r w:rsidR="0042494A" w:rsidRPr="00F1660D">
        <w:rPr>
          <w:lang w:val="fr-FR"/>
        </w:rPr>
        <w:t>r</w:t>
      </w:r>
      <w:r w:rsidRPr="00F1660D">
        <w:rPr>
          <w:lang w:val="fr-FR"/>
        </w:rPr>
        <w:t>èglem</w:t>
      </w:r>
      <w:r w:rsidR="0027320D" w:rsidRPr="00F1660D">
        <w:rPr>
          <w:lang w:val="fr-FR"/>
        </w:rPr>
        <w:t>ent. Conformément</w:t>
      </w:r>
      <w:r w:rsidR="00A50629" w:rsidRPr="00F1660D">
        <w:rPr>
          <w:lang w:val="fr-FR"/>
        </w:rPr>
        <w:t xml:space="preserve"> au </w:t>
      </w:r>
      <w:r w:rsidR="0027320D" w:rsidRPr="00F1660D">
        <w:rPr>
          <w:lang w:val="fr-FR"/>
        </w:rPr>
        <w:t>paragraphe </w:t>
      </w:r>
      <w:r w:rsidRPr="00F1660D">
        <w:rPr>
          <w:lang w:val="fr-FR"/>
        </w:rPr>
        <w:t>2 de l</w:t>
      </w:r>
      <w:r w:rsidR="00CE30FD" w:rsidRPr="00F1660D">
        <w:rPr>
          <w:lang w:val="fr-FR"/>
        </w:rPr>
        <w:t>’</w:t>
      </w:r>
      <w:r w:rsidRPr="00F1660D">
        <w:rPr>
          <w:lang w:val="fr-FR"/>
        </w:rPr>
        <w:t>article</w:t>
      </w:r>
      <w:r w:rsidR="0027320D" w:rsidRPr="00F1660D">
        <w:rPr>
          <w:lang w:val="fr-FR"/>
        </w:rPr>
        <w:t> </w:t>
      </w:r>
      <w:r w:rsidRPr="00F1660D">
        <w:rPr>
          <w:lang w:val="fr-FR"/>
        </w:rPr>
        <w:t>14,</w:t>
      </w:r>
      <w:r w:rsidR="00A50629" w:rsidRPr="00F1660D">
        <w:rPr>
          <w:lang w:val="fr-FR"/>
        </w:rPr>
        <w:t xml:space="preserve"> les </w:t>
      </w:r>
      <w:r w:rsidRPr="00F1660D">
        <w:rPr>
          <w:lang w:val="fr-FR"/>
        </w:rPr>
        <w:t>membres élus à</w:t>
      </w:r>
      <w:r w:rsidR="00A50629" w:rsidRPr="00F1660D">
        <w:rPr>
          <w:lang w:val="fr-FR"/>
        </w:rPr>
        <w:t xml:space="preserve"> la </w:t>
      </w:r>
      <w:r w:rsidRPr="00F1660D">
        <w:rPr>
          <w:lang w:val="fr-FR"/>
        </w:rPr>
        <w:t>quatrième</w:t>
      </w:r>
      <w:r w:rsidR="005B4CB6" w:rsidRPr="00F1660D">
        <w:rPr>
          <w:lang w:val="fr-FR"/>
        </w:rPr>
        <w:t> </w:t>
      </w:r>
      <w:r w:rsidRPr="00F1660D">
        <w:rPr>
          <w:lang w:val="fr-FR"/>
        </w:rPr>
        <w:t>session de</w:t>
      </w:r>
      <w:r w:rsidR="00A50629" w:rsidRPr="00F1660D">
        <w:rPr>
          <w:lang w:val="fr-FR"/>
        </w:rPr>
        <w:t xml:space="preserve"> la </w:t>
      </w:r>
      <w:r w:rsidRPr="00F1660D">
        <w:rPr>
          <w:lang w:val="fr-FR"/>
        </w:rPr>
        <w:t>Conférence devaient siéger</w:t>
      </w:r>
      <w:r w:rsidR="00A50629" w:rsidRPr="00F1660D">
        <w:rPr>
          <w:lang w:val="fr-FR"/>
        </w:rPr>
        <w:t xml:space="preserve"> au </w:t>
      </w:r>
      <w:r w:rsidRPr="00F1660D">
        <w:rPr>
          <w:lang w:val="fr-FR"/>
        </w:rPr>
        <w:t>Bureau pendant</w:t>
      </w:r>
      <w:r w:rsidR="00A50629" w:rsidRPr="00F1660D">
        <w:rPr>
          <w:lang w:val="fr-FR"/>
        </w:rPr>
        <w:t xml:space="preserve"> la </w:t>
      </w:r>
      <w:r w:rsidRPr="00F1660D">
        <w:rPr>
          <w:lang w:val="fr-FR"/>
        </w:rPr>
        <w:t>réunion en cours. Toutefois, depuis</w:t>
      </w:r>
      <w:r w:rsidR="00A50629" w:rsidRPr="00F1660D">
        <w:rPr>
          <w:lang w:val="fr-FR"/>
        </w:rPr>
        <w:t xml:space="preserve"> la </w:t>
      </w:r>
      <w:r w:rsidRPr="00F1660D">
        <w:rPr>
          <w:lang w:val="fr-FR"/>
        </w:rPr>
        <w:t>quatrième</w:t>
      </w:r>
      <w:r w:rsidR="00D50259" w:rsidRPr="00F1660D">
        <w:rPr>
          <w:lang w:val="fr-FR"/>
        </w:rPr>
        <w:t> </w:t>
      </w:r>
      <w:r w:rsidRPr="00F1660D">
        <w:rPr>
          <w:lang w:val="fr-FR"/>
        </w:rPr>
        <w:t>session, plusieurs membres du Bureau élus par</w:t>
      </w:r>
      <w:r w:rsidR="00A50629" w:rsidRPr="00F1660D">
        <w:rPr>
          <w:lang w:val="fr-FR"/>
        </w:rPr>
        <w:t xml:space="preserve"> la </w:t>
      </w:r>
      <w:r w:rsidRPr="00F1660D">
        <w:rPr>
          <w:lang w:val="fr-FR"/>
        </w:rPr>
        <w:t>Conférence avaient été remplacés conformément à l</w:t>
      </w:r>
      <w:r w:rsidR="00CE30FD" w:rsidRPr="00F1660D">
        <w:rPr>
          <w:lang w:val="fr-FR"/>
        </w:rPr>
        <w:t>’</w:t>
      </w:r>
      <w:r w:rsidR="0027320D" w:rsidRPr="00F1660D">
        <w:rPr>
          <w:lang w:val="fr-FR"/>
        </w:rPr>
        <w:t>article </w:t>
      </w:r>
      <w:r w:rsidRPr="00F1660D">
        <w:rPr>
          <w:lang w:val="fr-FR"/>
        </w:rPr>
        <w:t xml:space="preserve">19 du </w:t>
      </w:r>
      <w:r w:rsidR="0042494A" w:rsidRPr="00F1660D">
        <w:rPr>
          <w:lang w:val="fr-FR"/>
        </w:rPr>
        <w:t>r</w:t>
      </w:r>
      <w:r w:rsidRPr="00F1660D">
        <w:rPr>
          <w:lang w:val="fr-FR"/>
        </w:rPr>
        <w:t xml:space="preserve">èglement intérieur. </w:t>
      </w:r>
    </w:p>
    <w:p w14:paraId="751E1032" w14:textId="4723C8A2" w:rsidR="009D2925" w:rsidRPr="00F1660D" w:rsidRDefault="00B0331B" w:rsidP="00733A1C">
      <w:pPr>
        <w:pStyle w:val="Normalnumber"/>
        <w:rPr>
          <w:lang w:val="fr-FR"/>
        </w:rPr>
      </w:pPr>
      <w:r w:rsidRPr="00F1660D">
        <w:rPr>
          <w:lang w:val="fr-FR"/>
        </w:rPr>
        <w:t>En conséquence,</w:t>
      </w:r>
      <w:r w:rsidR="00A50629" w:rsidRPr="00F1660D">
        <w:rPr>
          <w:lang w:val="fr-FR"/>
        </w:rPr>
        <w:t xml:space="preserve"> le </w:t>
      </w:r>
      <w:r w:rsidRPr="00F1660D">
        <w:rPr>
          <w:lang w:val="fr-FR"/>
        </w:rPr>
        <w:t>Bureau était constitué comme suit</w:t>
      </w:r>
      <w:r w:rsidR="00A50629" w:rsidRPr="00F1660D">
        <w:rPr>
          <w:lang w:val="fr-FR"/>
        </w:rPr>
        <w:t xml:space="preserve"> au </w:t>
      </w:r>
      <w:r w:rsidRPr="00F1660D">
        <w:rPr>
          <w:lang w:val="fr-FR"/>
        </w:rPr>
        <w:t>moment de</w:t>
      </w:r>
      <w:r w:rsidR="00A50629" w:rsidRPr="00F1660D">
        <w:rPr>
          <w:lang w:val="fr-FR"/>
        </w:rPr>
        <w:t xml:space="preserve"> la </w:t>
      </w:r>
      <w:r w:rsidRPr="00F1660D">
        <w:rPr>
          <w:lang w:val="fr-FR"/>
        </w:rPr>
        <w:t>réunion en cours</w:t>
      </w:r>
      <w:r w:rsidR="00D50259" w:rsidRPr="00F1660D">
        <w:rPr>
          <w:lang w:val="fr-FR"/>
        </w:rPr>
        <w:t> </w:t>
      </w:r>
      <w:r w:rsidRPr="00F1660D">
        <w:rPr>
          <w:lang w:val="fr-FR"/>
        </w:rPr>
        <w:t>:</w:t>
      </w:r>
    </w:p>
    <w:p w14:paraId="221D9426" w14:textId="23E2E327" w:rsidR="009D2925" w:rsidRPr="00F1660D" w:rsidRDefault="0074744D" w:rsidP="0074744D">
      <w:pPr>
        <w:pStyle w:val="NormalNonumber"/>
        <w:rPr>
          <w:lang w:val="fr-FR"/>
        </w:rPr>
      </w:pPr>
      <w:r w:rsidRPr="00F1660D">
        <w:rPr>
          <w:lang w:val="fr-FR"/>
        </w:rPr>
        <w:tab/>
      </w:r>
      <w:r w:rsidR="0027320D" w:rsidRPr="00F1660D">
        <w:rPr>
          <w:lang w:val="fr-FR"/>
        </w:rPr>
        <w:t>Président</w:t>
      </w:r>
      <w:r w:rsidR="00391053" w:rsidRPr="00F1660D">
        <w:rPr>
          <w:lang w:val="fr-FR"/>
        </w:rPr>
        <w:t>e</w:t>
      </w:r>
      <w:r w:rsidR="0027320D" w:rsidRPr="00F1660D">
        <w:rPr>
          <w:lang w:val="fr-FR"/>
        </w:rPr>
        <w:t> </w:t>
      </w:r>
      <w:r w:rsidR="009D2925" w:rsidRPr="00F1660D">
        <w:rPr>
          <w:lang w:val="fr-FR"/>
        </w:rPr>
        <w:t>:</w:t>
      </w:r>
      <w:r w:rsidR="009D2925" w:rsidRPr="00F1660D">
        <w:rPr>
          <w:lang w:val="fr-FR"/>
        </w:rPr>
        <w:tab/>
      </w:r>
      <w:r w:rsidR="009D2925" w:rsidRPr="00F1660D">
        <w:rPr>
          <w:lang w:val="fr-FR"/>
        </w:rPr>
        <w:tab/>
      </w:r>
      <w:r w:rsidR="009D2925" w:rsidRPr="00F1660D">
        <w:rPr>
          <w:lang w:val="fr-FR"/>
        </w:rPr>
        <w:tab/>
        <w:t>Mme </w:t>
      </w:r>
      <w:proofErr w:type="spellStart"/>
      <w:r w:rsidR="009D2925" w:rsidRPr="00F1660D">
        <w:rPr>
          <w:lang w:val="fr-FR"/>
        </w:rPr>
        <w:t>Gertrud</w:t>
      </w:r>
      <w:proofErr w:type="spellEnd"/>
      <w:r w:rsidR="009D2925" w:rsidRPr="00F1660D">
        <w:rPr>
          <w:lang w:val="fr-FR"/>
        </w:rPr>
        <w:t xml:space="preserve"> </w:t>
      </w:r>
      <w:proofErr w:type="spellStart"/>
      <w:r w:rsidR="009D2925" w:rsidRPr="00F1660D">
        <w:rPr>
          <w:lang w:val="fr-FR"/>
        </w:rPr>
        <w:t>Sahler</w:t>
      </w:r>
      <w:proofErr w:type="spellEnd"/>
      <w:r w:rsidR="009D2925" w:rsidRPr="00F1660D">
        <w:rPr>
          <w:lang w:val="fr-FR"/>
        </w:rPr>
        <w:t xml:space="preserve"> (Allemagne)</w:t>
      </w:r>
    </w:p>
    <w:p w14:paraId="63C93AA9" w14:textId="1F089F25" w:rsidR="009D2925" w:rsidRPr="00F1660D" w:rsidRDefault="0074744D" w:rsidP="0074744D">
      <w:pPr>
        <w:pStyle w:val="NormalNonumber"/>
        <w:rPr>
          <w:lang w:val="fr-FR"/>
        </w:rPr>
      </w:pPr>
      <w:r w:rsidRPr="00F1660D">
        <w:rPr>
          <w:lang w:val="fr-FR"/>
        </w:rPr>
        <w:tab/>
      </w:r>
      <w:r w:rsidR="0027320D" w:rsidRPr="00F1660D">
        <w:rPr>
          <w:lang w:val="fr-FR"/>
        </w:rPr>
        <w:t>Vice-Présidents </w:t>
      </w:r>
      <w:r w:rsidR="009D2925" w:rsidRPr="00F1660D">
        <w:rPr>
          <w:lang w:val="fr-FR"/>
        </w:rPr>
        <w:t>:</w:t>
      </w:r>
      <w:r w:rsidR="009D2925" w:rsidRPr="00F1660D">
        <w:rPr>
          <w:lang w:val="fr-FR"/>
        </w:rPr>
        <w:tab/>
      </w:r>
      <w:r w:rsidR="009D2925" w:rsidRPr="00F1660D">
        <w:rPr>
          <w:lang w:val="fr-FR"/>
        </w:rPr>
        <w:tab/>
        <w:t>M. </w:t>
      </w:r>
      <w:proofErr w:type="spellStart"/>
      <w:r w:rsidR="009D2925" w:rsidRPr="00F1660D">
        <w:rPr>
          <w:lang w:val="fr-FR"/>
        </w:rPr>
        <w:t>Ritesh</w:t>
      </w:r>
      <w:proofErr w:type="spellEnd"/>
      <w:r w:rsidR="009D2925" w:rsidRPr="00F1660D">
        <w:rPr>
          <w:lang w:val="fr-FR"/>
        </w:rPr>
        <w:t xml:space="preserve"> Kumar Singh (Inde)</w:t>
      </w:r>
    </w:p>
    <w:p w14:paraId="39DC62D3" w14:textId="40766686" w:rsidR="009D2925" w:rsidRPr="00F1660D" w:rsidRDefault="0074744D" w:rsidP="0074744D">
      <w:pPr>
        <w:pStyle w:val="NormalNonumber"/>
        <w:rPr>
          <w:lang w:val="fr-FR"/>
        </w:rPr>
      </w:pPr>
      <w:r w:rsidRPr="00F1660D">
        <w:rPr>
          <w:lang w:val="fr-FR"/>
        </w:rPr>
        <w:tab/>
      </w:r>
      <w:r w:rsidRPr="00F1660D">
        <w:rPr>
          <w:lang w:val="fr-FR"/>
        </w:rPr>
        <w:tab/>
      </w:r>
      <w:r w:rsidRPr="00F1660D">
        <w:rPr>
          <w:lang w:val="fr-FR"/>
        </w:rPr>
        <w:tab/>
      </w:r>
      <w:r w:rsidRPr="00F1660D">
        <w:rPr>
          <w:lang w:val="fr-FR"/>
        </w:rPr>
        <w:tab/>
      </w:r>
      <w:r w:rsidRPr="00F1660D">
        <w:rPr>
          <w:lang w:val="fr-FR"/>
        </w:rPr>
        <w:tab/>
      </w:r>
      <w:r w:rsidR="009D2925" w:rsidRPr="00F1660D">
        <w:rPr>
          <w:lang w:val="fr-FR"/>
        </w:rPr>
        <w:t>M. </w:t>
      </w:r>
      <w:proofErr w:type="spellStart"/>
      <w:r w:rsidR="009D2925" w:rsidRPr="00F1660D">
        <w:rPr>
          <w:lang w:val="fr-FR"/>
        </w:rPr>
        <w:t>Szymon</w:t>
      </w:r>
      <w:proofErr w:type="spellEnd"/>
      <w:r w:rsidR="009D2925" w:rsidRPr="00F1660D">
        <w:rPr>
          <w:lang w:val="fr-FR"/>
        </w:rPr>
        <w:t xml:space="preserve"> </w:t>
      </w:r>
      <w:proofErr w:type="spellStart"/>
      <w:r w:rsidR="009D2925" w:rsidRPr="00F1660D">
        <w:rPr>
          <w:lang w:val="fr-FR"/>
        </w:rPr>
        <w:t>Domagalski</w:t>
      </w:r>
      <w:proofErr w:type="spellEnd"/>
      <w:r w:rsidR="009D2925" w:rsidRPr="00F1660D">
        <w:rPr>
          <w:lang w:val="fr-FR"/>
        </w:rPr>
        <w:t xml:space="preserve"> (Pologne)</w:t>
      </w:r>
    </w:p>
    <w:p w14:paraId="3EF431F5" w14:textId="34A818C0" w:rsidR="0074744D" w:rsidRPr="00AE6693" w:rsidRDefault="0074744D" w:rsidP="0074744D">
      <w:pPr>
        <w:pStyle w:val="NormalNonumber"/>
        <w:rPr>
          <w:lang w:val="es-ES"/>
        </w:rPr>
      </w:pPr>
      <w:r w:rsidRPr="00F1660D">
        <w:rPr>
          <w:lang w:val="fr-FR"/>
        </w:rPr>
        <w:tab/>
      </w:r>
      <w:r w:rsidRPr="00F1660D">
        <w:rPr>
          <w:lang w:val="fr-FR"/>
        </w:rPr>
        <w:tab/>
      </w:r>
      <w:r w:rsidRPr="00F1660D">
        <w:rPr>
          <w:lang w:val="fr-FR"/>
        </w:rPr>
        <w:tab/>
      </w:r>
      <w:r w:rsidRPr="00F1660D">
        <w:rPr>
          <w:lang w:val="fr-FR"/>
        </w:rPr>
        <w:tab/>
      </w:r>
      <w:r w:rsidRPr="00F1660D">
        <w:rPr>
          <w:lang w:val="fr-FR"/>
        </w:rPr>
        <w:tab/>
      </w:r>
      <w:proofErr w:type="spellStart"/>
      <w:r w:rsidRPr="00AE6693">
        <w:rPr>
          <w:lang w:val="es-ES"/>
        </w:rPr>
        <w:t>Mme</w:t>
      </w:r>
      <w:proofErr w:type="spellEnd"/>
      <w:r w:rsidRPr="00AE6693">
        <w:rPr>
          <w:lang w:val="es-ES"/>
        </w:rPr>
        <w:t> Valentina Sierra (Uruguay)</w:t>
      </w:r>
    </w:p>
    <w:p w14:paraId="54DBF90C" w14:textId="18424D25" w:rsidR="009D2925" w:rsidRPr="00AE6693" w:rsidRDefault="0074744D" w:rsidP="0074744D">
      <w:pPr>
        <w:pStyle w:val="NormalNonumber"/>
        <w:rPr>
          <w:lang w:val="es-ES"/>
        </w:rPr>
      </w:pPr>
      <w:r w:rsidRPr="00AE6693">
        <w:rPr>
          <w:lang w:val="es-ES"/>
        </w:rPr>
        <w:tab/>
      </w:r>
      <w:r w:rsidRPr="00AE6693">
        <w:rPr>
          <w:lang w:val="es-ES"/>
        </w:rPr>
        <w:tab/>
      </w:r>
      <w:r w:rsidRPr="00AE6693">
        <w:rPr>
          <w:lang w:val="es-ES"/>
        </w:rPr>
        <w:tab/>
      </w:r>
      <w:r w:rsidRPr="00AE6693">
        <w:rPr>
          <w:lang w:val="es-ES"/>
        </w:rPr>
        <w:tab/>
      </w:r>
      <w:r w:rsidRPr="00AE6693">
        <w:rPr>
          <w:lang w:val="es-ES"/>
        </w:rPr>
        <w:tab/>
      </w:r>
      <w:r w:rsidR="009D2925" w:rsidRPr="00AE6693">
        <w:rPr>
          <w:lang w:val="es-ES"/>
        </w:rPr>
        <w:t xml:space="preserve">M. David </w:t>
      </w:r>
      <w:proofErr w:type="spellStart"/>
      <w:r w:rsidR="009D2925" w:rsidRPr="00AE6693">
        <w:rPr>
          <w:lang w:val="es-ES"/>
        </w:rPr>
        <w:t>Kapindula</w:t>
      </w:r>
      <w:proofErr w:type="spellEnd"/>
      <w:r w:rsidR="009D2925" w:rsidRPr="00AE6693">
        <w:rPr>
          <w:lang w:val="es-ES"/>
        </w:rPr>
        <w:t xml:space="preserve"> (</w:t>
      </w:r>
      <w:proofErr w:type="spellStart"/>
      <w:r w:rsidR="009D2925" w:rsidRPr="00AE6693">
        <w:rPr>
          <w:lang w:val="es-ES"/>
        </w:rPr>
        <w:t>Zambie</w:t>
      </w:r>
      <w:proofErr w:type="spellEnd"/>
      <w:r w:rsidR="009D2925" w:rsidRPr="00AE6693">
        <w:rPr>
          <w:lang w:val="es-ES"/>
        </w:rPr>
        <w:t>)</w:t>
      </w:r>
    </w:p>
    <w:p w14:paraId="7F638005" w14:textId="228E253B" w:rsidR="00B0331B" w:rsidRPr="00F1660D" w:rsidRDefault="0027320D" w:rsidP="00733A1C">
      <w:pPr>
        <w:pStyle w:val="Normalnumber"/>
        <w:rPr>
          <w:lang w:val="fr-FR"/>
        </w:rPr>
      </w:pPr>
      <w:r w:rsidRPr="00F1660D">
        <w:rPr>
          <w:lang w:val="fr-FR"/>
        </w:rPr>
        <w:t>M. </w:t>
      </w:r>
      <w:proofErr w:type="spellStart"/>
      <w:r w:rsidR="00B0331B" w:rsidRPr="00F1660D">
        <w:rPr>
          <w:lang w:val="fr-FR"/>
        </w:rPr>
        <w:t>Domagalski</w:t>
      </w:r>
      <w:proofErr w:type="spellEnd"/>
      <w:r w:rsidR="00B0331B" w:rsidRPr="00F1660D">
        <w:rPr>
          <w:lang w:val="fr-FR"/>
        </w:rPr>
        <w:t xml:space="preserve"> a également fait office de rapporteur.</w:t>
      </w:r>
    </w:p>
    <w:p w14:paraId="667E3A21" w14:textId="0605252C" w:rsidR="009D2925" w:rsidRPr="00F1660D" w:rsidRDefault="0027320D" w:rsidP="003C0B0A">
      <w:pPr>
        <w:pStyle w:val="Normalnumber"/>
        <w:keepLines/>
        <w:rPr>
          <w:lang w:val="fr-FR"/>
        </w:rPr>
      </w:pPr>
      <w:r w:rsidRPr="00F1660D">
        <w:rPr>
          <w:lang w:val="fr-FR"/>
        </w:rPr>
        <w:t>La Présidente a noté que M. </w:t>
      </w:r>
      <w:r w:rsidR="00B0331B" w:rsidRPr="00F1660D">
        <w:rPr>
          <w:lang w:val="fr-FR"/>
        </w:rPr>
        <w:t>Brian Kohler avait démissionné de ses fonctions de représentant</w:t>
      </w:r>
      <w:r w:rsidR="00A50629" w:rsidRPr="00F1660D">
        <w:rPr>
          <w:lang w:val="fr-FR"/>
        </w:rPr>
        <w:t xml:space="preserve"> des </w:t>
      </w:r>
      <w:r w:rsidR="00B0331B" w:rsidRPr="00F1660D">
        <w:rPr>
          <w:lang w:val="fr-FR"/>
        </w:rPr>
        <w:t>parties prenantes syndicales</w:t>
      </w:r>
      <w:r w:rsidR="00A50629" w:rsidRPr="00F1660D">
        <w:rPr>
          <w:lang w:val="fr-FR"/>
        </w:rPr>
        <w:t xml:space="preserve"> au </w:t>
      </w:r>
      <w:r w:rsidR="00B0331B" w:rsidRPr="00F1660D">
        <w:rPr>
          <w:lang w:val="fr-FR"/>
        </w:rPr>
        <w:t>Bureau et que</w:t>
      </w:r>
      <w:r w:rsidR="00A50629" w:rsidRPr="00F1660D">
        <w:rPr>
          <w:lang w:val="fr-FR"/>
        </w:rPr>
        <w:t xml:space="preserve"> le </w:t>
      </w:r>
      <w:r w:rsidR="00B0331B" w:rsidRPr="00F1660D">
        <w:rPr>
          <w:lang w:val="fr-FR"/>
        </w:rPr>
        <w:t>groupe sec</w:t>
      </w:r>
      <w:r w:rsidRPr="00F1660D">
        <w:rPr>
          <w:lang w:val="fr-FR"/>
        </w:rPr>
        <w:t>toriel syndical avait choisi M. </w:t>
      </w:r>
      <w:r w:rsidR="00B0331B" w:rsidRPr="00F1660D">
        <w:rPr>
          <w:lang w:val="fr-FR"/>
        </w:rPr>
        <w:t>Rory</w:t>
      </w:r>
      <w:r w:rsidR="00D50259" w:rsidRPr="00F1660D">
        <w:rPr>
          <w:lang w:val="fr-FR"/>
        </w:rPr>
        <w:t> </w:t>
      </w:r>
      <w:r w:rsidR="00B0331B" w:rsidRPr="00F1660D">
        <w:rPr>
          <w:lang w:val="fr-FR"/>
        </w:rPr>
        <w:t>O</w:t>
      </w:r>
      <w:r w:rsidR="00CE30FD" w:rsidRPr="00F1660D">
        <w:rPr>
          <w:lang w:val="fr-FR"/>
        </w:rPr>
        <w:t>’</w:t>
      </w:r>
      <w:r w:rsidR="00B0331B" w:rsidRPr="00F1660D">
        <w:rPr>
          <w:lang w:val="fr-FR"/>
        </w:rPr>
        <w:t xml:space="preserve">Neill </w:t>
      </w:r>
      <w:r w:rsidRPr="00F1660D">
        <w:rPr>
          <w:lang w:val="fr-FR"/>
        </w:rPr>
        <w:t>pour</w:t>
      </w:r>
      <w:r w:rsidR="00A50629" w:rsidRPr="00F1660D">
        <w:rPr>
          <w:lang w:val="fr-FR"/>
        </w:rPr>
        <w:t xml:space="preserve"> le </w:t>
      </w:r>
      <w:r w:rsidRPr="00F1660D">
        <w:rPr>
          <w:lang w:val="fr-FR"/>
        </w:rPr>
        <w:t>remplacer. En outre, M. </w:t>
      </w:r>
      <w:r w:rsidR="00B0331B" w:rsidRPr="00F1660D">
        <w:rPr>
          <w:lang w:val="fr-FR"/>
        </w:rPr>
        <w:t>David Morin (Canada) continuerait de coprésider</w:t>
      </w:r>
      <w:r w:rsidR="00A50629" w:rsidRPr="00F1660D">
        <w:rPr>
          <w:lang w:val="fr-FR"/>
        </w:rPr>
        <w:t xml:space="preserve"> le </w:t>
      </w:r>
      <w:r w:rsidR="00B0331B" w:rsidRPr="00F1660D">
        <w:rPr>
          <w:lang w:val="fr-FR"/>
        </w:rPr>
        <w:t xml:space="preserve">processus intersessions, mais il faudrait nommer un autre coprésident </w:t>
      </w:r>
      <w:r w:rsidRPr="00F1660D">
        <w:rPr>
          <w:lang w:val="fr-FR"/>
        </w:rPr>
        <w:t>pour remplacer Mme </w:t>
      </w:r>
      <w:r w:rsidR="007320A4" w:rsidRPr="00F1660D">
        <w:rPr>
          <w:lang w:val="fr-FR"/>
        </w:rPr>
        <w:t>Leticia</w:t>
      </w:r>
      <w:r w:rsidR="00D50259" w:rsidRPr="00F1660D">
        <w:rPr>
          <w:lang w:val="fr-FR"/>
        </w:rPr>
        <w:t> </w:t>
      </w:r>
      <w:r w:rsidR="007320A4" w:rsidRPr="00F1660D">
        <w:rPr>
          <w:lang w:val="fr-FR"/>
        </w:rPr>
        <w:t xml:space="preserve">Reis de </w:t>
      </w:r>
      <w:r w:rsidR="00B0331B" w:rsidRPr="00F1660D">
        <w:rPr>
          <w:lang w:val="fr-FR"/>
        </w:rPr>
        <w:t>Carvalho, laquelle avait cessé ses fonctions</w:t>
      </w:r>
      <w:r w:rsidR="00A50629" w:rsidRPr="00F1660D">
        <w:rPr>
          <w:lang w:val="fr-FR"/>
        </w:rPr>
        <w:t xml:space="preserve"> au </w:t>
      </w:r>
      <w:r w:rsidR="00B0331B" w:rsidRPr="00F1660D">
        <w:rPr>
          <w:lang w:val="fr-FR"/>
        </w:rPr>
        <w:t>sein du Gouvernement brésilien et, partant, de l</w:t>
      </w:r>
      <w:r w:rsidR="00CE30FD" w:rsidRPr="00F1660D">
        <w:rPr>
          <w:lang w:val="fr-FR"/>
        </w:rPr>
        <w:t>’</w:t>
      </w:r>
      <w:r w:rsidR="00B0331B" w:rsidRPr="00F1660D">
        <w:rPr>
          <w:lang w:val="fr-FR"/>
        </w:rPr>
        <w:t>Approche stratégique, pendant l</w:t>
      </w:r>
      <w:r w:rsidR="00CE30FD" w:rsidRPr="00F1660D">
        <w:rPr>
          <w:lang w:val="fr-FR"/>
        </w:rPr>
        <w:t>’</w:t>
      </w:r>
      <w:r w:rsidR="00B0331B" w:rsidRPr="00F1660D">
        <w:rPr>
          <w:lang w:val="fr-FR"/>
        </w:rPr>
        <w:t>intersession. Le Groupe de travail est convenu d</w:t>
      </w:r>
      <w:r w:rsidR="00CE30FD" w:rsidRPr="00F1660D">
        <w:rPr>
          <w:lang w:val="fr-FR"/>
        </w:rPr>
        <w:t>’</w:t>
      </w:r>
      <w:r w:rsidR="00B0331B" w:rsidRPr="00F1660D">
        <w:rPr>
          <w:lang w:val="fr-FR"/>
        </w:rPr>
        <w:t>examiner</w:t>
      </w:r>
      <w:r w:rsidR="00A50629" w:rsidRPr="00F1660D">
        <w:rPr>
          <w:lang w:val="fr-FR"/>
        </w:rPr>
        <w:t xml:space="preserve"> la </w:t>
      </w:r>
      <w:r w:rsidR="00B0331B" w:rsidRPr="00F1660D">
        <w:rPr>
          <w:lang w:val="fr-FR"/>
        </w:rPr>
        <w:t>nomination du nouveau coprésident</w:t>
      </w:r>
      <w:r w:rsidR="00A50629" w:rsidRPr="00F1660D">
        <w:rPr>
          <w:lang w:val="fr-FR"/>
        </w:rPr>
        <w:t xml:space="preserve"> au </w:t>
      </w:r>
      <w:r w:rsidR="00B0331B" w:rsidRPr="00F1660D">
        <w:rPr>
          <w:lang w:val="fr-FR"/>
        </w:rPr>
        <w:t>titre du p</w:t>
      </w:r>
      <w:r w:rsidRPr="00F1660D">
        <w:rPr>
          <w:lang w:val="fr-FR"/>
        </w:rPr>
        <w:t>oint 3 </w:t>
      </w:r>
      <w:r w:rsidR="00B0331B" w:rsidRPr="00F1660D">
        <w:rPr>
          <w:lang w:val="fr-FR"/>
        </w:rPr>
        <w:t>b)</w:t>
      </w:r>
      <w:r w:rsidRPr="00F1660D">
        <w:rPr>
          <w:lang w:val="fr-FR"/>
        </w:rPr>
        <w:t> </w:t>
      </w:r>
      <w:r w:rsidR="00B0331B" w:rsidRPr="00F1660D">
        <w:rPr>
          <w:lang w:val="fr-FR"/>
        </w:rPr>
        <w:t>i) de l</w:t>
      </w:r>
      <w:r w:rsidR="00CE30FD" w:rsidRPr="00F1660D">
        <w:rPr>
          <w:lang w:val="fr-FR"/>
        </w:rPr>
        <w:t>’</w:t>
      </w:r>
      <w:r w:rsidR="00B0331B" w:rsidRPr="00F1660D">
        <w:rPr>
          <w:lang w:val="fr-FR"/>
        </w:rPr>
        <w:t>ordre du jour.</w:t>
      </w:r>
    </w:p>
    <w:p w14:paraId="4EF7E8E5" w14:textId="7DAB853A" w:rsidR="006579B1" w:rsidRPr="00F1660D" w:rsidRDefault="00D50259" w:rsidP="00D50259">
      <w:pPr>
        <w:pStyle w:val="CH3"/>
        <w:rPr>
          <w:lang w:val="fr-FR"/>
        </w:rPr>
      </w:pPr>
      <w:r w:rsidRPr="00F1660D">
        <w:rPr>
          <w:lang w:val="fr-FR"/>
        </w:rPr>
        <w:tab/>
        <w:t>3.</w:t>
      </w:r>
      <w:r w:rsidRPr="00F1660D">
        <w:rPr>
          <w:lang w:val="fr-FR"/>
        </w:rPr>
        <w:tab/>
      </w:r>
      <w:r w:rsidR="006579B1" w:rsidRPr="00F1660D">
        <w:rPr>
          <w:lang w:val="fr-FR"/>
        </w:rPr>
        <w:t>Organisation</w:t>
      </w:r>
      <w:r w:rsidR="00A50629" w:rsidRPr="00F1660D">
        <w:rPr>
          <w:lang w:val="fr-FR"/>
        </w:rPr>
        <w:t xml:space="preserve"> des </w:t>
      </w:r>
      <w:r w:rsidR="006579B1" w:rsidRPr="00F1660D">
        <w:rPr>
          <w:lang w:val="fr-FR"/>
        </w:rPr>
        <w:t>travaux</w:t>
      </w:r>
    </w:p>
    <w:p w14:paraId="3673C565" w14:textId="5B163F49" w:rsidR="00B0331B" w:rsidRPr="00F1660D" w:rsidRDefault="00B0331B" w:rsidP="00733A1C">
      <w:pPr>
        <w:pStyle w:val="Normalnumber"/>
        <w:rPr>
          <w:lang w:val="fr-FR"/>
        </w:rPr>
      </w:pPr>
      <w:r w:rsidRPr="00F1660D">
        <w:rPr>
          <w:lang w:val="fr-FR"/>
        </w:rPr>
        <w:t>Pour mener à bien ses travaux à</w:t>
      </w:r>
      <w:r w:rsidR="00A50629" w:rsidRPr="00F1660D">
        <w:rPr>
          <w:lang w:val="fr-FR"/>
        </w:rPr>
        <w:t xml:space="preserve"> la </w:t>
      </w:r>
      <w:r w:rsidRPr="00F1660D">
        <w:rPr>
          <w:lang w:val="fr-FR"/>
        </w:rPr>
        <w:t>réunion en cours,</w:t>
      </w:r>
      <w:r w:rsidR="00A50629" w:rsidRPr="00F1660D">
        <w:rPr>
          <w:lang w:val="fr-FR"/>
        </w:rPr>
        <w:t xml:space="preserve"> le </w:t>
      </w:r>
      <w:r w:rsidRPr="00F1660D">
        <w:rPr>
          <w:lang w:val="fr-FR"/>
        </w:rPr>
        <w:t>Groupe de travail était saisi de documents de travail et d</w:t>
      </w:r>
      <w:r w:rsidR="00CE30FD" w:rsidRPr="00F1660D">
        <w:rPr>
          <w:lang w:val="fr-FR"/>
        </w:rPr>
        <w:t>’</w:t>
      </w:r>
      <w:r w:rsidRPr="00F1660D">
        <w:rPr>
          <w:lang w:val="fr-FR"/>
        </w:rPr>
        <w:t>information se rapportant aux différents points de l</w:t>
      </w:r>
      <w:r w:rsidR="00CE30FD" w:rsidRPr="00F1660D">
        <w:rPr>
          <w:lang w:val="fr-FR"/>
        </w:rPr>
        <w:t>’</w:t>
      </w:r>
      <w:r w:rsidRPr="00F1660D">
        <w:rPr>
          <w:lang w:val="fr-FR"/>
        </w:rPr>
        <w:t>ordre du jour de</w:t>
      </w:r>
      <w:r w:rsidR="00A50629" w:rsidRPr="00F1660D">
        <w:rPr>
          <w:lang w:val="fr-FR"/>
        </w:rPr>
        <w:t xml:space="preserve"> la </w:t>
      </w:r>
      <w:r w:rsidRPr="00F1660D">
        <w:rPr>
          <w:lang w:val="fr-FR"/>
        </w:rPr>
        <w:t xml:space="preserve">réunion. On trouvera </w:t>
      </w:r>
      <w:r w:rsidR="00871C71" w:rsidRPr="00F1660D">
        <w:rPr>
          <w:lang w:val="fr-FR"/>
        </w:rPr>
        <w:t xml:space="preserve">dans le document SAICM/OEWG.3/INF/38, </w:t>
      </w:r>
      <w:r w:rsidR="00A50629" w:rsidRPr="00F1660D">
        <w:rPr>
          <w:lang w:val="fr-FR"/>
        </w:rPr>
        <w:t>la </w:t>
      </w:r>
      <w:r w:rsidRPr="00F1660D">
        <w:rPr>
          <w:lang w:val="fr-FR"/>
        </w:rPr>
        <w:t>liste de ces documents dans l</w:t>
      </w:r>
      <w:r w:rsidR="00CE30FD" w:rsidRPr="00F1660D">
        <w:rPr>
          <w:lang w:val="fr-FR"/>
        </w:rPr>
        <w:t>’</w:t>
      </w:r>
      <w:r w:rsidRPr="00F1660D">
        <w:rPr>
          <w:lang w:val="fr-FR"/>
        </w:rPr>
        <w:t>ordre</w:t>
      </w:r>
      <w:r w:rsidR="00A50629" w:rsidRPr="00F1660D">
        <w:rPr>
          <w:lang w:val="fr-FR"/>
        </w:rPr>
        <w:t xml:space="preserve"> des </w:t>
      </w:r>
      <w:r w:rsidRPr="00F1660D">
        <w:rPr>
          <w:lang w:val="fr-FR"/>
        </w:rPr>
        <w:t>points de l</w:t>
      </w:r>
      <w:r w:rsidR="00CE30FD" w:rsidRPr="00F1660D">
        <w:rPr>
          <w:lang w:val="fr-FR"/>
        </w:rPr>
        <w:t>’</w:t>
      </w:r>
      <w:r w:rsidRPr="00F1660D">
        <w:rPr>
          <w:lang w:val="fr-FR"/>
        </w:rPr>
        <w:t>ordre du jour auxquels ils se rapportent.</w:t>
      </w:r>
    </w:p>
    <w:p w14:paraId="2BB56924" w14:textId="78E88751" w:rsidR="006579B1" w:rsidRPr="00F1660D" w:rsidRDefault="00B0331B" w:rsidP="00F45B61">
      <w:pPr>
        <w:pStyle w:val="Normalnumber"/>
        <w:keepNext/>
        <w:keepLines/>
        <w:rPr>
          <w:lang w:val="fr-FR"/>
        </w:rPr>
      </w:pPr>
      <w:r w:rsidRPr="00F1660D">
        <w:rPr>
          <w:lang w:val="fr-FR"/>
        </w:rPr>
        <w:t>Le Groupe de travail est convenu de mener ses travaux conformément à</w:t>
      </w:r>
      <w:r w:rsidR="00A50629" w:rsidRPr="00F1660D">
        <w:rPr>
          <w:lang w:val="fr-FR"/>
        </w:rPr>
        <w:t xml:space="preserve"> la </w:t>
      </w:r>
      <w:r w:rsidRPr="00F1660D">
        <w:rPr>
          <w:lang w:val="fr-FR"/>
        </w:rPr>
        <w:t>proposition formulée dans une note établie par</w:t>
      </w:r>
      <w:r w:rsidR="00A50629" w:rsidRPr="00F1660D">
        <w:rPr>
          <w:lang w:val="fr-FR"/>
        </w:rPr>
        <w:t xml:space="preserve"> la </w:t>
      </w:r>
      <w:r w:rsidRPr="00F1660D">
        <w:rPr>
          <w:lang w:val="fr-FR"/>
        </w:rPr>
        <w:t>Présidente (SAICM/OEWG.3/2). Il a ainsi décidé, entre autres, de mener ses travaux en séance plénièr</w:t>
      </w:r>
      <w:r w:rsidR="00350181" w:rsidRPr="00F1660D">
        <w:rPr>
          <w:lang w:val="fr-FR"/>
        </w:rPr>
        <w:t>e chaque jour de 10 heures à 13 heures et de 15 </w:t>
      </w:r>
      <w:r w:rsidRPr="00F1660D">
        <w:rPr>
          <w:lang w:val="fr-FR"/>
        </w:rPr>
        <w:t>heures à 18 heures, sous réserve</w:t>
      </w:r>
      <w:r w:rsidR="00A50629" w:rsidRPr="00F1660D">
        <w:rPr>
          <w:lang w:val="fr-FR"/>
        </w:rPr>
        <w:t xml:space="preserve"> des </w:t>
      </w:r>
      <w:r w:rsidRPr="00F1660D">
        <w:rPr>
          <w:lang w:val="fr-FR"/>
        </w:rPr>
        <w:t>ajustements nécessaires, et de constituer</w:t>
      </w:r>
      <w:r w:rsidR="00A50629" w:rsidRPr="00F1660D">
        <w:rPr>
          <w:lang w:val="fr-FR"/>
        </w:rPr>
        <w:t xml:space="preserve"> les </w:t>
      </w:r>
      <w:r w:rsidRPr="00F1660D">
        <w:rPr>
          <w:lang w:val="fr-FR"/>
        </w:rPr>
        <w:t>petits groupes qu</w:t>
      </w:r>
      <w:r w:rsidR="00CE30FD" w:rsidRPr="00F1660D">
        <w:rPr>
          <w:lang w:val="fr-FR"/>
        </w:rPr>
        <w:t>’</w:t>
      </w:r>
      <w:r w:rsidRPr="00F1660D">
        <w:rPr>
          <w:lang w:val="fr-FR"/>
        </w:rPr>
        <w:t>il jugerait nécessaires, étant</w:t>
      </w:r>
      <w:r w:rsidR="00D50259" w:rsidRPr="00F1660D">
        <w:rPr>
          <w:lang w:val="fr-FR"/>
        </w:rPr>
        <w:t> </w:t>
      </w:r>
      <w:r w:rsidRPr="00F1660D">
        <w:rPr>
          <w:lang w:val="fr-FR"/>
        </w:rPr>
        <w:t>entendu qu</w:t>
      </w:r>
      <w:r w:rsidR="007436D8" w:rsidRPr="00F1660D">
        <w:rPr>
          <w:lang w:val="fr-FR"/>
        </w:rPr>
        <w:t>e pas plus d</w:t>
      </w:r>
      <w:r w:rsidR="00CE30FD" w:rsidRPr="00F1660D">
        <w:rPr>
          <w:lang w:val="fr-FR"/>
        </w:rPr>
        <w:t>’</w:t>
      </w:r>
      <w:r w:rsidRPr="00F1660D">
        <w:rPr>
          <w:lang w:val="fr-FR"/>
        </w:rPr>
        <w:t>un groupe travaillerait en même temps que</w:t>
      </w:r>
      <w:r w:rsidR="00A50629" w:rsidRPr="00F1660D">
        <w:rPr>
          <w:lang w:val="fr-FR"/>
        </w:rPr>
        <w:t xml:space="preserve"> la </w:t>
      </w:r>
      <w:r w:rsidRPr="00F1660D">
        <w:rPr>
          <w:lang w:val="fr-FR"/>
        </w:rPr>
        <w:t>plénière et que pas plus de</w:t>
      </w:r>
      <w:r w:rsidR="00D50259" w:rsidRPr="00F1660D">
        <w:rPr>
          <w:lang w:val="fr-FR"/>
        </w:rPr>
        <w:t> </w:t>
      </w:r>
      <w:r w:rsidRPr="00F1660D">
        <w:rPr>
          <w:lang w:val="fr-FR"/>
        </w:rPr>
        <w:t>deux</w:t>
      </w:r>
      <w:r w:rsidR="00D50259" w:rsidRPr="00F1660D">
        <w:rPr>
          <w:lang w:val="fr-FR"/>
        </w:rPr>
        <w:t> </w:t>
      </w:r>
      <w:r w:rsidRPr="00F1660D">
        <w:rPr>
          <w:lang w:val="fr-FR"/>
        </w:rPr>
        <w:t>groupes pourraient se réunir en même temps.</w:t>
      </w:r>
    </w:p>
    <w:p w14:paraId="7A649D68" w14:textId="7F99408B" w:rsidR="006579B1" w:rsidRPr="00F1660D" w:rsidRDefault="00D50259" w:rsidP="00D50259">
      <w:pPr>
        <w:pStyle w:val="CH3"/>
        <w:rPr>
          <w:lang w:val="fr-FR"/>
        </w:rPr>
      </w:pPr>
      <w:r w:rsidRPr="00F1660D">
        <w:rPr>
          <w:lang w:val="fr-FR"/>
        </w:rPr>
        <w:tab/>
        <w:t>4.</w:t>
      </w:r>
      <w:r w:rsidRPr="00F1660D">
        <w:rPr>
          <w:lang w:val="fr-FR"/>
        </w:rPr>
        <w:tab/>
      </w:r>
      <w:r w:rsidR="00B0331B" w:rsidRPr="00F1660D">
        <w:rPr>
          <w:lang w:val="fr-FR"/>
        </w:rPr>
        <w:t>Déclarations concernant</w:t>
      </w:r>
      <w:r w:rsidR="00A50629" w:rsidRPr="00F1660D">
        <w:rPr>
          <w:lang w:val="fr-FR"/>
        </w:rPr>
        <w:t xml:space="preserve"> les </w:t>
      </w:r>
      <w:r w:rsidR="00B0331B" w:rsidRPr="00F1660D">
        <w:rPr>
          <w:lang w:val="fr-FR"/>
        </w:rPr>
        <w:t>objectifs de</w:t>
      </w:r>
      <w:r w:rsidR="00A50629" w:rsidRPr="00F1660D">
        <w:rPr>
          <w:lang w:val="fr-FR"/>
        </w:rPr>
        <w:t xml:space="preserve"> la </w:t>
      </w:r>
      <w:r w:rsidR="00B0331B" w:rsidRPr="00F1660D">
        <w:rPr>
          <w:lang w:val="fr-FR"/>
        </w:rPr>
        <w:t>réunion</w:t>
      </w:r>
    </w:p>
    <w:p w14:paraId="751F04DA" w14:textId="6709CB82" w:rsidR="006579B1" w:rsidRPr="00F1660D" w:rsidRDefault="00B0331B" w:rsidP="00733A1C">
      <w:pPr>
        <w:pStyle w:val="Normalnumber"/>
        <w:rPr>
          <w:lang w:val="fr-FR"/>
        </w:rPr>
      </w:pPr>
      <w:r w:rsidRPr="00F1660D">
        <w:rPr>
          <w:lang w:val="fr-FR"/>
        </w:rPr>
        <w:t>Un certain nombre de représentants, dont plusieurs s</w:t>
      </w:r>
      <w:r w:rsidR="00CE30FD" w:rsidRPr="00F1660D">
        <w:rPr>
          <w:lang w:val="fr-FR"/>
        </w:rPr>
        <w:t>’</w:t>
      </w:r>
      <w:r w:rsidRPr="00F1660D">
        <w:rPr>
          <w:lang w:val="fr-FR"/>
        </w:rPr>
        <w:t>exprimant</w:t>
      </w:r>
      <w:r w:rsidR="00A50629" w:rsidRPr="00F1660D">
        <w:rPr>
          <w:lang w:val="fr-FR"/>
        </w:rPr>
        <w:t xml:space="preserve"> au </w:t>
      </w:r>
      <w:r w:rsidRPr="00F1660D">
        <w:rPr>
          <w:lang w:val="fr-FR"/>
        </w:rPr>
        <w:t>nom de groupes de pays, ont prononcé</w:t>
      </w:r>
      <w:r w:rsidR="00A50629" w:rsidRPr="00F1660D">
        <w:rPr>
          <w:lang w:val="fr-FR"/>
        </w:rPr>
        <w:t xml:space="preserve"> des </w:t>
      </w:r>
      <w:r w:rsidRPr="00F1660D">
        <w:rPr>
          <w:lang w:val="fr-FR"/>
        </w:rPr>
        <w:t>déclarations d</w:t>
      </w:r>
      <w:r w:rsidR="00CE30FD" w:rsidRPr="00F1660D">
        <w:rPr>
          <w:lang w:val="fr-FR"/>
        </w:rPr>
        <w:t>’</w:t>
      </w:r>
      <w:r w:rsidRPr="00F1660D">
        <w:rPr>
          <w:lang w:val="fr-FR"/>
        </w:rPr>
        <w:t>ordre général sur</w:t>
      </w:r>
      <w:r w:rsidR="00A50629" w:rsidRPr="00F1660D">
        <w:rPr>
          <w:lang w:val="fr-FR"/>
        </w:rPr>
        <w:t xml:space="preserve"> les </w:t>
      </w:r>
      <w:r w:rsidRPr="00F1660D">
        <w:rPr>
          <w:lang w:val="fr-FR"/>
        </w:rPr>
        <w:t>questions qui devaient être abordées pendant</w:t>
      </w:r>
      <w:r w:rsidR="00A50629" w:rsidRPr="00F1660D">
        <w:rPr>
          <w:lang w:val="fr-FR"/>
        </w:rPr>
        <w:t xml:space="preserve"> la </w:t>
      </w:r>
      <w:r w:rsidRPr="00F1660D">
        <w:rPr>
          <w:lang w:val="fr-FR"/>
        </w:rPr>
        <w:t>réunion.</w:t>
      </w:r>
      <w:r w:rsidR="00A50629" w:rsidRPr="00F1660D">
        <w:rPr>
          <w:lang w:val="fr-FR"/>
        </w:rPr>
        <w:t xml:space="preserve"> Des </w:t>
      </w:r>
      <w:r w:rsidRPr="00F1660D">
        <w:rPr>
          <w:lang w:val="fr-FR"/>
        </w:rPr>
        <w:t>déclarations ont d</w:t>
      </w:r>
      <w:r w:rsidR="00CE30FD" w:rsidRPr="00F1660D">
        <w:rPr>
          <w:lang w:val="fr-FR"/>
        </w:rPr>
        <w:t>’</w:t>
      </w:r>
      <w:r w:rsidRPr="00F1660D">
        <w:rPr>
          <w:lang w:val="fr-FR"/>
        </w:rPr>
        <w:t>abord été faites</w:t>
      </w:r>
      <w:r w:rsidR="00A50629" w:rsidRPr="00F1660D">
        <w:rPr>
          <w:lang w:val="fr-FR"/>
        </w:rPr>
        <w:t xml:space="preserve"> au </w:t>
      </w:r>
      <w:r w:rsidRPr="00F1660D">
        <w:rPr>
          <w:lang w:val="fr-FR"/>
        </w:rPr>
        <w:t>nom</w:t>
      </w:r>
      <w:r w:rsidR="00A50629" w:rsidRPr="00F1660D">
        <w:rPr>
          <w:lang w:val="fr-FR"/>
        </w:rPr>
        <w:t xml:space="preserve"> des </w:t>
      </w:r>
      <w:r w:rsidRPr="00F1660D">
        <w:rPr>
          <w:lang w:val="fr-FR"/>
        </w:rPr>
        <w:t>groupes régionaux de pays, puis par</w:t>
      </w:r>
      <w:r w:rsidR="00A50629" w:rsidRPr="00F1660D">
        <w:rPr>
          <w:lang w:val="fr-FR"/>
        </w:rPr>
        <w:t xml:space="preserve"> des </w:t>
      </w:r>
      <w:r w:rsidRPr="00F1660D">
        <w:rPr>
          <w:lang w:val="fr-FR"/>
        </w:rPr>
        <w:t>représentants d</w:t>
      </w:r>
      <w:r w:rsidR="00CE30FD" w:rsidRPr="00F1660D">
        <w:rPr>
          <w:lang w:val="fr-FR"/>
        </w:rPr>
        <w:t>’</w:t>
      </w:r>
      <w:r w:rsidRPr="00F1660D">
        <w:rPr>
          <w:lang w:val="fr-FR"/>
        </w:rPr>
        <w:t>organisations intergouvernementales, d</w:t>
      </w:r>
      <w:r w:rsidR="00CE30FD" w:rsidRPr="00F1660D">
        <w:rPr>
          <w:lang w:val="fr-FR"/>
        </w:rPr>
        <w:t>’</w:t>
      </w:r>
      <w:r w:rsidRPr="00F1660D">
        <w:rPr>
          <w:lang w:val="fr-FR"/>
        </w:rPr>
        <w:t>organisations non gouvernementales, de</w:t>
      </w:r>
      <w:r w:rsidR="00D50259" w:rsidRPr="00F1660D">
        <w:rPr>
          <w:lang w:val="fr-FR"/>
        </w:rPr>
        <w:t> </w:t>
      </w:r>
      <w:r w:rsidRPr="00F1660D">
        <w:rPr>
          <w:lang w:val="fr-FR"/>
        </w:rPr>
        <w:t>l</w:t>
      </w:r>
      <w:r w:rsidR="00CE30FD" w:rsidRPr="00F1660D">
        <w:rPr>
          <w:lang w:val="fr-FR"/>
        </w:rPr>
        <w:t>’</w:t>
      </w:r>
      <w:r w:rsidRPr="00F1660D">
        <w:rPr>
          <w:lang w:val="fr-FR"/>
        </w:rPr>
        <w:t>industrie et de syndicats.</w:t>
      </w:r>
    </w:p>
    <w:p w14:paraId="34335190" w14:textId="2B959D86" w:rsidR="006579B1" w:rsidRPr="00F1660D" w:rsidRDefault="00D50259" w:rsidP="00D50259">
      <w:pPr>
        <w:pStyle w:val="CH4"/>
        <w:rPr>
          <w:lang w:val="fr-FR"/>
        </w:rPr>
      </w:pPr>
      <w:r w:rsidRPr="00F1660D">
        <w:rPr>
          <w:lang w:val="fr-FR"/>
        </w:rPr>
        <w:tab/>
      </w:r>
      <w:r w:rsidR="00481A20" w:rsidRPr="00F1660D">
        <w:rPr>
          <w:lang w:val="fr-FR"/>
        </w:rPr>
        <w:t>a</w:t>
      </w:r>
      <w:r w:rsidR="00566166" w:rsidRPr="00F1660D">
        <w:rPr>
          <w:lang w:val="fr-FR"/>
        </w:rPr>
        <w:t>)</w:t>
      </w:r>
      <w:r w:rsidR="00481A20" w:rsidRPr="00F1660D">
        <w:rPr>
          <w:lang w:val="fr-FR"/>
        </w:rPr>
        <w:tab/>
      </w:r>
      <w:r w:rsidR="006579B1" w:rsidRPr="00F1660D">
        <w:rPr>
          <w:lang w:val="fr-FR"/>
        </w:rPr>
        <w:t>Groupes régionaux</w:t>
      </w:r>
    </w:p>
    <w:p w14:paraId="6DD214C0" w14:textId="0E4AE241" w:rsidR="004418CE" w:rsidRPr="00F1660D" w:rsidRDefault="004418CE" w:rsidP="00733A1C">
      <w:pPr>
        <w:pStyle w:val="Normalnumber"/>
        <w:rPr>
          <w:lang w:val="fr-FR"/>
        </w:rPr>
      </w:pPr>
      <w:r w:rsidRPr="00F1660D">
        <w:rPr>
          <w:lang w:val="fr-FR"/>
        </w:rPr>
        <w:t>Le représentant de</w:t>
      </w:r>
      <w:r w:rsidR="00A50629" w:rsidRPr="00F1660D">
        <w:rPr>
          <w:lang w:val="fr-FR"/>
        </w:rPr>
        <w:t xml:space="preserve"> la </w:t>
      </w:r>
      <w:r w:rsidRPr="00F1660D">
        <w:rPr>
          <w:lang w:val="fr-FR"/>
        </w:rPr>
        <w:t>Zambie, s</w:t>
      </w:r>
      <w:r w:rsidR="00CE30FD" w:rsidRPr="00F1660D">
        <w:rPr>
          <w:lang w:val="fr-FR"/>
        </w:rPr>
        <w:t>’</w:t>
      </w:r>
      <w:r w:rsidRPr="00F1660D">
        <w:rPr>
          <w:lang w:val="fr-FR"/>
        </w:rPr>
        <w:t>exprimant</w:t>
      </w:r>
      <w:r w:rsidR="00A50629" w:rsidRPr="00F1660D">
        <w:rPr>
          <w:lang w:val="fr-FR"/>
        </w:rPr>
        <w:t xml:space="preserve"> au </w:t>
      </w:r>
      <w:r w:rsidRPr="00F1660D">
        <w:rPr>
          <w:lang w:val="fr-FR"/>
        </w:rPr>
        <w:t>nom du groupe</w:t>
      </w:r>
      <w:r w:rsidR="00A50629" w:rsidRPr="00F1660D">
        <w:rPr>
          <w:lang w:val="fr-FR"/>
        </w:rPr>
        <w:t xml:space="preserve"> des </w:t>
      </w:r>
      <w:r w:rsidRPr="00F1660D">
        <w:rPr>
          <w:lang w:val="fr-FR"/>
        </w:rPr>
        <w:t>États d</w:t>
      </w:r>
      <w:r w:rsidR="00CE30FD" w:rsidRPr="00F1660D">
        <w:rPr>
          <w:lang w:val="fr-FR"/>
        </w:rPr>
        <w:t>’</w:t>
      </w:r>
      <w:r w:rsidRPr="00F1660D">
        <w:rPr>
          <w:lang w:val="fr-FR"/>
        </w:rPr>
        <w:t>Afrique, a rappelé que</w:t>
      </w:r>
      <w:r w:rsidR="00A50629" w:rsidRPr="00F1660D">
        <w:rPr>
          <w:lang w:val="fr-FR"/>
        </w:rPr>
        <w:t xml:space="preserve"> le </w:t>
      </w:r>
      <w:r w:rsidRPr="00F1660D">
        <w:rPr>
          <w:lang w:val="fr-FR"/>
        </w:rPr>
        <w:t>continent africain, qui était un importateur net de produits chimiques, éprouvait de grandes difficultés à gérer ceux-ci et</w:t>
      </w:r>
      <w:r w:rsidR="00A50629" w:rsidRPr="00F1660D">
        <w:rPr>
          <w:lang w:val="fr-FR"/>
        </w:rPr>
        <w:t xml:space="preserve"> les </w:t>
      </w:r>
      <w:r w:rsidRPr="00F1660D">
        <w:rPr>
          <w:lang w:val="fr-FR"/>
        </w:rPr>
        <w:t>déchets de manière écologiquement rationnelle. Il était à espérer que</w:t>
      </w:r>
      <w:r w:rsidR="00A50629" w:rsidRPr="00F1660D">
        <w:rPr>
          <w:lang w:val="fr-FR"/>
        </w:rPr>
        <w:t xml:space="preserve"> le </w:t>
      </w:r>
      <w:r w:rsidRPr="00F1660D">
        <w:rPr>
          <w:lang w:val="fr-FR"/>
        </w:rPr>
        <w:t>futur cadre de gestion rationnelle</w:t>
      </w:r>
      <w:r w:rsidR="00A50629" w:rsidRPr="00F1660D">
        <w:rPr>
          <w:lang w:val="fr-FR"/>
        </w:rPr>
        <w:t xml:space="preserve"> des </w:t>
      </w:r>
      <w:r w:rsidRPr="00F1660D">
        <w:rPr>
          <w:lang w:val="fr-FR"/>
        </w:rPr>
        <w:t>produits chimiques s</w:t>
      </w:r>
      <w:r w:rsidR="00CE30FD" w:rsidRPr="00F1660D">
        <w:rPr>
          <w:lang w:val="fr-FR"/>
        </w:rPr>
        <w:t>’</w:t>
      </w:r>
      <w:r w:rsidRPr="00F1660D">
        <w:rPr>
          <w:lang w:val="fr-FR"/>
        </w:rPr>
        <w:t>appuierait sur</w:t>
      </w:r>
      <w:r w:rsidR="00A50629" w:rsidRPr="00F1660D">
        <w:rPr>
          <w:lang w:val="fr-FR"/>
        </w:rPr>
        <w:t xml:space="preserve"> les </w:t>
      </w:r>
      <w:r w:rsidRPr="00F1660D">
        <w:rPr>
          <w:lang w:val="fr-FR"/>
        </w:rPr>
        <w:t>succès de l</w:t>
      </w:r>
      <w:r w:rsidR="00CE30FD" w:rsidRPr="00F1660D">
        <w:rPr>
          <w:lang w:val="fr-FR"/>
        </w:rPr>
        <w:t>’</w:t>
      </w:r>
      <w:r w:rsidRPr="00F1660D">
        <w:rPr>
          <w:lang w:val="fr-FR"/>
        </w:rPr>
        <w:t>Approche stratégique et en comblerait</w:t>
      </w:r>
      <w:r w:rsidR="00A50629" w:rsidRPr="00F1660D">
        <w:rPr>
          <w:lang w:val="fr-FR"/>
        </w:rPr>
        <w:t xml:space="preserve"> les </w:t>
      </w:r>
      <w:r w:rsidRPr="00F1660D">
        <w:rPr>
          <w:lang w:val="fr-FR"/>
        </w:rPr>
        <w:t xml:space="preserve">insuffisances </w:t>
      </w:r>
      <w:r w:rsidR="00871C71" w:rsidRPr="00F1660D">
        <w:rPr>
          <w:lang w:val="fr-FR"/>
        </w:rPr>
        <w:t xml:space="preserve">de manière à atteindre </w:t>
      </w:r>
      <w:r w:rsidRPr="00F1660D">
        <w:rPr>
          <w:lang w:val="fr-FR"/>
        </w:rPr>
        <w:t>l</w:t>
      </w:r>
      <w:r w:rsidR="00CE30FD" w:rsidRPr="00F1660D">
        <w:rPr>
          <w:lang w:val="fr-FR"/>
        </w:rPr>
        <w:t>’</w:t>
      </w:r>
      <w:r w:rsidRPr="00F1660D">
        <w:rPr>
          <w:lang w:val="fr-FR"/>
        </w:rPr>
        <w:t>objectif de 2020. Ce cadre gagnerait à</w:t>
      </w:r>
      <w:r w:rsidR="003647E1" w:rsidRPr="00F1660D">
        <w:rPr>
          <w:lang w:val="fr-FR"/>
        </w:rPr>
        <w:t> </w:t>
      </w:r>
      <w:r w:rsidRPr="00F1660D">
        <w:rPr>
          <w:lang w:val="fr-FR"/>
        </w:rPr>
        <w:t>reprendre et renforcer</w:t>
      </w:r>
      <w:r w:rsidR="00A50629" w:rsidRPr="00F1660D">
        <w:rPr>
          <w:lang w:val="fr-FR"/>
        </w:rPr>
        <w:t xml:space="preserve"> les </w:t>
      </w:r>
      <w:r w:rsidRPr="00F1660D">
        <w:rPr>
          <w:lang w:val="fr-FR"/>
        </w:rPr>
        <w:t>éléments de l</w:t>
      </w:r>
      <w:r w:rsidR="00CE30FD" w:rsidRPr="00F1660D">
        <w:rPr>
          <w:lang w:val="fr-FR"/>
        </w:rPr>
        <w:t>’</w:t>
      </w:r>
      <w:r w:rsidRPr="00F1660D">
        <w:rPr>
          <w:lang w:val="fr-FR"/>
        </w:rPr>
        <w:t>Approche stratégique qui avaient conduit aux réalisations passées. Bien qu</w:t>
      </w:r>
      <w:r w:rsidR="00CE30FD" w:rsidRPr="00F1660D">
        <w:rPr>
          <w:lang w:val="fr-FR"/>
        </w:rPr>
        <w:t>’</w:t>
      </w:r>
      <w:r w:rsidRPr="00F1660D">
        <w:rPr>
          <w:lang w:val="fr-FR"/>
        </w:rPr>
        <w:t>il convienne de ne pas</w:t>
      </w:r>
      <w:r w:rsidR="00A50629" w:rsidRPr="00F1660D">
        <w:rPr>
          <w:lang w:val="fr-FR"/>
        </w:rPr>
        <w:t xml:space="preserve"> le </w:t>
      </w:r>
      <w:r w:rsidRPr="00F1660D">
        <w:rPr>
          <w:lang w:val="fr-FR"/>
        </w:rPr>
        <w:t>limiter dans</w:t>
      </w:r>
      <w:r w:rsidR="00A50629" w:rsidRPr="00F1660D">
        <w:rPr>
          <w:lang w:val="fr-FR"/>
        </w:rPr>
        <w:t xml:space="preserve"> le </w:t>
      </w:r>
      <w:r w:rsidRPr="00F1660D">
        <w:rPr>
          <w:lang w:val="fr-FR"/>
        </w:rPr>
        <w:t>temps, il devrait avoir</w:t>
      </w:r>
      <w:r w:rsidR="00A50629" w:rsidRPr="00F1660D">
        <w:rPr>
          <w:lang w:val="fr-FR"/>
        </w:rPr>
        <w:t xml:space="preserve"> des </w:t>
      </w:r>
      <w:r w:rsidRPr="00F1660D">
        <w:rPr>
          <w:lang w:val="fr-FR"/>
        </w:rPr>
        <w:t>buts et</w:t>
      </w:r>
      <w:r w:rsidR="00A50629" w:rsidRPr="00F1660D">
        <w:rPr>
          <w:lang w:val="fr-FR"/>
        </w:rPr>
        <w:t xml:space="preserve"> des </w:t>
      </w:r>
      <w:r w:rsidRPr="00F1660D">
        <w:rPr>
          <w:lang w:val="fr-FR"/>
        </w:rPr>
        <w:t>objectifs spécifiques, mesurables, réalisables, pertinents et assortis de délais. Il devrait être multisectoriel, être assuré d</w:t>
      </w:r>
      <w:r w:rsidR="00CE30FD" w:rsidRPr="00F1660D">
        <w:rPr>
          <w:lang w:val="fr-FR"/>
        </w:rPr>
        <w:t>’</w:t>
      </w:r>
      <w:r w:rsidRPr="00F1660D">
        <w:rPr>
          <w:lang w:val="fr-FR"/>
        </w:rPr>
        <w:t>un niveau élevé d</w:t>
      </w:r>
      <w:r w:rsidR="00CE30FD" w:rsidRPr="00F1660D">
        <w:rPr>
          <w:lang w:val="fr-FR"/>
        </w:rPr>
        <w:t>’</w:t>
      </w:r>
      <w:r w:rsidRPr="00F1660D">
        <w:rPr>
          <w:lang w:val="fr-FR"/>
        </w:rPr>
        <w:t>engagement politique à faire mieux connaître</w:t>
      </w:r>
      <w:r w:rsidR="00A50629" w:rsidRPr="00F1660D">
        <w:rPr>
          <w:lang w:val="fr-FR"/>
        </w:rPr>
        <w:t xml:space="preserve"> le </w:t>
      </w:r>
      <w:r w:rsidRPr="00F1660D">
        <w:rPr>
          <w:lang w:val="fr-FR"/>
        </w:rPr>
        <w:t xml:space="preserve">programme relatif aux produits chimiques et aux déchets, et être plus directement lié </w:t>
      </w:r>
      <w:r w:rsidR="00D21095" w:rsidRPr="00F1660D">
        <w:rPr>
          <w:lang w:val="fr-FR"/>
        </w:rPr>
        <w:t>à</w:t>
      </w:r>
      <w:r w:rsidR="00A50629" w:rsidRPr="00F1660D">
        <w:rPr>
          <w:lang w:val="fr-FR"/>
        </w:rPr>
        <w:t xml:space="preserve"> la </w:t>
      </w:r>
      <w:r w:rsidR="00D21095" w:rsidRPr="00F1660D">
        <w:rPr>
          <w:lang w:val="fr-FR"/>
        </w:rPr>
        <w:t>mise en</w:t>
      </w:r>
      <w:r w:rsidR="003647E1" w:rsidRPr="00F1660D">
        <w:rPr>
          <w:lang w:val="fr-FR"/>
        </w:rPr>
        <w:t> </w:t>
      </w:r>
      <w:r w:rsidR="00D21095" w:rsidRPr="00F1660D">
        <w:rPr>
          <w:lang w:val="fr-FR"/>
        </w:rPr>
        <w:t>œuvre du Programme </w:t>
      </w:r>
      <w:r w:rsidRPr="00F1660D">
        <w:rPr>
          <w:lang w:val="fr-FR"/>
        </w:rPr>
        <w:t>2030. Il devrait en outre favoriser l</w:t>
      </w:r>
      <w:r w:rsidR="00CE30FD" w:rsidRPr="00F1660D">
        <w:rPr>
          <w:lang w:val="fr-FR"/>
        </w:rPr>
        <w:t>’</w:t>
      </w:r>
      <w:r w:rsidRPr="00F1660D">
        <w:rPr>
          <w:lang w:val="fr-FR"/>
        </w:rPr>
        <w:t>utilisation de</w:t>
      </w:r>
      <w:r w:rsidR="00A50629" w:rsidRPr="00F1660D">
        <w:rPr>
          <w:lang w:val="fr-FR"/>
        </w:rPr>
        <w:t xml:space="preserve"> la </w:t>
      </w:r>
      <w:r w:rsidRPr="00F1660D">
        <w:rPr>
          <w:lang w:val="fr-FR"/>
        </w:rPr>
        <w:t>chimie verte et de</w:t>
      </w:r>
      <w:r w:rsidR="00A50629" w:rsidRPr="00F1660D">
        <w:rPr>
          <w:lang w:val="fr-FR"/>
        </w:rPr>
        <w:t xml:space="preserve"> la </w:t>
      </w:r>
      <w:r w:rsidRPr="00F1660D">
        <w:rPr>
          <w:lang w:val="fr-FR"/>
        </w:rPr>
        <w:t>chimie durable par l</w:t>
      </w:r>
      <w:r w:rsidR="00CE30FD" w:rsidRPr="00F1660D">
        <w:rPr>
          <w:lang w:val="fr-FR"/>
        </w:rPr>
        <w:t>’</w:t>
      </w:r>
      <w:r w:rsidRPr="00F1660D">
        <w:rPr>
          <w:lang w:val="fr-FR"/>
        </w:rPr>
        <w:t>industrie. Par ailleurs, il devrait comporter</w:t>
      </w:r>
      <w:r w:rsidR="00A50629" w:rsidRPr="00F1660D">
        <w:rPr>
          <w:lang w:val="fr-FR"/>
        </w:rPr>
        <w:t xml:space="preserve"> des </w:t>
      </w:r>
      <w:r w:rsidRPr="00F1660D">
        <w:rPr>
          <w:lang w:val="fr-FR"/>
        </w:rPr>
        <w:t>dispositions concernant l</w:t>
      </w:r>
      <w:r w:rsidR="00CE30FD" w:rsidRPr="00F1660D">
        <w:rPr>
          <w:lang w:val="fr-FR"/>
        </w:rPr>
        <w:t>’</w:t>
      </w:r>
      <w:r w:rsidRPr="00F1660D">
        <w:rPr>
          <w:lang w:val="fr-FR"/>
        </w:rPr>
        <w:t>adéquation,</w:t>
      </w:r>
      <w:r w:rsidR="00A50629" w:rsidRPr="00F1660D">
        <w:rPr>
          <w:lang w:val="fr-FR"/>
        </w:rPr>
        <w:t xml:space="preserve"> la </w:t>
      </w:r>
      <w:r w:rsidRPr="00F1660D">
        <w:rPr>
          <w:lang w:val="fr-FR"/>
        </w:rPr>
        <w:t>prévisibilité et</w:t>
      </w:r>
      <w:r w:rsidR="00A50629" w:rsidRPr="00F1660D">
        <w:rPr>
          <w:lang w:val="fr-FR"/>
        </w:rPr>
        <w:t xml:space="preserve"> la </w:t>
      </w:r>
      <w:r w:rsidRPr="00F1660D">
        <w:rPr>
          <w:lang w:val="fr-FR"/>
        </w:rPr>
        <w:t>durabilité</w:t>
      </w:r>
      <w:r w:rsidR="00A50629" w:rsidRPr="00F1660D">
        <w:rPr>
          <w:lang w:val="fr-FR"/>
        </w:rPr>
        <w:t xml:space="preserve"> des </w:t>
      </w:r>
      <w:r w:rsidRPr="00F1660D">
        <w:rPr>
          <w:lang w:val="fr-FR"/>
        </w:rPr>
        <w:t>ressources financières, qui étaient essentielles pour</w:t>
      </w:r>
      <w:r w:rsidR="00A50629" w:rsidRPr="00F1660D">
        <w:rPr>
          <w:lang w:val="fr-FR"/>
        </w:rPr>
        <w:t xml:space="preserve"> la </w:t>
      </w:r>
      <w:r w:rsidRPr="00F1660D">
        <w:rPr>
          <w:lang w:val="fr-FR"/>
        </w:rPr>
        <w:t>mise en œuvre, comme l</w:t>
      </w:r>
      <w:r w:rsidR="00CE30FD" w:rsidRPr="00F1660D">
        <w:rPr>
          <w:lang w:val="fr-FR"/>
        </w:rPr>
        <w:t>’</w:t>
      </w:r>
      <w:r w:rsidRPr="00F1660D">
        <w:rPr>
          <w:lang w:val="fr-FR"/>
        </w:rPr>
        <w:t>indiquaient l</w:t>
      </w:r>
      <w:r w:rsidR="00CE30FD" w:rsidRPr="00F1660D">
        <w:rPr>
          <w:lang w:val="fr-FR"/>
        </w:rPr>
        <w:t>’</w:t>
      </w:r>
      <w:r w:rsidRPr="00F1660D">
        <w:rPr>
          <w:lang w:val="fr-FR"/>
        </w:rPr>
        <w:t>évaluation de l</w:t>
      </w:r>
      <w:r w:rsidR="00CE30FD" w:rsidRPr="00F1660D">
        <w:rPr>
          <w:lang w:val="fr-FR"/>
        </w:rPr>
        <w:t>’</w:t>
      </w:r>
      <w:r w:rsidRPr="00F1660D">
        <w:rPr>
          <w:lang w:val="fr-FR"/>
        </w:rPr>
        <w:t>Approche stratégique et</w:t>
      </w:r>
      <w:r w:rsidR="00A50629" w:rsidRPr="00F1660D">
        <w:rPr>
          <w:lang w:val="fr-FR"/>
        </w:rPr>
        <w:t xml:space="preserve"> le </w:t>
      </w:r>
      <w:r w:rsidRPr="00F1660D">
        <w:rPr>
          <w:lang w:val="fr-FR"/>
        </w:rPr>
        <w:t>deuxième rapport sur</w:t>
      </w:r>
      <w:r w:rsidR="00A50629" w:rsidRPr="00F1660D">
        <w:rPr>
          <w:lang w:val="fr-FR"/>
        </w:rPr>
        <w:t xml:space="preserve"> les </w:t>
      </w:r>
      <w:r w:rsidRPr="00F1660D">
        <w:rPr>
          <w:lang w:val="fr-FR"/>
        </w:rPr>
        <w:t>perspectives mondiales en matière de produits chimiques. Le renforcement de l</w:t>
      </w:r>
      <w:r w:rsidR="00CE30FD" w:rsidRPr="00F1660D">
        <w:rPr>
          <w:lang w:val="fr-FR"/>
        </w:rPr>
        <w:t>’</w:t>
      </w:r>
      <w:r w:rsidRPr="00F1660D">
        <w:rPr>
          <w:lang w:val="fr-FR"/>
        </w:rPr>
        <w:t>interface science-politique faciliterait</w:t>
      </w:r>
      <w:r w:rsidR="00A50629" w:rsidRPr="00F1660D">
        <w:rPr>
          <w:lang w:val="fr-FR"/>
        </w:rPr>
        <w:t xml:space="preserve"> la </w:t>
      </w:r>
      <w:r w:rsidRPr="00F1660D">
        <w:rPr>
          <w:lang w:val="fr-FR"/>
        </w:rPr>
        <w:t>proposition de nouvelles questions de politique générale d</w:t>
      </w:r>
      <w:r w:rsidR="00CE30FD" w:rsidRPr="00F1660D">
        <w:rPr>
          <w:lang w:val="fr-FR"/>
        </w:rPr>
        <w:t>’</w:t>
      </w:r>
      <w:r w:rsidRPr="00F1660D">
        <w:rPr>
          <w:lang w:val="fr-FR"/>
        </w:rPr>
        <w:t>intérêt mondial et protégerait</w:t>
      </w:r>
      <w:r w:rsidR="00A50629" w:rsidRPr="00F1660D">
        <w:rPr>
          <w:lang w:val="fr-FR"/>
        </w:rPr>
        <w:t xml:space="preserve"> les </w:t>
      </w:r>
      <w:r w:rsidRPr="00F1660D">
        <w:rPr>
          <w:lang w:val="fr-FR"/>
        </w:rPr>
        <w:t>pays contre l</w:t>
      </w:r>
      <w:r w:rsidR="00CE30FD" w:rsidRPr="00F1660D">
        <w:rPr>
          <w:lang w:val="fr-FR"/>
        </w:rPr>
        <w:t>’</w:t>
      </w:r>
      <w:r w:rsidRPr="00F1660D">
        <w:rPr>
          <w:lang w:val="fr-FR"/>
        </w:rPr>
        <w:t>intimidation pendant</w:t>
      </w:r>
      <w:r w:rsidR="00A50629" w:rsidRPr="00F1660D">
        <w:rPr>
          <w:lang w:val="fr-FR"/>
        </w:rPr>
        <w:t xml:space="preserve"> la </w:t>
      </w:r>
      <w:r w:rsidRPr="00F1660D">
        <w:rPr>
          <w:lang w:val="fr-FR"/>
        </w:rPr>
        <w:t>présentation de propositions. Enfin,</w:t>
      </w:r>
      <w:r w:rsidR="00A50629" w:rsidRPr="00F1660D">
        <w:rPr>
          <w:lang w:val="fr-FR"/>
        </w:rPr>
        <w:t xml:space="preserve"> les </w:t>
      </w:r>
      <w:r w:rsidRPr="00F1660D">
        <w:rPr>
          <w:lang w:val="fr-FR"/>
        </w:rPr>
        <w:t>objectifs du nouveau cadre devraient être ancrés aux objectifs de développement durable.</w:t>
      </w:r>
    </w:p>
    <w:p w14:paraId="2F73090E" w14:textId="6DA6C6CB" w:rsidR="004418CE" w:rsidRPr="00F1660D" w:rsidRDefault="004418CE" w:rsidP="00733A1C">
      <w:pPr>
        <w:pStyle w:val="Normalnumber"/>
        <w:rPr>
          <w:lang w:val="fr-FR"/>
        </w:rPr>
      </w:pPr>
      <w:r w:rsidRPr="00F1660D">
        <w:rPr>
          <w:lang w:val="fr-FR"/>
        </w:rPr>
        <w:t>Le représentant de</w:t>
      </w:r>
      <w:r w:rsidR="00A50629" w:rsidRPr="00F1660D">
        <w:rPr>
          <w:lang w:val="fr-FR"/>
        </w:rPr>
        <w:t xml:space="preserve"> la </w:t>
      </w:r>
      <w:r w:rsidRPr="00F1660D">
        <w:rPr>
          <w:lang w:val="fr-FR"/>
        </w:rPr>
        <w:t>République islamique d</w:t>
      </w:r>
      <w:r w:rsidR="00CE30FD" w:rsidRPr="00F1660D">
        <w:rPr>
          <w:lang w:val="fr-FR"/>
        </w:rPr>
        <w:t>’</w:t>
      </w:r>
      <w:r w:rsidRPr="00F1660D">
        <w:rPr>
          <w:lang w:val="fr-FR"/>
        </w:rPr>
        <w:t>Iran, prenant</w:t>
      </w:r>
      <w:r w:rsidR="00A50629" w:rsidRPr="00F1660D">
        <w:rPr>
          <w:lang w:val="fr-FR"/>
        </w:rPr>
        <w:t xml:space="preserve"> la </w:t>
      </w:r>
      <w:r w:rsidRPr="00F1660D">
        <w:rPr>
          <w:lang w:val="fr-FR"/>
        </w:rPr>
        <w:t>parole</w:t>
      </w:r>
      <w:r w:rsidR="00A50629" w:rsidRPr="00F1660D">
        <w:rPr>
          <w:lang w:val="fr-FR"/>
        </w:rPr>
        <w:t xml:space="preserve"> au </w:t>
      </w:r>
      <w:r w:rsidRPr="00F1660D">
        <w:rPr>
          <w:lang w:val="fr-FR"/>
        </w:rPr>
        <w:t>nom du groupe</w:t>
      </w:r>
      <w:r w:rsidR="00A50629" w:rsidRPr="00F1660D">
        <w:rPr>
          <w:lang w:val="fr-FR"/>
        </w:rPr>
        <w:t xml:space="preserve"> des </w:t>
      </w:r>
      <w:r w:rsidRPr="00F1660D">
        <w:rPr>
          <w:lang w:val="fr-FR"/>
        </w:rPr>
        <w:t>États d</w:t>
      </w:r>
      <w:r w:rsidR="00CE30FD" w:rsidRPr="00F1660D">
        <w:rPr>
          <w:lang w:val="fr-FR"/>
        </w:rPr>
        <w:t>’</w:t>
      </w:r>
      <w:r w:rsidRPr="00F1660D">
        <w:rPr>
          <w:lang w:val="fr-FR"/>
        </w:rPr>
        <w:t>Asie et du Pacifique, a noté que</w:t>
      </w:r>
      <w:r w:rsidR="00A50629" w:rsidRPr="00F1660D">
        <w:rPr>
          <w:lang w:val="fr-FR"/>
        </w:rPr>
        <w:t xml:space="preserve"> le </w:t>
      </w:r>
      <w:r w:rsidRPr="00F1660D">
        <w:rPr>
          <w:lang w:val="fr-FR"/>
        </w:rPr>
        <w:t>moment était certes venu d</w:t>
      </w:r>
      <w:r w:rsidR="00CE30FD" w:rsidRPr="00F1660D">
        <w:rPr>
          <w:lang w:val="fr-FR"/>
        </w:rPr>
        <w:t>’</w:t>
      </w:r>
      <w:r w:rsidRPr="00F1660D">
        <w:rPr>
          <w:lang w:val="fr-FR"/>
        </w:rPr>
        <w:t>entrer dans une nouvelle ère en</w:t>
      </w:r>
      <w:r w:rsidR="00D50259" w:rsidRPr="00F1660D">
        <w:rPr>
          <w:lang w:val="fr-FR"/>
        </w:rPr>
        <w:t> </w:t>
      </w:r>
      <w:r w:rsidRPr="00F1660D">
        <w:rPr>
          <w:lang w:val="fr-FR"/>
        </w:rPr>
        <w:t>matière de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mais qu</w:t>
      </w:r>
      <w:r w:rsidR="00CE30FD" w:rsidRPr="00F1660D">
        <w:rPr>
          <w:lang w:val="fr-FR"/>
        </w:rPr>
        <w:t>’</w:t>
      </w:r>
      <w:r w:rsidRPr="00F1660D">
        <w:rPr>
          <w:lang w:val="fr-FR"/>
        </w:rPr>
        <w:t>il ne fallait pas pour autant laisser</w:t>
      </w:r>
      <w:r w:rsidR="00A50629" w:rsidRPr="00F1660D">
        <w:rPr>
          <w:lang w:val="fr-FR"/>
        </w:rPr>
        <w:t xml:space="preserve"> les </w:t>
      </w:r>
      <w:r w:rsidRPr="00F1660D">
        <w:rPr>
          <w:lang w:val="fr-FR"/>
        </w:rPr>
        <w:t>nouveaux objectifs ambitieux de l</w:t>
      </w:r>
      <w:r w:rsidR="00CE30FD" w:rsidRPr="00F1660D">
        <w:rPr>
          <w:lang w:val="fr-FR"/>
        </w:rPr>
        <w:t>’</w:t>
      </w:r>
      <w:r w:rsidRPr="00F1660D">
        <w:rPr>
          <w:lang w:val="fr-FR"/>
        </w:rPr>
        <w:t>après-2020 éclipser</w:t>
      </w:r>
      <w:r w:rsidR="00A50629" w:rsidRPr="00F1660D">
        <w:rPr>
          <w:lang w:val="fr-FR"/>
        </w:rPr>
        <w:t xml:space="preserve"> les </w:t>
      </w:r>
      <w:r w:rsidRPr="00F1660D">
        <w:rPr>
          <w:lang w:val="fr-FR"/>
        </w:rPr>
        <w:t>difficultés actuelles à atteindre l</w:t>
      </w:r>
      <w:r w:rsidR="00CE30FD" w:rsidRPr="00F1660D">
        <w:rPr>
          <w:lang w:val="fr-FR"/>
        </w:rPr>
        <w:t>’</w:t>
      </w:r>
      <w:r w:rsidRPr="00F1660D">
        <w:rPr>
          <w:lang w:val="fr-FR"/>
        </w:rPr>
        <w:t>objectif de gestion rationnelle</w:t>
      </w:r>
      <w:r w:rsidR="00A50629" w:rsidRPr="00F1660D">
        <w:rPr>
          <w:lang w:val="fr-FR"/>
        </w:rPr>
        <w:t xml:space="preserve"> des </w:t>
      </w:r>
      <w:r w:rsidRPr="00F1660D">
        <w:rPr>
          <w:lang w:val="fr-FR"/>
        </w:rPr>
        <w:t>produits chimiques d</w:t>
      </w:r>
      <w:r w:rsidR="00CE30FD" w:rsidRPr="00F1660D">
        <w:rPr>
          <w:lang w:val="fr-FR"/>
        </w:rPr>
        <w:t>’</w:t>
      </w:r>
      <w:r w:rsidRPr="00F1660D">
        <w:rPr>
          <w:lang w:val="fr-FR"/>
        </w:rPr>
        <w:t>ici 2020. Il convenait de renforcer davantage</w:t>
      </w:r>
      <w:r w:rsidR="00A50629" w:rsidRPr="00F1660D">
        <w:rPr>
          <w:lang w:val="fr-FR"/>
        </w:rPr>
        <w:t xml:space="preserve"> les </w:t>
      </w:r>
      <w:r w:rsidRPr="00F1660D">
        <w:rPr>
          <w:lang w:val="fr-FR"/>
        </w:rPr>
        <w:t>activités en cours, en tenant dûment compte de divers principes, dont celui</w:t>
      </w:r>
      <w:r w:rsidR="00A50629" w:rsidRPr="00F1660D">
        <w:rPr>
          <w:lang w:val="fr-FR"/>
        </w:rPr>
        <w:t xml:space="preserve"> des </w:t>
      </w:r>
      <w:r w:rsidRPr="00F1660D">
        <w:rPr>
          <w:lang w:val="fr-FR"/>
        </w:rPr>
        <w:t>responsabilités communes mais différenciées et celui d</w:t>
      </w:r>
      <w:r w:rsidR="00CE30FD" w:rsidRPr="00F1660D">
        <w:rPr>
          <w:lang w:val="fr-FR"/>
        </w:rPr>
        <w:t>’</w:t>
      </w:r>
      <w:r w:rsidRPr="00F1660D">
        <w:rPr>
          <w:lang w:val="fr-FR"/>
        </w:rPr>
        <w:t>intensification de</w:t>
      </w:r>
      <w:r w:rsidR="00A50629" w:rsidRPr="00F1660D">
        <w:rPr>
          <w:lang w:val="fr-FR"/>
        </w:rPr>
        <w:t xml:space="preserve"> la </w:t>
      </w:r>
      <w:r w:rsidRPr="00F1660D">
        <w:rPr>
          <w:lang w:val="fr-FR"/>
        </w:rPr>
        <w:t>collaboration régionale. La Déclaration de Dubaï sur</w:t>
      </w:r>
      <w:r w:rsidR="00A50629" w:rsidRPr="00F1660D">
        <w:rPr>
          <w:lang w:val="fr-FR"/>
        </w:rPr>
        <w:t xml:space="preserve"> la </w:t>
      </w:r>
      <w:r w:rsidRPr="00F1660D">
        <w:rPr>
          <w:lang w:val="fr-FR"/>
        </w:rPr>
        <w:t>gestion internationale</w:t>
      </w:r>
      <w:r w:rsidR="00A50629" w:rsidRPr="00F1660D">
        <w:rPr>
          <w:lang w:val="fr-FR"/>
        </w:rPr>
        <w:t xml:space="preserve"> des </w:t>
      </w:r>
      <w:r w:rsidRPr="00F1660D">
        <w:rPr>
          <w:lang w:val="fr-FR"/>
        </w:rPr>
        <w:t>produits chimiques,</w:t>
      </w:r>
      <w:r w:rsidR="00A50629" w:rsidRPr="00F1660D">
        <w:rPr>
          <w:lang w:val="fr-FR"/>
        </w:rPr>
        <w:t xml:space="preserve"> les </w:t>
      </w:r>
      <w:r w:rsidRPr="00F1660D">
        <w:rPr>
          <w:lang w:val="fr-FR"/>
        </w:rPr>
        <w:t>orientations générales et directives concernant</w:t>
      </w:r>
      <w:r w:rsidR="00A50629" w:rsidRPr="00F1660D">
        <w:rPr>
          <w:lang w:val="fr-FR"/>
        </w:rPr>
        <w:t xml:space="preserve"> la </w:t>
      </w:r>
      <w:r w:rsidRPr="00F1660D">
        <w:rPr>
          <w:lang w:val="fr-FR"/>
        </w:rPr>
        <w:t>réalisation de l</w:t>
      </w:r>
      <w:r w:rsidR="00CE30FD" w:rsidRPr="00F1660D">
        <w:rPr>
          <w:lang w:val="fr-FR"/>
        </w:rPr>
        <w:t>’</w:t>
      </w:r>
      <w:r w:rsidRPr="00F1660D">
        <w:rPr>
          <w:lang w:val="fr-FR"/>
        </w:rPr>
        <w:t>objectif d</w:t>
      </w:r>
      <w:r w:rsidR="00CE30FD" w:rsidRPr="00F1660D">
        <w:rPr>
          <w:lang w:val="fr-FR"/>
        </w:rPr>
        <w:t>’</w:t>
      </w:r>
      <w:r w:rsidRPr="00F1660D">
        <w:rPr>
          <w:lang w:val="fr-FR"/>
        </w:rPr>
        <w:t>une gestion rationnelle</w:t>
      </w:r>
      <w:r w:rsidR="00A50629" w:rsidRPr="00F1660D">
        <w:rPr>
          <w:lang w:val="fr-FR"/>
        </w:rPr>
        <w:t xml:space="preserve"> des </w:t>
      </w:r>
      <w:r w:rsidRPr="00F1660D">
        <w:rPr>
          <w:lang w:val="fr-FR"/>
        </w:rPr>
        <w:t>produits chimiq</w:t>
      </w:r>
      <w:r w:rsidR="007320A4" w:rsidRPr="00F1660D">
        <w:rPr>
          <w:lang w:val="fr-FR"/>
        </w:rPr>
        <w:t>ues fixé pour 2020, avec ses 11 points fondamentaux et 6 </w:t>
      </w:r>
      <w:r w:rsidRPr="00F1660D">
        <w:rPr>
          <w:lang w:val="fr-FR"/>
        </w:rPr>
        <w:t>domaines d</w:t>
      </w:r>
      <w:r w:rsidR="00CE30FD" w:rsidRPr="00F1660D">
        <w:rPr>
          <w:lang w:val="fr-FR"/>
        </w:rPr>
        <w:t>’</w:t>
      </w:r>
      <w:r w:rsidRPr="00F1660D">
        <w:rPr>
          <w:lang w:val="fr-FR"/>
        </w:rPr>
        <w:t>activité principaux, et</w:t>
      </w:r>
      <w:r w:rsidR="00A50629" w:rsidRPr="00F1660D">
        <w:rPr>
          <w:lang w:val="fr-FR"/>
        </w:rPr>
        <w:t xml:space="preserve"> le </w:t>
      </w:r>
      <w:r w:rsidRPr="00F1660D">
        <w:rPr>
          <w:lang w:val="fr-FR"/>
        </w:rPr>
        <w:t>Plan d</w:t>
      </w:r>
      <w:r w:rsidR="00CE30FD" w:rsidRPr="00F1660D">
        <w:rPr>
          <w:lang w:val="fr-FR"/>
        </w:rPr>
        <w:t>’</w:t>
      </w:r>
      <w:r w:rsidRPr="00F1660D">
        <w:rPr>
          <w:lang w:val="fr-FR"/>
        </w:rPr>
        <w:t>action mondial de l</w:t>
      </w:r>
      <w:r w:rsidR="00CE30FD" w:rsidRPr="00F1660D">
        <w:rPr>
          <w:lang w:val="fr-FR"/>
        </w:rPr>
        <w:t>’</w:t>
      </w:r>
      <w:r w:rsidRPr="00F1660D">
        <w:rPr>
          <w:lang w:val="fr-FR"/>
        </w:rPr>
        <w:t>Approche stratégique étaient</w:t>
      </w:r>
      <w:r w:rsidR="00A50629" w:rsidRPr="00F1660D">
        <w:rPr>
          <w:lang w:val="fr-FR"/>
        </w:rPr>
        <w:t xml:space="preserve"> des </w:t>
      </w:r>
      <w:r w:rsidRPr="00F1660D">
        <w:rPr>
          <w:lang w:val="fr-FR"/>
        </w:rPr>
        <w:t>outils utiles pour évaluer et améliorer</w:t>
      </w:r>
      <w:r w:rsidR="00A50629" w:rsidRPr="00F1660D">
        <w:rPr>
          <w:lang w:val="fr-FR"/>
        </w:rPr>
        <w:t xml:space="preserve"> la </w:t>
      </w:r>
      <w:r w:rsidRPr="00F1660D">
        <w:rPr>
          <w:lang w:val="fr-FR"/>
        </w:rPr>
        <w:t>mise en œuvre d</w:t>
      </w:r>
      <w:r w:rsidR="00CE30FD" w:rsidRPr="00F1660D">
        <w:rPr>
          <w:lang w:val="fr-FR"/>
        </w:rPr>
        <w:t>’</w:t>
      </w:r>
      <w:r w:rsidRPr="00F1660D">
        <w:rPr>
          <w:lang w:val="fr-FR"/>
        </w:rPr>
        <w:t>ici à 2020. Divers documents avaient fait ressortir l</w:t>
      </w:r>
      <w:r w:rsidR="00CE30FD" w:rsidRPr="00F1660D">
        <w:rPr>
          <w:lang w:val="fr-FR"/>
        </w:rPr>
        <w:t>’</w:t>
      </w:r>
      <w:r w:rsidRPr="00F1660D">
        <w:rPr>
          <w:lang w:val="fr-FR"/>
        </w:rPr>
        <w:t>existence d</w:t>
      </w:r>
      <w:r w:rsidR="00CE30FD" w:rsidRPr="00F1660D">
        <w:rPr>
          <w:lang w:val="fr-FR"/>
        </w:rPr>
        <w:t>’</w:t>
      </w:r>
      <w:r w:rsidRPr="00F1660D">
        <w:rPr>
          <w:lang w:val="fr-FR"/>
        </w:rPr>
        <w:t>écarts importants entre pays développés et pays en développement en ce qui concerne</w:t>
      </w:r>
      <w:r w:rsidR="00A50629" w:rsidRPr="00F1660D">
        <w:rPr>
          <w:lang w:val="fr-FR"/>
        </w:rPr>
        <w:t xml:space="preserve"> la </w:t>
      </w:r>
      <w:r w:rsidRPr="00F1660D">
        <w:rPr>
          <w:lang w:val="fr-FR"/>
        </w:rPr>
        <w:t>gestion rat</w:t>
      </w:r>
      <w:r w:rsidR="007320A4" w:rsidRPr="00F1660D">
        <w:rPr>
          <w:lang w:val="fr-FR"/>
        </w:rPr>
        <w:t>ionnelle</w:t>
      </w:r>
      <w:r w:rsidR="00A50629" w:rsidRPr="00F1660D">
        <w:rPr>
          <w:lang w:val="fr-FR"/>
        </w:rPr>
        <w:t xml:space="preserve"> des </w:t>
      </w:r>
      <w:r w:rsidR="007320A4" w:rsidRPr="00F1660D">
        <w:rPr>
          <w:lang w:val="fr-FR"/>
        </w:rPr>
        <w:t>produits chimiques </w:t>
      </w:r>
      <w:r w:rsidRPr="00F1660D">
        <w:rPr>
          <w:lang w:val="fr-FR"/>
        </w:rPr>
        <w:t>;</w:t>
      </w:r>
      <w:r w:rsidR="00A50629" w:rsidRPr="00F1660D">
        <w:rPr>
          <w:lang w:val="fr-FR"/>
        </w:rPr>
        <w:t xml:space="preserve"> la </w:t>
      </w:r>
      <w:r w:rsidRPr="00F1660D">
        <w:rPr>
          <w:lang w:val="fr-FR"/>
        </w:rPr>
        <w:t>croissance du commerce international de produits chimiques et</w:t>
      </w:r>
      <w:r w:rsidR="00A50629" w:rsidRPr="00F1660D">
        <w:rPr>
          <w:lang w:val="fr-FR"/>
        </w:rPr>
        <w:t xml:space="preserve"> des </w:t>
      </w:r>
      <w:r w:rsidRPr="00F1660D">
        <w:rPr>
          <w:lang w:val="fr-FR"/>
        </w:rPr>
        <w:t>déséquili</w:t>
      </w:r>
      <w:r w:rsidR="003D2C44" w:rsidRPr="00F1660D">
        <w:rPr>
          <w:lang w:val="fr-FR"/>
        </w:rPr>
        <w:t>bres antérieurs dans ce domaine </w:t>
      </w:r>
      <w:r w:rsidRPr="00F1660D">
        <w:rPr>
          <w:lang w:val="fr-FR"/>
        </w:rPr>
        <w:t>;</w:t>
      </w:r>
      <w:r w:rsidR="00A50629" w:rsidRPr="00F1660D">
        <w:rPr>
          <w:lang w:val="fr-FR"/>
        </w:rPr>
        <w:t xml:space="preserve"> le </w:t>
      </w:r>
      <w:r w:rsidRPr="00F1660D">
        <w:rPr>
          <w:lang w:val="fr-FR"/>
        </w:rPr>
        <w:t>besoin d</w:t>
      </w:r>
      <w:r w:rsidR="00CE30FD" w:rsidRPr="00F1660D">
        <w:rPr>
          <w:lang w:val="fr-FR"/>
        </w:rPr>
        <w:t>’</w:t>
      </w:r>
      <w:r w:rsidRPr="00F1660D">
        <w:rPr>
          <w:lang w:val="fr-FR"/>
        </w:rPr>
        <w:t>assistance technique, de soutien financier et de transfert de technologie</w:t>
      </w:r>
      <w:r w:rsidR="007320A4" w:rsidRPr="00F1660D">
        <w:rPr>
          <w:lang w:val="fr-FR"/>
        </w:rPr>
        <w:t> </w:t>
      </w:r>
      <w:r w:rsidRPr="00F1660D">
        <w:rPr>
          <w:lang w:val="fr-FR"/>
        </w:rPr>
        <w:t>; l</w:t>
      </w:r>
      <w:r w:rsidR="00CE30FD" w:rsidRPr="00F1660D">
        <w:rPr>
          <w:lang w:val="fr-FR"/>
        </w:rPr>
        <w:t>’</w:t>
      </w:r>
      <w:r w:rsidRPr="00F1660D">
        <w:rPr>
          <w:lang w:val="fr-FR"/>
        </w:rPr>
        <w:t>importance d</w:t>
      </w:r>
      <w:r w:rsidR="00CE30FD" w:rsidRPr="00F1660D">
        <w:rPr>
          <w:lang w:val="fr-FR"/>
        </w:rPr>
        <w:t>’</w:t>
      </w:r>
      <w:r w:rsidRPr="00F1660D">
        <w:rPr>
          <w:lang w:val="fr-FR"/>
        </w:rPr>
        <w:t>avoir</w:t>
      </w:r>
      <w:r w:rsidR="00A50629" w:rsidRPr="00F1660D">
        <w:rPr>
          <w:lang w:val="fr-FR"/>
        </w:rPr>
        <w:t xml:space="preserve"> des </w:t>
      </w:r>
      <w:r w:rsidRPr="00F1660D">
        <w:rPr>
          <w:lang w:val="fr-FR"/>
        </w:rPr>
        <w:t>ressources financières spécifiques, durables, adéquates et accessibles pour parvenir à 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w:t>
      </w:r>
      <w:r w:rsidR="00A50629" w:rsidRPr="00F1660D">
        <w:rPr>
          <w:lang w:val="fr-FR"/>
        </w:rPr>
        <w:t xml:space="preserve"> la </w:t>
      </w:r>
      <w:r w:rsidRPr="00F1660D">
        <w:rPr>
          <w:lang w:val="fr-FR"/>
        </w:rPr>
        <w:t>nécessité de maintenir</w:t>
      </w:r>
      <w:r w:rsidR="00A50629" w:rsidRPr="00F1660D">
        <w:rPr>
          <w:lang w:val="fr-FR"/>
        </w:rPr>
        <w:t xml:space="preserve"> les </w:t>
      </w:r>
      <w:r w:rsidRPr="00F1660D">
        <w:rPr>
          <w:lang w:val="fr-FR"/>
        </w:rPr>
        <w:t xml:space="preserve">contributions </w:t>
      </w:r>
      <w:r w:rsidR="007436D8" w:rsidRPr="00F1660D">
        <w:rPr>
          <w:lang w:val="fr-FR"/>
        </w:rPr>
        <w:t>continues</w:t>
      </w:r>
      <w:r w:rsidR="00A50629" w:rsidRPr="00F1660D">
        <w:rPr>
          <w:lang w:val="fr-FR"/>
        </w:rPr>
        <w:t xml:space="preserve"> des </w:t>
      </w:r>
      <w:r w:rsidRPr="00F1660D">
        <w:rPr>
          <w:lang w:val="fr-FR"/>
        </w:rPr>
        <w:t xml:space="preserve">organisations </w:t>
      </w:r>
      <w:r w:rsidR="0066684F" w:rsidRPr="00F1660D">
        <w:rPr>
          <w:lang w:val="fr-FR"/>
        </w:rPr>
        <w:t>participant au</w:t>
      </w:r>
      <w:r w:rsidRPr="00F1660D">
        <w:rPr>
          <w:lang w:val="fr-FR"/>
        </w:rPr>
        <w:t xml:space="preserve"> 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(IOMC), en lui attribuant</w:t>
      </w:r>
      <w:r w:rsidR="00A50629" w:rsidRPr="00F1660D">
        <w:rPr>
          <w:lang w:val="fr-FR"/>
        </w:rPr>
        <w:t xml:space="preserve"> des </w:t>
      </w:r>
      <w:r w:rsidRPr="00F1660D">
        <w:rPr>
          <w:lang w:val="fr-FR"/>
        </w:rPr>
        <w:t>ressources adéqu</w:t>
      </w:r>
      <w:r w:rsidR="007320A4" w:rsidRPr="00F1660D">
        <w:rPr>
          <w:lang w:val="fr-FR"/>
        </w:rPr>
        <w:t>ates et plus de responsabilités </w:t>
      </w:r>
      <w:r w:rsidRPr="00F1660D">
        <w:rPr>
          <w:lang w:val="fr-FR"/>
        </w:rPr>
        <w:t>; et</w:t>
      </w:r>
      <w:r w:rsidR="00A50629" w:rsidRPr="00F1660D">
        <w:rPr>
          <w:lang w:val="fr-FR"/>
        </w:rPr>
        <w:t xml:space="preserve"> la </w:t>
      </w:r>
      <w:r w:rsidRPr="00F1660D">
        <w:rPr>
          <w:lang w:val="fr-FR"/>
        </w:rPr>
        <w:t>nécessité d</w:t>
      </w:r>
      <w:r w:rsidR="00CE30FD" w:rsidRPr="00F1660D">
        <w:rPr>
          <w:lang w:val="fr-FR"/>
        </w:rPr>
        <w:t>’</w:t>
      </w:r>
      <w:r w:rsidRPr="00F1660D">
        <w:rPr>
          <w:lang w:val="fr-FR"/>
        </w:rPr>
        <w:t>étendre</w:t>
      </w:r>
      <w:r w:rsidR="00A50629" w:rsidRPr="00F1660D">
        <w:rPr>
          <w:lang w:val="fr-FR"/>
        </w:rPr>
        <w:t xml:space="preserve"> la </w:t>
      </w:r>
      <w:r w:rsidRPr="00F1660D">
        <w:rPr>
          <w:lang w:val="fr-FR"/>
        </w:rPr>
        <w:t>responsabilité élargie du producteur à l</w:t>
      </w:r>
      <w:r w:rsidR="00CE30FD" w:rsidRPr="00F1660D">
        <w:rPr>
          <w:lang w:val="fr-FR"/>
        </w:rPr>
        <w:t>’</w:t>
      </w:r>
      <w:r w:rsidRPr="00F1660D">
        <w:rPr>
          <w:lang w:val="fr-FR"/>
        </w:rPr>
        <w:t>ensemble du cycle de vie</w:t>
      </w:r>
      <w:r w:rsidR="00A50629" w:rsidRPr="00F1660D">
        <w:rPr>
          <w:lang w:val="fr-FR"/>
        </w:rPr>
        <w:t xml:space="preserve"> des </w:t>
      </w:r>
      <w:r w:rsidRPr="00F1660D">
        <w:rPr>
          <w:lang w:val="fr-FR"/>
        </w:rPr>
        <w:t>produits chimiques. La définition d</w:t>
      </w:r>
      <w:r w:rsidR="00CE30FD" w:rsidRPr="00F1660D">
        <w:rPr>
          <w:lang w:val="fr-FR"/>
        </w:rPr>
        <w:t>’</w:t>
      </w:r>
      <w:r w:rsidRPr="00F1660D">
        <w:rPr>
          <w:lang w:val="fr-FR"/>
        </w:rPr>
        <w:t>une approche et d</w:t>
      </w:r>
      <w:r w:rsidR="00CE30FD" w:rsidRPr="00F1660D">
        <w:rPr>
          <w:lang w:val="fr-FR"/>
        </w:rPr>
        <w:t>’</w:t>
      </w:r>
      <w:r w:rsidRPr="00F1660D">
        <w:rPr>
          <w:lang w:val="fr-FR"/>
        </w:rPr>
        <w:t>une structure globales attrayantes pour</w:t>
      </w:r>
      <w:r w:rsidR="00A50629" w:rsidRPr="00F1660D">
        <w:rPr>
          <w:lang w:val="fr-FR"/>
        </w:rPr>
        <w:t xml:space="preserve"> le </w:t>
      </w:r>
      <w:r w:rsidRPr="00F1660D">
        <w:rPr>
          <w:lang w:val="fr-FR"/>
        </w:rPr>
        <w:t>cadre envisagé après 2020 nécessiterait</w:t>
      </w:r>
      <w:r w:rsidR="00A50629" w:rsidRPr="00F1660D">
        <w:rPr>
          <w:lang w:val="fr-FR"/>
        </w:rPr>
        <w:t xml:space="preserve"> des </w:t>
      </w:r>
      <w:r w:rsidRPr="00F1660D">
        <w:rPr>
          <w:lang w:val="fr-FR"/>
        </w:rPr>
        <w:t>délibérations approfondies, inclusives et transparentes tenant compte</w:t>
      </w:r>
      <w:r w:rsidR="00A50629" w:rsidRPr="00F1660D">
        <w:rPr>
          <w:lang w:val="fr-FR"/>
        </w:rPr>
        <w:t xml:space="preserve"> des </w:t>
      </w:r>
      <w:r w:rsidRPr="00F1660D">
        <w:rPr>
          <w:lang w:val="fr-FR"/>
        </w:rPr>
        <w:t>besoins</w:t>
      </w:r>
      <w:r w:rsidR="00A50629" w:rsidRPr="00F1660D">
        <w:rPr>
          <w:lang w:val="fr-FR"/>
        </w:rPr>
        <w:t xml:space="preserve"> des </w:t>
      </w:r>
      <w:r w:rsidRPr="00F1660D">
        <w:rPr>
          <w:lang w:val="fr-FR"/>
        </w:rPr>
        <w:t>pays de</w:t>
      </w:r>
      <w:r w:rsidR="00A50629" w:rsidRPr="00F1660D">
        <w:rPr>
          <w:lang w:val="fr-FR"/>
        </w:rPr>
        <w:t xml:space="preserve"> la </w:t>
      </w:r>
      <w:r w:rsidRPr="00F1660D">
        <w:rPr>
          <w:lang w:val="fr-FR"/>
        </w:rPr>
        <w:t>région Asie-Pacifique.</w:t>
      </w:r>
    </w:p>
    <w:p w14:paraId="6B2F28F0" w14:textId="23CD1C74" w:rsidR="004418CE" w:rsidRPr="00F1660D" w:rsidRDefault="004418CE" w:rsidP="00733A1C">
      <w:pPr>
        <w:pStyle w:val="Normalnumber"/>
        <w:rPr>
          <w:lang w:val="fr-FR"/>
        </w:rPr>
      </w:pPr>
      <w:r w:rsidRPr="00F1660D">
        <w:rPr>
          <w:lang w:val="fr-FR"/>
        </w:rPr>
        <w:t>S</w:t>
      </w:r>
      <w:r w:rsidR="00CE30FD" w:rsidRPr="00F1660D">
        <w:rPr>
          <w:lang w:val="fr-FR"/>
        </w:rPr>
        <w:t>’</w:t>
      </w:r>
      <w:r w:rsidRPr="00F1660D">
        <w:rPr>
          <w:lang w:val="fr-FR"/>
        </w:rPr>
        <w:t>exprimant</w:t>
      </w:r>
      <w:r w:rsidR="00A50629" w:rsidRPr="00F1660D">
        <w:rPr>
          <w:lang w:val="fr-FR"/>
        </w:rPr>
        <w:t xml:space="preserve"> au </w:t>
      </w:r>
      <w:r w:rsidRPr="00F1660D">
        <w:rPr>
          <w:lang w:val="fr-FR"/>
        </w:rPr>
        <w:t>nom du groupe</w:t>
      </w:r>
      <w:r w:rsidR="00A50629" w:rsidRPr="00F1660D">
        <w:rPr>
          <w:lang w:val="fr-FR"/>
        </w:rPr>
        <w:t xml:space="preserve"> des </w:t>
      </w:r>
      <w:r w:rsidRPr="00F1660D">
        <w:rPr>
          <w:lang w:val="fr-FR"/>
        </w:rPr>
        <w:t>États d</w:t>
      </w:r>
      <w:r w:rsidR="00CE30FD" w:rsidRPr="00F1660D">
        <w:rPr>
          <w:lang w:val="fr-FR"/>
        </w:rPr>
        <w:t>’</w:t>
      </w:r>
      <w:r w:rsidRPr="00F1660D">
        <w:rPr>
          <w:lang w:val="fr-FR"/>
        </w:rPr>
        <w:t>Amérique latine et</w:t>
      </w:r>
      <w:r w:rsidR="00A50629" w:rsidRPr="00F1660D">
        <w:rPr>
          <w:lang w:val="fr-FR"/>
        </w:rPr>
        <w:t xml:space="preserve"> des </w:t>
      </w:r>
      <w:r w:rsidRPr="00F1660D">
        <w:rPr>
          <w:lang w:val="fr-FR"/>
        </w:rPr>
        <w:t>Caraïbes,</w:t>
      </w:r>
      <w:r w:rsidR="00A50629" w:rsidRPr="00F1660D">
        <w:rPr>
          <w:lang w:val="fr-FR"/>
        </w:rPr>
        <w:t xml:space="preserve"> le </w:t>
      </w:r>
      <w:r w:rsidRPr="00F1660D">
        <w:rPr>
          <w:lang w:val="fr-FR"/>
        </w:rPr>
        <w:t>représentant de</w:t>
      </w:r>
      <w:r w:rsidR="00D50259" w:rsidRPr="00F1660D">
        <w:rPr>
          <w:lang w:val="fr-FR"/>
        </w:rPr>
        <w:t> </w:t>
      </w:r>
      <w:r w:rsidRPr="00F1660D">
        <w:rPr>
          <w:lang w:val="fr-FR"/>
        </w:rPr>
        <w:t>l</w:t>
      </w:r>
      <w:r w:rsidR="00CE30FD" w:rsidRPr="00F1660D">
        <w:rPr>
          <w:lang w:val="fr-FR"/>
        </w:rPr>
        <w:t>’</w:t>
      </w:r>
      <w:r w:rsidRPr="00F1660D">
        <w:rPr>
          <w:lang w:val="fr-FR"/>
        </w:rPr>
        <w:t>Argentine a convenu de</w:t>
      </w:r>
      <w:r w:rsidR="00A50629" w:rsidRPr="00F1660D">
        <w:rPr>
          <w:lang w:val="fr-FR"/>
        </w:rPr>
        <w:t xml:space="preserve"> la </w:t>
      </w:r>
      <w:r w:rsidRPr="00F1660D">
        <w:rPr>
          <w:lang w:val="fr-FR"/>
        </w:rPr>
        <w:t>nécessité d</w:t>
      </w:r>
      <w:r w:rsidR="00CE30FD" w:rsidRPr="00F1660D">
        <w:rPr>
          <w:lang w:val="fr-FR"/>
        </w:rPr>
        <w:t>’</w:t>
      </w:r>
      <w:r w:rsidRPr="00F1660D">
        <w:rPr>
          <w:lang w:val="fr-FR"/>
        </w:rPr>
        <w:t>un cadre général intégré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connexes. Ce cadre devrait répondre à</w:t>
      </w:r>
      <w:r w:rsidR="00A50629" w:rsidRPr="00F1660D">
        <w:rPr>
          <w:lang w:val="fr-FR"/>
        </w:rPr>
        <w:t xml:space="preserve"> la </w:t>
      </w:r>
      <w:r w:rsidRPr="00F1660D">
        <w:rPr>
          <w:lang w:val="fr-FR"/>
        </w:rPr>
        <w:t>nécessité d</w:t>
      </w:r>
      <w:r w:rsidR="00CE30FD" w:rsidRPr="00F1660D">
        <w:rPr>
          <w:lang w:val="fr-FR"/>
        </w:rPr>
        <w:t>’</w:t>
      </w:r>
      <w:r w:rsidRPr="00F1660D">
        <w:rPr>
          <w:lang w:val="fr-FR"/>
        </w:rPr>
        <w:t>élaborer, de</w:t>
      </w:r>
      <w:r w:rsidR="00D50259" w:rsidRPr="00F1660D">
        <w:rPr>
          <w:lang w:val="fr-FR"/>
        </w:rPr>
        <w:t> </w:t>
      </w:r>
      <w:r w:rsidRPr="00F1660D">
        <w:rPr>
          <w:lang w:val="fr-FR"/>
        </w:rPr>
        <w:t>mettre en place et d</w:t>
      </w:r>
      <w:r w:rsidR="00CE30FD" w:rsidRPr="00F1660D">
        <w:rPr>
          <w:lang w:val="fr-FR"/>
        </w:rPr>
        <w:t>’</w:t>
      </w:r>
      <w:r w:rsidRPr="00F1660D">
        <w:rPr>
          <w:lang w:val="fr-FR"/>
        </w:rPr>
        <w:t>appliquer</w:t>
      </w:r>
      <w:r w:rsidR="00A50629" w:rsidRPr="00F1660D">
        <w:rPr>
          <w:lang w:val="fr-FR"/>
        </w:rPr>
        <w:t xml:space="preserve"> des </w:t>
      </w:r>
      <w:r w:rsidRPr="00F1660D">
        <w:rPr>
          <w:lang w:val="fr-FR"/>
        </w:rPr>
        <w:t>législations et politiques de base en matière de gestion, inclure et intégrer tous</w:t>
      </w:r>
      <w:r w:rsidR="00A50629" w:rsidRPr="00F1660D">
        <w:rPr>
          <w:lang w:val="fr-FR"/>
        </w:rPr>
        <w:t xml:space="preserve"> les </w:t>
      </w:r>
      <w:r w:rsidRPr="00F1660D">
        <w:rPr>
          <w:lang w:val="fr-FR"/>
        </w:rPr>
        <w:t>instruments internationaux en vigueur et rechercher</w:t>
      </w:r>
      <w:r w:rsidR="00A50629" w:rsidRPr="00F1660D">
        <w:rPr>
          <w:lang w:val="fr-FR"/>
        </w:rPr>
        <w:t xml:space="preserve"> les </w:t>
      </w:r>
      <w:r w:rsidR="007320A4" w:rsidRPr="00F1660D">
        <w:rPr>
          <w:lang w:val="fr-FR"/>
        </w:rPr>
        <w:t>synergies et</w:t>
      </w:r>
      <w:r w:rsidR="00A50629" w:rsidRPr="00F1660D">
        <w:rPr>
          <w:lang w:val="fr-FR"/>
        </w:rPr>
        <w:t xml:space="preserve"> la </w:t>
      </w:r>
      <w:r w:rsidR="007320A4" w:rsidRPr="00F1660D">
        <w:rPr>
          <w:lang w:val="fr-FR"/>
        </w:rPr>
        <w:t>cohérence. Il </w:t>
      </w:r>
      <w:r w:rsidRPr="00F1660D">
        <w:rPr>
          <w:lang w:val="fr-FR"/>
        </w:rPr>
        <w:t>devrait être ambitieux, intemporel et inclusif, et néanmoins simple, clair et concis. Il devrait couvrir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 xml:space="preserve">produits chimiques et de toute forme de déchets associés à ces produits, </w:t>
      </w:r>
      <w:r w:rsidR="007436D8" w:rsidRPr="00F1660D">
        <w:rPr>
          <w:lang w:val="fr-FR"/>
        </w:rPr>
        <w:t>compte tenu de</w:t>
      </w:r>
      <w:r w:rsidRPr="00F1660D">
        <w:rPr>
          <w:lang w:val="fr-FR"/>
        </w:rPr>
        <w:t xml:space="preserve"> l</w:t>
      </w:r>
      <w:r w:rsidR="00CE30FD" w:rsidRPr="00F1660D">
        <w:rPr>
          <w:lang w:val="fr-FR"/>
        </w:rPr>
        <w:t>’</w:t>
      </w:r>
      <w:r w:rsidRPr="00F1660D">
        <w:rPr>
          <w:lang w:val="fr-FR"/>
        </w:rPr>
        <w:t>approche du cycle de vie incorporée dans l</w:t>
      </w:r>
      <w:r w:rsidR="00CE30FD" w:rsidRPr="00F1660D">
        <w:rPr>
          <w:lang w:val="fr-FR"/>
        </w:rPr>
        <w:t>’</w:t>
      </w:r>
      <w:r w:rsidRPr="00F1660D">
        <w:rPr>
          <w:lang w:val="fr-FR"/>
        </w:rPr>
        <w:t>objectif 2020 de l</w:t>
      </w:r>
      <w:r w:rsidR="00CE30FD" w:rsidRPr="00F1660D">
        <w:rPr>
          <w:lang w:val="fr-FR"/>
        </w:rPr>
        <w:t>’</w:t>
      </w:r>
      <w:r w:rsidR="001826AD" w:rsidRPr="00F1660D">
        <w:rPr>
          <w:lang w:val="fr-FR"/>
        </w:rPr>
        <w:t>A</w:t>
      </w:r>
      <w:r w:rsidRPr="00F1660D">
        <w:rPr>
          <w:lang w:val="fr-FR"/>
        </w:rPr>
        <w:t xml:space="preserve">pproche stratégique et contribuer </w:t>
      </w:r>
      <w:r w:rsidR="001826AD" w:rsidRPr="00F1660D">
        <w:rPr>
          <w:lang w:val="fr-FR"/>
        </w:rPr>
        <w:t xml:space="preserve">à la réalisation des </w:t>
      </w:r>
      <w:r w:rsidRPr="00F1660D">
        <w:rPr>
          <w:lang w:val="fr-FR"/>
        </w:rPr>
        <w:t>objectifs de développement durable. Son approche devrait être multisectorielle,</w:t>
      </w:r>
      <w:r w:rsidR="00A50629" w:rsidRPr="00F1660D">
        <w:rPr>
          <w:lang w:val="fr-FR"/>
        </w:rPr>
        <w:t xml:space="preserve"> la </w:t>
      </w:r>
      <w:r w:rsidRPr="00F1660D">
        <w:rPr>
          <w:lang w:val="fr-FR"/>
        </w:rPr>
        <w:t>participation du secteur de</w:t>
      </w:r>
      <w:r w:rsidR="00A50629" w:rsidRPr="00F1660D">
        <w:rPr>
          <w:lang w:val="fr-FR"/>
        </w:rPr>
        <w:t xml:space="preserve"> la </w:t>
      </w:r>
      <w:r w:rsidRPr="00F1660D">
        <w:rPr>
          <w:lang w:val="fr-FR"/>
        </w:rPr>
        <w:t>santé étant essentielle, et devrait accorder une importance particulière aux droits humains. Elle devrait renforcer</w:t>
      </w:r>
      <w:r w:rsidR="00A50629" w:rsidRPr="00F1660D">
        <w:rPr>
          <w:lang w:val="fr-FR"/>
        </w:rPr>
        <w:t xml:space="preserve"> la </w:t>
      </w:r>
      <w:r w:rsidRPr="00F1660D">
        <w:rPr>
          <w:lang w:val="fr-FR"/>
        </w:rPr>
        <w:t>capacité</w:t>
      </w:r>
      <w:r w:rsidR="00A50629" w:rsidRPr="00F1660D">
        <w:rPr>
          <w:lang w:val="fr-FR"/>
        </w:rPr>
        <w:t xml:space="preserve"> des </w:t>
      </w:r>
      <w:r w:rsidRPr="00F1660D">
        <w:rPr>
          <w:lang w:val="fr-FR"/>
        </w:rPr>
        <w:t>pays en développement en matière de gestion intégrée et promouvoir</w:t>
      </w:r>
      <w:r w:rsidR="00A50629" w:rsidRPr="00F1660D">
        <w:rPr>
          <w:lang w:val="fr-FR"/>
        </w:rPr>
        <w:t xml:space="preserve"> le </w:t>
      </w:r>
      <w:r w:rsidRPr="00F1660D">
        <w:rPr>
          <w:lang w:val="fr-FR"/>
        </w:rPr>
        <w:t>transfert de technologies plus propres et plus sûres vers ces pays. Elle devrait également concourir à une interface robuste entre science et politique. Ses objectifs devraient inclure</w:t>
      </w:r>
      <w:r w:rsidR="00A50629" w:rsidRPr="00F1660D">
        <w:rPr>
          <w:lang w:val="fr-FR"/>
        </w:rPr>
        <w:t xml:space="preserve"> la </w:t>
      </w:r>
      <w:r w:rsidRPr="00F1660D">
        <w:rPr>
          <w:lang w:val="fr-FR"/>
        </w:rPr>
        <w:t>mobilisation de ressources financières et non financières adéquates pour</w:t>
      </w:r>
      <w:r w:rsidR="00A50629" w:rsidRPr="00F1660D">
        <w:rPr>
          <w:lang w:val="fr-FR"/>
        </w:rPr>
        <w:t xml:space="preserve"> la </w:t>
      </w:r>
      <w:r w:rsidRPr="00F1660D">
        <w:rPr>
          <w:lang w:val="fr-FR"/>
        </w:rPr>
        <w:t>mise en œuvre, étant donné qu</w:t>
      </w:r>
      <w:r w:rsidR="00CE30FD" w:rsidRPr="00F1660D">
        <w:rPr>
          <w:lang w:val="fr-FR"/>
        </w:rPr>
        <w:t>’</w:t>
      </w:r>
      <w:r w:rsidRPr="00F1660D">
        <w:rPr>
          <w:lang w:val="fr-FR"/>
        </w:rPr>
        <w:t>un financement à long terme</w:t>
      </w:r>
      <w:r w:rsidR="00566166" w:rsidRPr="00F1660D">
        <w:rPr>
          <w:lang w:val="fr-FR"/>
        </w:rPr>
        <w:t>,</w:t>
      </w:r>
      <w:r w:rsidRPr="00F1660D">
        <w:rPr>
          <w:lang w:val="fr-FR"/>
        </w:rPr>
        <w:t xml:space="preserve"> durable, opportun, prévisible, adéquat et accessible, accompagné d</w:t>
      </w:r>
      <w:r w:rsidR="00CE30FD" w:rsidRPr="00F1660D">
        <w:rPr>
          <w:lang w:val="fr-FR"/>
        </w:rPr>
        <w:t>’</w:t>
      </w:r>
      <w:r w:rsidRPr="00F1660D">
        <w:rPr>
          <w:lang w:val="fr-FR"/>
        </w:rPr>
        <w:t xml:space="preserve">une assistance technique appropriée, </w:t>
      </w:r>
      <w:r w:rsidR="001826AD" w:rsidRPr="00F1660D">
        <w:rPr>
          <w:lang w:val="fr-FR"/>
        </w:rPr>
        <w:t xml:space="preserve">était </w:t>
      </w:r>
      <w:r w:rsidRPr="00F1660D">
        <w:rPr>
          <w:lang w:val="fr-FR"/>
        </w:rPr>
        <w:t>crucial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connexes. Afin d</w:t>
      </w:r>
      <w:r w:rsidR="00CE30FD" w:rsidRPr="00F1660D">
        <w:rPr>
          <w:lang w:val="fr-FR"/>
        </w:rPr>
        <w:t>’</w:t>
      </w:r>
      <w:r w:rsidRPr="00F1660D">
        <w:rPr>
          <w:lang w:val="fr-FR"/>
        </w:rPr>
        <w:t>assurer</w:t>
      </w:r>
      <w:r w:rsidR="00A50629" w:rsidRPr="00F1660D">
        <w:rPr>
          <w:lang w:val="fr-FR"/>
        </w:rPr>
        <w:t xml:space="preserve"> la </w:t>
      </w:r>
      <w:r w:rsidRPr="00F1660D">
        <w:rPr>
          <w:lang w:val="fr-FR"/>
        </w:rPr>
        <w:t>disponibilité de ressources financières adéquates,</w:t>
      </w:r>
      <w:r w:rsidR="00A50629" w:rsidRPr="00F1660D">
        <w:rPr>
          <w:lang w:val="fr-FR"/>
        </w:rPr>
        <w:t xml:space="preserve"> les </w:t>
      </w:r>
      <w:r w:rsidRPr="00F1660D">
        <w:rPr>
          <w:lang w:val="fr-FR"/>
        </w:rPr>
        <w:t>contributions</w:t>
      </w:r>
      <w:r w:rsidR="00A50629" w:rsidRPr="00F1660D">
        <w:rPr>
          <w:lang w:val="fr-FR"/>
        </w:rPr>
        <w:t xml:space="preserve"> des </w:t>
      </w:r>
      <w:r w:rsidRPr="00F1660D">
        <w:rPr>
          <w:lang w:val="fr-FR"/>
        </w:rPr>
        <w:t>entités du secteur privé tout</w:t>
      </w:r>
      <w:r w:rsidR="00A50629" w:rsidRPr="00F1660D">
        <w:rPr>
          <w:lang w:val="fr-FR"/>
        </w:rPr>
        <w:t xml:space="preserve"> au </w:t>
      </w:r>
      <w:r w:rsidRPr="00F1660D">
        <w:rPr>
          <w:lang w:val="fr-FR"/>
        </w:rPr>
        <w:t>long de</w:t>
      </w:r>
      <w:r w:rsidR="00A50629" w:rsidRPr="00F1660D">
        <w:rPr>
          <w:lang w:val="fr-FR"/>
        </w:rPr>
        <w:t xml:space="preserve"> la </w:t>
      </w:r>
      <w:r w:rsidRPr="00F1660D">
        <w:rPr>
          <w:lang w:val="fr-FR"/>
        </w:rPr>
        <w:t>chaîne de valeur devraient être augmentées. En outre,</w:t>
      </w:r>
      <w:r w:rsidR="00A50629" w:rsidRPr="00F1660D">
        <w:rPr>
          <w:lang w:val="fr-FR"/>
        </w:rPr>
        <w:t xml:space="preserve"> les </w:t>
      </w:r>
      <w:r w:rsidRPr="00F1660D">
        <w:rPr>
          <w:lang w:val="fr-FR"/>
        </w:rPr>
        <w:t>mécanismes existants, tels que</w:t>
      </w:r>
      <w:r w:rsidR="00A50629" w:rsidRPr="00F1660D">
        <w:rPr>
          <w:lang w:val="fr-FR"/>
        </w:rPr>
        <w:t xml:space="preserve"> le </w:t>
      </w:r>
      <w:r w:rsidRPr="00F1660D">
        <w:rPr>
          <w:lang w:val="fr-FR"/>
        </w:rPr>
        <w:t>Fonds pour l</w:t>
      </w:r>
      <w:r w:rsidR="00CE30FD" w:rsidRPr="00F1660D">
        <w:rPr>
          <w:lang w:val="fr-FR"/>
        </w:rPr>
        <w:t>’</w:t>
      </w:r>
      <w:r w:rsidRPr="00F1660D">
        <w:rPr>
          <w:lang w:val="fr-FR"/>
        </w:rPr>
        <w:t>environnement mondial</w:t>
      </w:r>
      <w:r w:rsidR="007436D8" w:rsidRPr="00F1660D">
        <w:rPr>
          <w:lang w:val="fr-FR"/>
        </w:rPr>
        <w:t xml:space="preserve"> (FEM)</w:t>
      </w:r>
      <w:r w:rsidRPr="00F1660D">
        <w:rPr>
          <w:lang w:val="fr-FR"/>
        </w:rPr>
        <w:t>, et</w:t>
      </w:r>
      <w:r w:rsidR="00A50629" w:rsidRPr="00F1660D">
        <w:rPr>
          <w:lang w:val="fr-FR"/>
        </w:rPr>
        <w:t xml:space="preserve"> les </w:t>
      </w:r>
      <w:r w:rsidRPr="00F1660D">
        <w:rPr>
          <w:lang w:val="fr-FR"/>
        </w:rPr>
        <w:t>dons devraient être complétés par</w:t>
      </w:r>
      <w:r w:rsidR="00A50629" w:rsidRPr="00F1660D">
        <w:rPr>
          <w:lang w:val="fr-FR"/>
        </w:rPr>
        <w:t xml:space="preserve"> la </w:t>
      </w:r>
      <w:r w:rsidRPr="00F1660D">
        <w:rPr>
          <w:lang w:val="fr-FR"/>
        </w:rPr>
        <w:t>création d</w:t>
      </w:r>
      <w:r w:rsidR="00CE30FD" w:rsidRPr="00F1660D">
        <w:rPr>
          <w:lang w:val="fr-FR"/>
        </w:rPr>
        <w:t>’</w:t>
      </w:r>
      <w:r w:rsidRPr="00F1660D">
        <w:rPr>
          <w:lang w:val="fr-FR"/>
        </w:rPr>
        <w:t>un fonds spécifique offrant aux</w:t>
      </w:r>
      <w:r w:rsidR="00D50259" w:rsidRPr="00F1660D">
        <w:rPr>
          <w:lang w:val="fr-FR"/>
        </w:rPr>
        <w:t> </w:t>
      </w:r>
      <w:r w:rsidRPr="00F1660D">
        <w:rPr>
          <w:lang w:val="fr-FR"/>
        </w:rPr>
        <w:t>gouvernements,</w:t>
      </w:r>
      <w:r w:rsidR="00A50629" w:rsidRPr="00F1660D">
        <w:rPr>
          <w:lang w:val="fr-FR"/>
        </w:rPr>
        <w:t xml:space="preserve"> au </w:t>
      </w:r>
      <w:r w:rsidRPr="00F1660D">
        <w:rPr>
          <w:lang w:val="fr-FR"/>
        </w:rPr>
        <w:t>secteur privé et à</w:t>
      </w:r>
      <w:r w:rsidR="00A50629" w:rsidRPr="00F1660D">
        <w:rPr>
          <w:lang w:val="fr-FR"/>
        </w:rPr>
        <w:t xml:space="preserve"> la </w:t>
      </w:r>
      <w:r w:rsidRPr="00F1660D">
        <w:rPr>
          <w:lang w:val="fr-FR"/>
        </w:rPr>
        <w:t>société civile une gamme d</w:t>
      </w:r>
      <w:r w:rsidR="00CE30FD" w:rsidRPr="00F1660D">
        <w:rPr>
          <w:lang w:val="fr-FR"/>
        </w:rPr>
        <w:t>’</w:t>
      </w:r>
      <w:r w:rsidRPr="00F1660D">
        <w:rPr>
          <w:lang w:val="fr-FR"/>
        </w:rPr>
        <w:t>instruments financiers visant à</w:t>
      </w:r>
      <w:r w:rsidR="00D50259" w:rsidRPr="00F1660D">
        <w:rPr>
          <w:lang w:val="fr-FR"/>
        </w:rPr>
        <w:t> </w:t>
      </w:r>
      <w:r w:rsidRPr="00F1660D">
        <w:rPr>
          <w:lang w:val="fr-FR"/>
        </w:rPr>
        <w:t>développer</w:t>
      </w:r>
      <w:r w:rsidR="00A50629" w:rsidRPr="00F1660D">
        <w:rPr>
          <w:lang w:val="fr-FR"/>
        </w:rPr>
        <w:t xml:space="preserve"> les </w:t>
      </w:r>
      <w:r w:rsidRPr="00F1660D">
        <w:rPr>
          <w:lang w:val="fr-FR"/>
        </w:rPr>
        <w:t>capacités et à attirer</w:t>
      </w:r>
      <w:r w:rsidR="00A50629" w:rsidRPr="00F1660D">
        <w:rPr>
          <w:lang w:val="fr-FR"/>
        </w:rPr>
        <w:t xml:space="preserve"> les </w:t>
      </w:r>
      <w:r w:rsidRPr="00F1660D">
        <w:rPr>
          <w:lang w:val="fr-FR"/>
        </w:rPr>
        <w:t xml:space="preserve">investissements. </w:t>
      </w:r>
    </w:p>
    <w:p w14:paraId="60621D10" w14:textId="0D3470C9" w:rsidR="006579B1" w:rsidRPr="00F1660D" w:rsidRDefault="004418CE" w:rsidP="00733A1C">
      <w:pPr>
        <w:pStyle w:val="Normalnumber"/>
        <w:rPr>
          <w:lang w:val="fr-FR"/>
        </w:rPr>
      </w:pPr>
      <w:r w:rsidRPr="00F1660D">
        <w:rPr>
          <w:lang w:val="fr-FR"/>
        </w:rPr>
        <w:t>Le représentant de</w:t>
      </w:r>
      <w:r w:rsidR="00A50629" w:rsidRPr="00F1660D">
        <w:rPr>
          <w:lang w:val="fr-FR"/>
        </w:rPr>
        <w:t xml:space="preserve"> la </w:t>
      </w:r>
      <w:r w:rsidRPr="00F1660D">
        <w:rPr>
          <w:lang w:val="fr-FR"/>
        </w:rPr>
        <w:t>Fédération de Russie, s</w:t>
      </w:r>
      <w:r w:rsidR="00CE30FD" w:rsidRPr="00F1660D">
        <w:rPr>
          <w:lang w:val="fr-FR"/>
        </w:rPr>
        <w:t>’</w:t>
      </w:r>
      <w:r w:rsidRPr="00F1660D">
        <w:rPr>
          <w:lang w:val="fr-FR"/>
        </w:rPr>
        <w:t>exprimant</w:t>
      </w:r>
      <w:r w:rsidR="00A50629" w:rsidRPr="00F1660D">
        <w:rPr>
          <w:lang w:val="fr-FR"/>
        </w:rPr>
        <w:t xml:space="preserve"> au </w:t>
      </w:r>
      <w:r w:rsidRPr="00F1660D">
        <w:rPr>
          <w:lang w:val="fr-FR"/>
        </w:rPr>
        <w:t>nom</w:t>
      </w:r>
      <w:r w:rsidR="00A50629" w:rsidRPr="00F1660D">
        <w:rPr>
          <w:lang w:val="fr-FR"/>
        </w:rPr>
        <w:t xml:space="preserve"> des </w:t>
      </w:r>
      <w:r w:rsidRPr="00F1660D">
        <w:rPr>
          <w:lang w:val="fr-FR"/>
        </w:rPr>
        <w:t>États d</w:t>
      </w:r>
      <w:r w:rsidR="00CE30FD" w:rsidRPr="00F1660D">
        <w:rPr>
          <w:lang w:val="fr-FR"/>
        </w:rPr>
        <w:t>’</w:t>
      </w:r>
      <w:r w:rsidRPr="00F1660D">
        <w:rPr>
          <w:lang w:val="fr-FR"/>
        </w:rPr>
        <w:t>Europe centrale et orientale, a déclaré que</w:t>
      </w:r>
      <w:r w:rsidR="00A50629" w:rsidRPr="00F1660D">
        <w:rPr>
          <w:lang w:val="fr-FR"/>
        </w:rPr>
        <w:t xml:space="preserve"> la </w:t>
      </w:r>
      <w:r w:rsidRPr="00F1660D">
        <w:rPr>
          <w:lang w:val="fr-FR"/>
        </w:rPr>
        <w:t>réunion en cours était un moment historique qui offrait une occasion de faire</w:t>
      </w:r>
      <w:r w:rsidR="00A50629" w:rsidRPr="00F1660D">
        <w:rPr>
          <w:lang w:val="fr-FR"/>
        </w:rPr>
        <w:t xml:space="preserve"> le </w:t>
      </w:r>
      <w:r w:rsidRPr="00F1660D">
        <w:rPr>
          <w:lang w:val="fr-FR"/>
        </w:rPr>
        <w:t>point sur</w:t>
      </w:r>
      <w:r w:rsidR="00A50629" w:rsidRPr="00F1660D">
        <w:rPr>
          <w:lang w:val="fr-FR"/>
        </w:rPr>
        <w:t xml:space="preserve"> les </w:t>
      </w:r>
      <w:r w:rsidRPr="00F1660D">
        <w:rPr>
          <w:lang w:val="fr-FR"/>
        </w:rPr>
        <w:t>progrès réalisés et d</w:t>
      </w:r>
      <w:r w:rsidR="00CE30FD" w:rsidRPr="00F1660D">
        <w:rPr>
          <w:lang w:val="fr-FR"/>
        </w:rPr>
        <w:t>’</w:t>
      </w:r>
      <w:r w:rsidRPr="00F1660D">
        <w:rPr>
          <w:lang w:val="fr-FR"/>
        </w:rPr>
        <w:t>examiner pourquoi l</w:t>
      </w:r>
      <w:r w:rsidR="00CE30FD" w:rsidRPr="00F1660D">
        <w:rPr>
          <w:lang w:val="fr-FR"/>
        </w:rPr>
        <w:t>’</w:t>
      </w:r>
      <w:r w:rsidRPr="00F1660D">
        <w:rPr>
          <w:lang w:val="fr-FR"/>
        </w:rPr>
        <w:t>objectif de 2020 ne serait pas atteint. Le</w:t>
      </w:r>
      <w:r w:rsidR="00D50259" w:rsidRPr="00F1660D">
        <w:rPr>
          <w:lang w:val="fr-FR"/>
        </w:rPr>
        <w:t> </w:t>
      </w:r>
      <w:r w:rsidRPr="00F1660D">
        <w:rPr>
          <w:lang w:val="fr-FR"/>
        </w:rPr>
        <w:t>deuxième rapport sur</w:t>
      </w:r>
      <w:r w:rsidR="00A50629" w:rsidRPr="00F1660D">
        <w:rPr>
          <w:lang w:val="fr-FR"/>
        </w:rPr>
        <w:t xml:space="preserve"> les </w:t>
      </w:r>
      <w:r w:rsidRPr="00F1660D">
        <w:rPr>
          <w:lang w:val="fr-FR"/>
        </w:rPr>
        <w:t>perspectives mondiales en matière de produits chimiques et</w:t>
      </w:r>
      <w:r w:rsidR="00A50629" w:rsidRPr="00F1660D">
        <w:rPr>
          <w:lang w:val="fr-FR"/>
        </w:rPr>
        <w:t xml:space="preserve"> le </w:t>
      </w:r>
      <w:r w:rsidRPr="00F1660D">
        <w:rPr>
          <w:lang w:val="fr-FR"/>
        </w:rPr>
        <w:t>rapport d</w:t>
      </w:r>
      <w:r w:rsidR="00CE30FD" w:rsidRPr="00F1660D">
        <w:rPr>
          <w:lang w:val="fr-FR"/>
        </w:rPr>
        <w:t>’</w:t>
      </w:r>
      <w:r w:rsidRPr="00F1660D">
        <w:rPr>
          <w:lang w:val="fr-FR"/>
        </w:rPr>
        <w:t>étape sur</w:t>
      </w:r>
      <w:r w:rsidR="00A50629" w:rsidRPr="00F1660D">
        <w:rPr>
          <w:lang w:val="fr-FR"/>
        </w:rPr>
        <w:t xml:space="preserve"> les </w:t>
      </w:r>
      <w:r w:rsidRPr="00F1660D">
        <w:rPr>
          <w:lang w:val="fr-FR"/>
        </w:rPr>
        <w:t>progrès accomplis dans</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orientations générales et directives concernant</w:t>
      </w:r>
      <w:r w:rsidR="00A50629" w:rsidRPr="00F1660D">
        <w:rPr>
          <w:lang w:val="fr-FR"/>
        </w:rPr>
        <w:t xml:space="preserve"> la </w:t>
      </w:r>
      <w:r w:rsidRPr="00F1660D">
        <w:rPr>
          <w:lang w:val="fr-FR"/>
        </w:rPr>
        <w:t>réalisation de l</w:t>
      </w:r>
      <w:r w:rsidR="00CE30FD" w:rsidRPr="00F1660D">
        <w:rPr>
          <w:lang w:val="fr-FR"/>
        </w:rPr>
        <w:t>’</w:t>
      </w:r>
      <w:r w:rsidRPr="00F1660D">
        <w:rPr>
          <w:lang w:val="fr-FR"/>
        </w:rPr>
        <w:t>objectif fixé pour 2020 montraient qu</w:t>
      </w:r>
      <w:r w:rsidR="00CE30FD" w:rsidRPr="00F1660D">
        <w:rPr>
          <w:lang w:val="fr-FR"/>
        </w:rPr>
        <w:t>’</w:t>
      </w:r>
      <w:r w:rsidRPr="00F1660D">
        <w:rPr>
          <w:lang w:val="fr-FR"/>
        </w:rPr>
        <w:t>avec l</w:t>
      </w:r>
      <w:r w:rsidR="00CE30FD" w:rsidRPr="00F1660D">
        <w:rPr>
          <w:lang w:val="fr-FR"/>
        </w:rPr>
        <w:t>’</w:t>
      </w:r>
      <w:r w:rsidRPr="00F1660D">
        <w:rPr>
          <w:lang w:val="fr-FR"/>
        </w:rPr>
        <w:t>augmentation mondiale de</w:t>
      </w:r>
      <w:r w:rsidR="00A50629" w:rsidRPr="00F1660D">
        <w:rPr>
          <w:lang w:val="fr-FR"/>
        </w:rPr>
        <w:t xml:space="preserve"> la </w:t>
      </w:r>
      <w:r w:rsidRPr="00F1660D">
        <w:rPr>
          <w:lang w:val="fr-FR"/>
        </w:rPr>
        <w:t>production, de</w:t>
      </w:r>
      <w:r w:rsidR="00A50629" w:rsidRPr="00F1660D">
        <w:rPr>
          <w:lang w:val="fr-FR"/>
        </w:rPr>
        <w:t xml:space="preserve"> la </w:t>
      </w:r>
      <w:r w:rsidRPr="00F1660D">
        <w:rPr>
          <w:lang w:val="fr-FR"/>
        </w:rPr>
        <w:t>consommation et du commerce de produits chimiques et</w:t>
      </w:r>
      <w:r w:rsidR="00A50629" w:rsidRPr="00F1660D">
        <w:rPr>
          <w:lang w:val="fr-FR"/>
        </w:rPr>
        <w:t xml:space="preserve"> le </w:t>
      </w:r>
      <w:r w:rsidRPr="00F1660D">
        <w:rPr>
          <w:lang w:val="fr-FR"/>
        </w:rPr>
        <w:t>transfert de</w:t>
      </w:r>
      <w:r w:rsidR="00A50629" w:rsidRPr="00F1660D">
        <w:rPr>
          <w:lang w:val="fr-FR"/>
        </w:rPr>
        <w:t xml:space="preserve"> la </w:t>
      </w:r>
      <w:r w:rsidRPr="00F1660D">
        <w:rPr>
          <w:lang w:val="fr-FR"/>
        </w:rPr>
        <w:t>production mondiale vers</w:t>
      </w:r>
      <w:r w:rsidR="00A50629" w:rsidRPr="00F1660D">
        <w:rPr>
          <w:lang w:val="fr-FR"/>
        </w:rPr>
        <w:t xml:space="preserve"> les </w:t>
      </w:r>
      <w:r w:rsidRPr="00F1660D">
        <w:rPr>
          <w:lang w:val="fr-FR"/>
        </w:rPr>
        <w:t>pays en développement et</w:t>
      </w:r>
      <w:r w:rsidR="00A50629" w:rsidRPr="00F1660D">
        <w:rPr>
          <w:lang w:val="fr-FR"/>
        </w:rPr>
        <w:t xml:space="preserve"> les </w:t>
      </w:r>
      <w:r w:rsidRPr="00F1660D">
        <w:rPr>
          <w:lang w:val="fr-FR"/>
        </w:rPr>
        <w:t>pays en transition, il importait que tous</w:t>
      </w:r>
      <w:r w:rsidR="00A50629" w:rsidRPr="00F1660D">
        <w:rPr>
          <w:lang w:val="fr-FR"/>
        </w:rPr>
        <w:t xml:space="preserve"> les </w:t>
      </w:r>
      <w:r w:rsidRPr="00F1660D">
        <w:rPr>
          <w:lang w:val="fr-FR"/>
        </w:rPr>
        <w:t>pays soient bien préparés à relever</w:t>
      </w:r>
      <w:r w:rsidR="00A50629" w:rsidRPr="00F1660D">
        <w:rPr>
          <w:lang w:val="fr-FR"/>
        </w:rPr>
        <w:t xml:space="preserve"> les </w:t>
      </w:r>
      <w:r w:rsidRPr="00F1660D">
        <w:rPr>
          <w:lang w:val="fr-FR"/>
        </w:rPr>
        <w:t>nouveaux défis en matière de gestion</w:t>
      </w:r>
      <w:r w:rsidR="00A50629" w:rsidRPr="00F1660D">
        <w:rPr>
          <w:lang w:val="fr-FR"/>
        </w:rPr>
        <w:t xml:space="preserve"> des </w:t>
      </w:r>
      <w:r w:rsidRPr="00F1660D">
        <w:rPr>
          <w:lang w:val="fr-FR"/>
        </w:rPr>
        <w:t>produits chimiques. Le soutien politique</w:t>
      </w:r>
      <w:r w:rsidR="00A50629" w:rsidRPr="00F1660D">
        <w:rPr>
          <w:lang w:val="fr-FR"/>
        </w:rPr>
        <w:t xml:space="preserve"> au </w:t>
      </w:r>
      <w:r w:rsidRPr="00F1660D">
        <w:rPr>
          <w:lang w:val="fr-FR"/>
        </w:rPr>
        <w:t>futur cadre de gestion rationnelle</w:t>
      </w:r>
      <w:r w:rsidR="00A50629" w:rsidRPr="00F1660D">
        <w:rPr>
          <w:lang w:val="fr-FR"/>
        </w:rPr>
        <w:t xml:space="preserve"> des </w:t>
      </w:r>
      <w:r w:rsidRPr="00F1660D">
        <w:rPr>
          <w:lang w:val="fr-FR"/>
        </w:rPr>
        <w:t>produits chimiques était essentiel, mais comme on l</w:t>
      </w:r>
      <w:r w:rsidR="00CE30FD" w:rsidRPr="00F1660D">
        <w:rPr>
          <w:lang w:val="fr-FR"/>
        </w:rPr>
        <w:t>’</w:t>
      </w:r>
      <w:r w:rsidRPr="00F1660D">
        <w:rPr>
          <w:lang w:val="fr-FR"/>
        </w:rPr>
        <w:t>avait vu avec</w:t>
      </w:r>
      <w:r w:rsidR="00A50629" w:rsidRPr="00F1660D">
        <w:rPr>
          <w:lang w:val="fr-FR"/>
        </w:rPr>
        <w:t xml:space="preserve"> le</w:t>
      </w:r>
      <w:r w:rsidR="0023692C" w:rsidRPr="00F1660D">
        <w:rPr>
          <w:lang w:val="fr-FR"/>
        </w:rPr>
        <w:t>s</w:t>
      </w:r>
      <w:r w:rsidR="00A50629" w:rsidRPr="00F1660D">
        <w:rPr>
          <w:lang w:val="fr-FR"/>
        </w:rPr>
        <w:t> </w:t>
      </w:r>
      <w:r w:rsidRPr="00F1660D">
        <w:rPr>
          <w:lang w:val="fr-FR"/>
        </w:rPr>
        <w:t>changement</w:t>
      </w:r>
      <w:r w:rsidR="0023692C" w:rsidRPr="00F1660D">
        <w:rPr>
          <w:lang w:val="fr-FR"/>
        </w:rPr>
        <w:t>s</w:t>
      </w:r>
      <w:r w:rsidRPr="00F1660D">
        <w:rPr>
          <w:lang w:val="fr-FR"/>
        </w:rPr>
        <w:t xml:space="preserve"> climatique</w:t>
      </w:r>
      <w:r w:rsidR="0023692C" w:rsidRPr="00F1660D">
        <w:rPr>
          <w:lang w:val="fr-FR"/>
        </w:rPr>
        <w:t>s</w:t>
      </w:r>
      <w:r w:rsidRPr="00F1660D">
        <w:rPr>
          <w:lang w:val="fr-FR"/>
        </w:rPr>
        <w:t xml:space="preserve"> et</w:t>
      </w:r>
      <w:r w:rsidR="00A50629" w:rsidRPr="00F1660D">
        <w:rPr>
          <w:lang w:val="fr-FR"/>
        </w:rPr>
        <w:t xml:space="preserve"> les </w:t>
      </w:r>
      <w:r w:rsidRPr="00F1660D">
        <w:rPr>
          <w:lang w:val="fr-FR"/>
        </w:rPr>
        <w:t>déchets plastiques, il</w:t>
      </w:r>
      <w:r w:rsidR="00D50259" w:rsidRPr="00F1660D">
        <w:rPr>
          <w:lang w:val="fr-FR"/>
        </w:rPr>
        <w:t> </w:t>
      </w:r>
      <w:r w:rsidRPr="00F1660D">
        <w:rPr>
          <w:lang w:val="fr-FR"/>
        </w:rPr>
        <w:t>s</w:t>
      </w:r>
      <w:r w:rsidR="00CE30FD" w:rsidRPr="00F1660D">
        <w:rPr>
          <w:lang w:val="fr-FR"/>
        </w:rPr>
        <w:t>’</w:t>
      </w:r>
      <w:r w:rsidRPr="00F1660D">
        <w:rPr>
          <w:lang w:val="fr-FR"/>
        </w:rPr>
        <w:t>obtenait principalement par</w:t>
      </w:r>
      <w:r w:rsidR="00A50629" w:rsidRPr="00F1660D">
        <w:rPr>
          <w:lang w:val="fr-FR"/>
        </w:rPr>
        <w:t xml:space="preserve"> la </w:t>
      </w:r>
      <w:r w:rsidRPr="00F1660D">
        <w:rPr>
          <w:lang w:val="fr-FR"/>
        </w:rPr>
        <w:t>sensibilisation du public. Il était possible d</w:t>
      </w:r>
      <w:r w:rsidR="00CE30FD" w:rsidRPr="00F1660D">
        <w:rPr>
          <w:lang w:val="fr-FR"/>
        </w:rPr>
        <w:t>’</w:t>
      </w:r>
      <w:r w:rsidRPr="00F1660D">
        <w:rPr>
          <w:lang w:val="fr-FR"/>
        </w:rPr>
        <w:t>obtenir une reconnaissance similaire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en renforçant</w:t>
      </w:r>
      <w:r w:rsidR="00A50629" w:rsidRPr="00F1660D">
        <w:rPr>
          <w:lang w:val="fr-FR"/>
        </w:rPr>
        <w:t xml:space="preserve"> les </w:t>
      </w:r>
      <w:r w:rsidRPr="00F1660D">
        <w:rPr>
          <w:lang w:val="fr-FR"/>
        </w:rPr>
        <w:t>synergies aussi bien entre</w:t>
      </w:r>
      <w:r w:rsidR="00A50629" w:rsidRPr="00F1660D">
        <w:rPr>
          <w:lang w:val="fr-FR"/>
        </w:rPr>
        <w:t xml:space="preserve"> les </w:t>
      </w:r>
      <w:r w:rsidRPr="00F1660D">
        <w:rPr>
          <w:lang w:val="fr-FR"/>
        </w:rPr>
        <w:t>conventions relatives aux produits chimiques et aux déchets qu</w:t>
      </w:r>
      <w:r w:rsidR="00CE30FD" w:rsidRPr="00F1660D">
        <w:rPr>
          <w:lang w:val="fr-FR"/>
        </w:rPr>
        <w:t>’</w:t>
      </w:r>
      <w:r w:rsidRPr="00F1660D">
        <w:rPr>
          <w:lang w:val="fr-FR"/>
        </w:rPr>
        <w:t>avec d</w:t>
      </w:r>
      <w:r w:rsidR="00CE30FD" w:rsidRPr="00F1660D">
        <w:rPr>
          <w:lang w:val="fr-FR"/>
        </w:rPr>
        <w:t>’</w:t>
      </w:r>
      <w:r w:rsidRPr="00F1660D">
        <w:rPr>
          <w:lang w:val="fr-FR"/>
        </w:rPr>
        <w:t>autres concepts et initiatives politiques, tels que</w:t>
      </w:r>
      <w:r w:rsidR="00A50629" w:rsidRPr="00F1660D">
        <w:rPr>
          <w:lang w:val="fr-FR"/>
        </w:rPr>
        <w:t xml:space="preserve"> le </w:t>
      </w:r>
      <w:r w:rsidRPr="00F1660D">
        <w:rPr>
          <w:lang w:val="fr-FR"/>
        </w:rPr>
        <w:t>Programme 2030 et l</w:t>
      </w:r>
      <w:r w:rsidR="00CE30FD" w:rsidRPr="00F1660D">
        <w:rPr>
          <w:lang w:val="fr-FR"/>
        </w:rPr>
        <w:t>’</w:t>
      </w:r>
      <w:r w:rsidRPr="00F1660D">
        <w:rPr>
          <w:lang w:val="fr-FR"/>
        </w:rPr>
        <w:t>Accord de Paris. Le futur cadre devrait couvrir l</w:t>
      </w:r>
      <w:r w:rsidR="00CE30FD" w:rsidRPr="00F1660D">
        <w:rPr>
          <w:lang w:val="fr-FR"/>
        </w:rPr>
        <w:t>’</w:t>
      </w:r>
      <w:r w:rsidRPr="00F1660D">
        <w:rPr>
          <w:lang w:val="fr-FR"/>
        </w:rPr>
        <w:t>ensemble du cycle de vie, de</w:t>
      </w:r>
      <w:r w:rsidR="00A50629" w:rsidRPr="00F1660D">
        <w:rPr>
          <w:lang w:val="fr-FR"/>
        </w:rPr>
        <w:t xml:space="preserve"> la </w:t>
      </w:r>
      <w:r w:rsidRPr="00F1660D">
        <w:rPr>
          <w:lang w:val="fr-FR"/>
        </w:rPr>
        <w:t>production à</w:t>
      </w:r>
      <w:r w:rsidR="00A50629" w:rsidRPr="00F1660D">
        <w:rPr>
          <w:lang w:val="fr-FR"/>
        </w:rPr>
        <w:t xml:space="preserve"> la </w:t>
      </w:r>
      <w:r w:rsidRPr="00F1660D">
        <w:rPr>
          <w:lang w:val="fr-FR"/>
        </w:rPr>
        <w:t>consommation et à</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déchets. Il convenait de renforcer l</w:t>
      </w:r>
      <w:r w:rsidR="00CE30FD" w:rsidRPr="00F1660D">
        <w:rPr>
          <w:lang w:val="fr-FR"/>
        </w:rPr>
        <w:t>’</w:t>
      </w:r>
      <w:r w:rsidRPr="00F1660D">
        <w:rPr>
          <w:lang w:val="fr-FR"/>
        </w:rPr>
        <w:t>interface science-politique</w:t>
      </w:r>
      <w:r w:rsidR="00A50629" w:rsidRPr="00F1660D">
        <w:rPr>
          <w:lang w:val="fr-FR"/>
        </w:rPr>
        <w:t xml:space="preserve"> au </w:t>
      </w:r>
      <w:r w:rsidRPr="00F1660D">
        <w:rPr>
          <w:lang w:val="fr-FR"/>
        </w:rPr>
        <w:t>niveau international, comme l</w:t>
      </w:r>
      <w:r w:rsidR="00CE30FD" w:rsidRPr="00F1660D">
        <w:rPr>
          <w:lang w:val="fr-FR"/>
        </w:rPr>
        <w:t>’</w:t>
      </w:r>
      <w:r w:rsidRPr="00F1660D">
        <w:rPr>
          <w:lang w:val="fr-FR"/>
        </w:rPr>
        <w:t>avait demandé l</w:t>
      </w:r>
      <w:r w:rsidR="00CE30FD" w:rsidRPr="00F1660D">
        <w:rPr>
          <w:lang w:val="fr-FR"/>
        </w:rPr>
        <w:t>’</w:t>
      </w:r>
      <w:r w:rsidRPr="00F1660D">
        <w:rPr>
          <w:lang w:val="fr-FR"/>
        </w:rPr>
        <w:t xml:space="preserve">Assemblée </w:t>
      </w:r>
      <w:r w:rsidR="0023692C" w:rsidRPr="00F1660D">
        <w:rPr>
          <w:lang w:val="fr-FR"/>
        </w:rPr>
        <w:t xml:space="preserve">des Nations Unies </w:t>
      </w:r>
      <w:r w:rsidRPr="00F1660D">
        <w:rPr>
          <w:lang w:val="fr-FR"/>
        </w:rPr>
        <w:t>pour l</w:t>
      </w:r>
      <w:r w:rsidR="00CE30FD" w:rsidRPr="00F1660D">
        <w:rPr>
          <w:lang w:val="fr-FR"/>
        </w:rPr>
        <w:t>’</w:t>
      </w:r>
      <w:r w:rsidRPr="00F1660D">
        <w:rPr>
          <w:lang w:val="fr-FR"/>
        </w:rPr>
        <w:t>environnement à sa quatrième session, en tenant compte</w:t>
      </w:r>
      <w:r w:rsidR="00A50629" w:rsidRPr="00F1660D">
        <w:rPr>
          <w:lang w:val="fr-FR"/>
        </w:rPr>
        <w:t xml:space="preserve"> des </w:t>
      </w:r>
      <w:r w:rsidRPr="00F1660D">
        <w:rPr>
          <w:lang w:val="fr-FR"/>
        </w:rPr>
        <w:t>mécanismes existants afin d</w:t>
      </w:r>
      <w:r w:rsidR="00CE30FD" w:rsidRPr="00F1660D">
        <w:rPr>
          <w:lang w:val="fr-FR"/>
        </w:rPr>
        <w:t>’</w:t>
      </w:r>
      <w:r w:rsidRPr="00F1660D">
        <w:rPr>
          <w:lang w:val="fr-FR"/>
        </w:rPr>
        <w:t>optimiser</w:t>
      </w:r>
      <w:r w:rsidR="00A50629" w:rsidRPr="00F1660D">
        <w:rPr>
          <w:lang w:val="fr-FR"/>
        </w:rPr>
        <w:t xml:space="preserve"> le </w:t>
      </w:r>
      <w:r w:rsidRPr="00F1660D">
        <w:rPr>
          <w:lang w:val="fr-FR"/>
        </w:rPr>
        <w:t>rapport coût-efficacité, d</w:t>
      </w:r>
      <w:r w:rsidR="00CE30FD" w:rsidRPr="00F1660D">
        <w:rPr>
          <w:lang w:val="fr-FR"/>
        </w:rPr>
        <w:t>’</w:t>
      </w:r>
      <w:r w:rsidRPr="00F1660D">
        <w:rPr>
          <w:lang w:val="fr-FR"/>
        </w:rPr>
        <w:t>utiliser</w:t>
      </w:r>
      <w:r w:rsidR="00A50629" w:rsidRPr="00F1660D">
        <w:rPr>
          <w:lang w:val="fr-FR"/>
        </w:rPr>
        <w:t xml:space="preserve"> au </w:t>
      </w:r>
      <w:r w:rsidRPr="00F1660D">
        <w:rPr>
          <w:lang w:val="fr-FR"/>
        </w:rPr>
        <w:t>mieux</w:t>
      </w:r>
      <w:r w:rsidR="00A50629" w:rsidRPr="00F1660D">
        <w:rPr>
          <w:lang w:val="fr-FR"/>
        </w:rPr>
        <w:t xml:space="preserve"> les </w:t>
      </w:r>
      <w:r w:rsidRPr="00F1660D">
        <w:rPr>
          <w:lang w:val="fr-FR"/>
        </w:rPr>
        <w:t>nouvelles technologies, de suivre</w:t>
      </w:r>
      <w:r w:rsidR="00A50629" w:rsidRPr="00F1660D">
        <w:rPr>
          <w:lang w:val="fr-FR"/>
        </w:rPr>
        <w:t xml:space="preserve"> les </w:t>
      </w:r>
      <w:r w:rsidRPr="00F1660D">
        <w:rPr>
          <w:lang w:val="fr-FR"/>
        </w:rPr>
        <w:t>progrès et d</w:t>
      </w:r>
      <w:r w:rsidR="00CE30FD" w:rsidRPr="00F1660D">
        <w:rPr>
          <w:lang w:val="fr-FR"/>
        </w:rPr>
        <w:t>’</w:t>
      </w:r>
      <w:r w:rsidRPr="00F1660D">
        <w:rPr>
          <w:lang w:val="fr-FR"/>
        </w:rPr>
        <w:t>améliorer l</w:t>
      </w:r>
      <w:r w:rsidR="00CE30FD" w:rsidRPr="00F1660D">
        <w:rPr>
          <w:lang w:val="fr-FR"/>
        </w:rPr>
        <w:t>’</w:t>
      </w:r>
      <w:r w:rsidRPr="00F1660D">
        <w:rPr>
          <w:lang w:val="fr-FR"/>
        </w:rPr>
        <w:t>application</w:t>
      </w:r>
      <w:r w:rsidR="00A50629" w:rsidRPr="00F1660D">
        <w:rPr>
          <w:lang w:val="fr-FR"/>
        </w:rPr>
        <w:t xml:space="preserve"> au </w:t>
      </w:r>
      <w:r w:rsidRPr="00F1660D">
        <w:rPr>
          <w:lang w:val="fr-FR"/>
        </w:rPr>
        <w:t>niveau national</w:t>
      </w:r>
      <w:r w:rsidR="00A50629" w:rsidRPr="00F1660D">
        <w:rPr>
          <w:lang w:val="fr-FR"/>
        </w:rPr>
        <w:t xml:space="preserve"> des </w:t>
      </w:r>
      <w:r w:rsidRPr="00F1660D">
        <w:rPr>
          <w:lang w:val="fr-FR"/>
        </w:rPr>
        <w:t>accords multilatéraux pertinents sur l</w:t>
      </w:r>
      <w:r w:rsidR="00CE30FD" w:rsidRPr="00F1660D">
        <w:rPr>
          <w:lang w:val="fr-FR"/>
        </w:rPr>
        <w:t>’</w:t>
      </w:r>
      <w:r w:rsidRPr="00F1660D">
        <w:rPr>
          <w:lang w:val="fr-FR"/>
        </w:rPr>
        <w:t>environnement. Le futur cadre devrait par ailleurs confirmer</w:t>
      </w:r>
      <w:r w:rsidR="00A50629" w:rsidRPr="00F1660D">
        <w:rPr>
          <w:lang w:val="fr-FR"/>
        </w:rPr>
        <w:t xml:space="preserve"> la </w:t>
      </w:r>
      <w:r w:rsidRPr="00F1660D">
        <w:rPr>
          <w:lang w:val="fr-FR"/>
        </w:rPr>
        <w:t>validité</w:t>
      </w:r>
      <w:r w:rsidR="00A50629" w:rsidRPr="00F1660D">
        <w:rPr>
          <w:lang w:val="fr-FR"/>
        </w:rPr>
        <w:t xml:space="preserve"> des </w:t>
      </w:r>
      <w:r w:rsidRPr="00F1660D">
        <w:rPr>
          <w:lang w:val="fr-FR"/>
        </w:rPr>
        <w:t>documents fondamentaux de l</w:t>
      </w:r>
      <w:r w:rsidR="00CE30FD" w:rsidRPr="00F1660D">
        <w:rPr>
          <w:lang w:val="fr-FR"/>
        </w:rPr>
        <w:t>’</w:t>
      </w:r>
      <w:r w:rsidRPr="00F1660D">
        <w:rPr>
          <w:lang w:val="fr-FR"/>
        </w:rPr>
        <w:t>Approche stratégique, tels que</w:t>
      </w:r>
      <w:r w:rsidR="00A50629" w:rsidRPr="00F1660D">
        <w:rPr>
          <w:lang w:val="fr-FR"/>
        </w:rPr>
        <w:t xml:space="preserve"> la </w:t>
      </w:r>
      <w:r w:rsidRPr="00F1660D">
        <w:rPr>
          <w:lang w:val="fr-FR"/>
        </w:rPr>
        <w:t>Déclaration de Dubaï, et compléter</w:t>
      </w:r>
      <w:r w:rsidR="00A50629" w:rsidRPr="00F1660D">
        <w:rPr>
          <w:lang w:val="fr-FR"/>
        </w:rPr>
        <w:t xml:space="preserve"> le </w:t>
      </w:r>
      <w:r w:rsidRPr="00F1660D">
        <w:rPr>
          <w:lang w:val="fr-FR"/>
        </w:rPr>
        <w:t>Programme 2030, en montrant comment une gestion rationnelle</w:t>
      </w:r>
      <w:r w:rsidR="00A50629" w:rsidRPr="00F1660D">
        <w:rPr>
          <w:lang w:val="fr-FR"/>
        </w:rPr>
        <w:t xml:space="preserve"> des </w:t>
      </w:r>
      <w:r w:rsidRPr="00F1660D">
        <w:rPr>
          <w:lang w:val="fr-FR"/>
        </w:rPr>
        <w:t>produits chimiques contribuerait à</w:t>
      </w:r>
      <w:r w:rsidR="00A50629" w:rsidRPr="00F1660D">
        <w:rPr>
          <w:lang w:val="fr-FR"/>
        </w:rPr>
        <w:t xml:space="preserve"> la </w:t>
      </w:r>
      <w:r w:rsidRPr="00F1660D">
        <w:rPr>
          <w:lang w:val="fr-FR"/>
        </w:rPr>
        <w:t>réalisation</w:t>
      </w:r>
      <w:r w:rsidR="00A50629" w:rsidRPr="00F1660D">
        <w:rPr>
          <w:lang w:val="fr-FR"/>
        </w:rPr>
        <w:t xml:space="preserve"> des </w:t>
      </w:r>
      <w:r w:rsidRPr="00F1660D">
        <w:rPr>
          <w:lang w:val="fr-FR"/>
        </w:rPr>
        <w:t>objectifs de développement durable. Il devrait englober tous</w:t>
      </w:r>
      <w:r w:rsidR="00A50629" w:rsidRPr="00F1660D">
        <w:rPr>
          <w:lang w:val="fr-FR"/>
        </w:rPr>
        <w:t xml:space="preserve"> les </w:t>
      </w:r>
      <w:r w:rsidRPr="00F1660D">
        <w:rPr>
          <w:lang w:val="fr-FR"/>
        </w:rPr>
        <w:t>secteurs,</w:t>
      </w:r>
      <w:r w:rsidR="00A50629" w:rsidRPr="00F1660D">
        <w:rPr>
          <w:lang w:val="fr-FR"/>
        </w:rPr>
        <w:t xml:space="preserve"> y </w:t>
      </w:r>
      <w:r w:rsidRPr="00F1660D">
        <w:rPr>
          <w:lang w:val="fr-FR"/>
        </w:rPr>
        <w:t>compris ceux qui n</w:t>
      </w:r>
      <w:r w:rsidR="00CE30FD" w:rsidRPr="00F1660D">
        <w:rPr>
          <w:lang w:val="fr-FR"/>
        </w:rPr>
        <w:t>’</w:t>
      </w:r>
      <w:r w:rsidRPr="00F1660D">
        <w:rPr>
          <w:lang w:val="fr-FR"/>
        </w:rPr>
        <w:t>étaient pas impliqués dans</w:t>
      </w:r>
      <w:r w:rsidR="00A50629" w:rsidRPr="00F1660D">
        <w:rPr>
          <w:lang w:val="fr-FR"/>
        </w:rPr>
        <w:t xml:space="preserve"> le </w:t>
      </w:r>
      <w:r w:rsidRPr="00F1660D">
        <w:rPr>
          <w:lang w:val="fr-FR"/>
        </w:rPr>
        <w:t>passé, et explorer</w:t>
      </w:r>
      <w:r w:rsidR="00A50629" w:rsidRPr="00F1660D">
        <w:rPr>
          <w:lang w:val="fr-FR"/>
        </w:rPr>
        <w:t xml:space="preserve"> les </w:t>
      </w:r>
      <w:r w:rsidRPr="00F1660D">
        <w:rPr>
          <w:lang w:val="fr-FR"/>
        </w:rPr>
        <w:t>liens avec</w:t>
      </w:r>
      <w:r w:rsidR="00A50629" w:rsidRPr="00F1660D">
        <w:rPr>
          <w:lang w:val="fr-FR"/>
        </w:rPr>
        <w:t xml:space="preserve"> des </w:t>
      </w:r>
      <w:r w:rsidRPr="00F1660D">
        <w:rPr>
          <w:lang w:val="fr-FR"/>
        </w:rPr>
        <w:t>questions telles que</w:t>
      </w:r>
      <w:r w:rsidR="00A50629" w:rsidRPr="00F1660D">
        <w:rPr>
          <w:lang w:val="fr-FR"/>
        </w:rPr>
        <w:t xml:space="preserve"> les </w:t>
      </w:r>
      <w:r w:rsidRPr="00F1660D">
        <w:rPr>
          <w:lang w:val="fr-FR"/>
        </w:rPr>
        <w:t>changements climatiques et</w:t>
      </w:r>
      <w:r w:rsidR="00A50629" w:rsidRPr="00F1660D">
        <w:rPr>
          <w:lang w:val="fr-FR"/>
        </w:rPr>
        <w:t xml:space="preserve"> la </w:t>
      </w:r>
      <w:r w:rsidRPr="00F1660D">
        <w:rPr>
          <w:lang w:val="fr-FR"/>
        </w:rPr>
        <w:t>perte de biodiversité. À cet égard, l</w:t>
      </w:r>
      <w:r w:rsidR="00CE30FD" w:rsidRPr="00F1660D">
        <w:rPr>
          <w:lang w:val="fr-FR"/>
        </w:rPr>
        <w:t>’</w:t>
      </w:r>
      <w:r w:rsidRPr="00F1660D">
        <w:rPr>
          <w:lang w:val="fr-FR"/>
        </w:rPr>
        <w:t>adoption par l</w:t>
      </w:r>
      <w:r w:rsidR="00CE30FD" w:rsidRPr="00F1660D">
        <w:rPr>
          <w:lang w:val="fr-FR"/>
        </w:rPr>
        <w:t>’</w:t>
      </w:r>
      <w:r w:rsidRPr="00F1660D">
        <w:rPr>
          <w:lang w:val="fr-FR"/>
        </w:rPr>
        <w:t>Assemblée mondiale de</w:t>
      </w:r>
      <w:r w:rsidR="00A50629" w:rsidRPr="00F1660D">
        <w:rPr>
          <w:lang w:val="fr-FR"/>
        </w:rPr>
        <w:t xml:space="preserve"> la </w:t>
      </w:r>
      <w:r w:rsidR="00566166" w:rsidRPr="00F1660D">
        <w:rPr>
          <w:lang w:val="fr-FR"/>
        </w:rPr>
        <w:t>S</w:t>
      </w:r>
      <w:r w:rsidRPr="00F1660D">
        <w:rPr>
          <w:lang w:val="fr-FR"/>
        </w:rPr>
        <w:t>anté de</w:t>
      </w:r>
      <w:r w:rsidR="00A50629" w:rsidRPr="00F1660D">
        <w:rPr>
          <w:lang w:val="fr-FR"/>
        </w:rPr>
        <w:t xml:space="preserve"> la </w:t>
      </w:r>
      <w:r w:rsidRPr="00F1660D">
        <w:rPr>
          <w:lang w:val="fr-FR"/>
        </w:rPr>
        <w:t>feuille de route de l</w:t>
      </w:r>
      <w:r w:rsidR="00CE30FD" w:rsidRPr="00F1660D">
        <w:rPr>
          <w:lang w:val="fr-FR"/>
        </w:rPr>
        <w:t>’</w:t>
      </w:r>
      <w:r w:rsidRPr="00F1660D">
        <w:rPr>
          <w:lang w:val="fr-FR"/>
        </w:rPr>
        <w:t>Organisation mondiale de</w:t>
      </w:r>
      <w:r w:rsidR="00A50629" w:rsidRPr="00F1660D">
        <w:rPr>
          <w:lang w:val="fr-FR"/>
        </w:rPr>
        <w:t xml:space="preserve"> la </w:t>
      </w:r>
      <w:r w:rsidR="003647E1" w:rsidRPr="00F1660D">
        <w:rPr>
          <w:lang w:val="fr-FR"/>
        </w:rPr>
        <w:t>S</w:t>
      </w:r>
      <w:r w:rsidRPr="00F1660D">
        <w:rPr>
          <w:lang w:val="fr-FR"/>
        </w:rPr>
        <w:t>anté (OMS) sur</w:t>
      </w:r>
      <w:r w:rsidR="00A50629" w:rsidRPr="00F1660D">
        <w:rPr>
          <w:lang w:val="fr-FR"/>
        </w:rPr>
        <w:t xml:space="preserve"> les </w:t>
      </w:r>
      <w:r w:rsidRPr="00F1660D">
        <w:rPr>
          <w:lang w:val="fr-FR"/>
        </w:rPr>
        <w:t>produits chimiques était digne d</w:t>
      </w:r>
      <w:r w:rsidR="00CE30FD" w:rsidRPr="00F1660D">
        <w:rPr>
          <w:lang w:val="fr-FR"/>
        </w:rPr>
        <w:t>’</w:t>
      </w:r>
      <w:r w:rsidRPr="00F1660D">
        <w:rPr>
          <w:lang w:val="fr-FR"/>
        </w:rPr>
        <w:t>attention.</w:t>
      </w:r>
    </w:p>
    <w:p w14:paraId="2F92D412" w14:textId="799E7391" w:rsidR="006579B1" w:rsidRPr="00F1660D" w:rsidRDefault="006579B1" w:rsidP="00D50259">
      <w:pPr>
        <w:pStyle w:val="CH4"/>
        <w:rPr>
          <w:lang w:val="fr-FR"/>
        </w:rPr>
      </w:pPr>
      <w:r w:rsidRPr="00F1660D">
        <w:rPr>
          <w:lang w:val="fr-FR"/>
        </w:rPr>
        <w:tab/>
        <w:t>b</w:t>
      </w:r>
      <w:r w:rsidR="00566166" w:rsidRPr="00F1660D">
        <w:rPr>
          <w:lang w:val="fr-FR"/>
        </w:rPr>
        <w:t>)</w:t>
      </w:r>
      <w:r w:rsidRPr="00F1660D">
        <w:rPr>
          <w:lang w:val="fr-FR"/>
        </w:rPr>
        <w:tab/>
        <w:t>Organisations intergouvernementales</w:t>
      </w:r>
    </w:p>
    <w:p w14:paraId="6A611043" w14:textId="700C008E" w:rsidR="004418CE" w:rsidRPr="00F1660D" w:rsidRDefault="004418CE" w:rsidP="00733A1C">
      <w:pPr>
        <w:pStyle w:val="Normalnumber"/>
        <w:rPr>
          <w:lang w:val="fr-FR"/>
        </w:rPr>
      </w:pPr>
      <w:r w:rsidRPr="00F1660D">
        <w:rPr>
          <w:lang w:val="fr-FR"/>
        </w:rPr>
        <w:t>L</w:t>
      </w:r>
      <w:r w:rsidR="009A116E" w:rsidRPr="00F1660D">
        <w:rPr>
          <w:lang w:val="fr-FR"/>
        </w:rPr>
        <w:t>a</w:t>
      </w:r>
      <w:r w:rsidRPr="00F1660D">
        <w:rPr>
          <w:lang w:val="fr-FR"/>
        </w:rPr>
        <w:t xml:space="preserve"> représentant</w:t>
      </w:r>
      <w:r w:rsidR="009A116E" w:rsidRPr="00F1660D">
        <w:rPr>
          <w:lang w:val="fr-FR"/>
        </w:rPr>
        <w:t>e</w:t>
      </w:r>
      <w:r w:rsidRPr="00F1660D">
        <w:rPr>
          <w:lang w:val="fr-FR"/>
        </w:rPr>
        <w:t xml:space="preserve"> du 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 xml:space="preserve">produits chimiques (IOMC) a </w:t>
      </w:r>
      <w:r w:rsidR="00413257" w:rsidRPr="00F1660D">
        <w:rPr>
          <w:lang w:val="fr-FR"/>
        </w:rPr>
        <w:t xml:space="preserve">indiqué </w:t>
      </w:r>
      <w:r w:rsidRPr="00F1660D">
        <w:rPr>
          <w:lang w:val="fr-FR"/>
        </w:rPr>
        <w:t>que</w:t>
      </w:r>
      <w:r w:rsidR="00A50629" w:rsidRPr="00F1660D">
        <w:rPr>
          <w:lang w:val="fr-FR"/>
        </w:rPr>
        <w:t xml:space="preserve"> les </w:t>
      </w:r>
      <w:r w:rsidRPr="00F1660D">
        <w:rPr>
          <w:lang w:val="fr-FR"/>
        </w:rPr>
        <w:t xml:space="preserve">organisations </w:t>
      </w:r>
      <w:r w:rsidR="0066684F" w:rsidRPr="00F1660D">
        <w:rPr>
          <w:lang w:val="fr-FR"/>
        </w:rPr>
        <w:t xml:space="preserve">participant à </w:t>
      </w:r>
      <w:r w:rsidR="006D39D0" w:rsidRPr="00F1660D">
        <w:rPr>
          <w:lang w:val="fr-FR"/>
        </w:rPr>
        <w:t>l</w:t>
      </w:r>
      <w:r w:rsidR="00CE30FD" w:rsidRPr="00F1660D">
        <w:rPr>
          <w:lang w:val="fr-FR"/>
        </w:rPr>
        <w:t>’</w:t>
      </w:r>
      <w:r w:rsidR="006D39D0" w:rsidRPr="00F1660D">
        <w:rPr>
          <w:lang w:val="fr-FR"/>
        </w:rPr>
        <w:t>IOMC</w:t>
      </w:r>
      <w:r w:rsidRPr="00F1660D">
        <w:rPr>
          <w:lang w:val="fr-FR"/>
        </w:rPr>
        <w:t xml:space="preserve"> </w:t>
      </w:r>
      <w:r w:rsidR="00413257" w:rsidRPr="00F1660D">
        <w:rPr>
          <w:lang w:val="fr-FR"/>
        </w:rPr>
        <w:t xml:space="preserve">s’étaient intensément attelées à mettre en œuvre </w:t>
      </w:r>
      <w:r w:rsidRPr="00F1660D">
        <w:rPr>
          <w:lang w:val="fr-FR"/>
        </w:rPr>
        <w:t>un large éventail d</w:t>
      </w:r>
      <w:r w:rsidR="00CE30FD" w:rsidRPr="00F1660D">
        <w:rPr>
          <w:lang w:val="fr-FR"/>
        </w:rPr>
        <w:t>’</w:t>
      </w:r>
      <w:r w:rsidRPr="00F1660D">
        <w:rPr>
          <w:lang w:val="fr-FR"/>
        </w:rPr>
        <w:t>activités à l</w:t>
      </w:r>
      <w:r w:rsidR="00CE30FD" w:rsidRPr="00F1660D">
        <w:rPr>
          <w:lang w:val="fr-FR"/>
        </w:rPr>
        <w:t>’</w:t>
      </w:r>
      <w:r w:rsidRPr="00F1660D">
        <w:rPr>
          <w:lang w:val="fr-FR"/>
        </w:rPr>
        <w:t>appui de</w:t>
      </w:r>
      <w:r w:rsidR="00A50629" w:rsidRPr="00F1660D">
        <w:rPr>
          <w:lang w:val="fr-FR"/>
        </w:rPr>
        <w:t xml:space="preserve"> la </w:t>
      </w:r>
      <w:r w:rsidRPr="00F1660D">
        <w:rPr>
          <w:lang w:val="fr-FR"/>
        </w:rPr>
        <w:t>mise en œuvre de l</w:t>
      </w:r>
      <w:r w:rsidR="00CE30FD" w:rsidRPr="00F1660D">
        <w:rPr>
          <w:lang w:val="fr-FR"/>
        </w:rPr>
        <w:t>’</w:t>
      </w:r>
      <w:r w:rsidRPr="00F1660D">
        <w:rPr>
          <w:lang w:val="fr-FR"/>
        </w:rPr>
        <w:t>Approche stratégique, qui étaient décrites dans une note d</w:t>
      </w:r>
      <w:r w:rsidR="00CE30FD" w:rsidRPr="00F1660D">
        <w:rPr>
          <w:lang w:val="fr-FR"/>
        </w:rPr>
        <w:t>’</w:t>
      </w:r>
      <w:r w:rsidRPr="00F1660D">
        <w:rPr>
          <w:lang w:val="fr-FR"/>
        </w:rPr>
        <w:t>information établie par l</w:t>
      </w:r>
      <w:r w:rsidR="00CE30FD" w:rsidRPr="00F1660D">
        <w:rPr>
          <w:lang w:val="fr-FR"/>
        </w:rPr>
        <w:t>’</w:t>
      </w:r>
      <w:r w:rsidRPr="00F1660D">
        <w:rPr>
          <w:lang w:val="fr-FR"/>
        </w:rPr>
        <w:t>IOMC pour</w:t>
      </w:r>
      <w:r w:rsidR="00A50629" w:rsidRPr="00F1660D">
        <w:rPr>
          <w:lang w:val="fr-FR"/>
        </w:rPr>
        <w:t xml:space="preserve"> la </w:t>
      </w:r>
      <w:r w:rsidRPr="00F1660D">
        <w:rPr>
          <w:lang w:val="fr-FR"/>
        </w:rPr>
        <w:t>réunion en cours (SAICM/OEWG.3/INF/6). Le caractère multisectoriel et multipartite propre à l</w:t>
      </w:r>
      <w:r w:rsidR="00CE30FD" w:rsidRPr="00F1660D">
        <w:rPr>
          <w:lang w:val="fr-FR"/>
        </w:rPr>
        <w:t>’</w:t>
      </w:r>
      <w:r w:rsidRPr="00F1660D">
        <w:rPr>
          <w:lang w:val="fr-FR"/>
        </w:rPr>
        <w:t>Approche était un de ses atouts, mais</w:t>
      </w:r>
      <w:r w:rsidR="00A50629" w:rsidRPr="00F1660D">
        <w:rPr>
          <w:lang w:val="fr-FR"/>
        </w:rPr>
        <w:t xml:space="preserve"> la </w:t>
      </w:r>
      <w:r w:rsidRPr="00F1660D">
        <w:rPr>
          <w:lang w:val="fr-FR"/>
        </w:rPr>
        <w:t>participation</w:t>
      </w:r>
      <w:r w:rsidR="00A50629" w:rsidRPr="00F1660D">
        <w:rPr>
          <w:lang w:val="fr-FR"/>
        </w:rPr>
        <w:t xml:space="preserve"> des </w:t>
      </w:r>
      <w:r w:rsidRPr="00F1660D">
        <w:rPr>
          <w:lang w:val="fr-FR"/>
        </w:rPr>
        <w:t>différents secteurs et parties prenantes ayant été inégale dans</w:t>
      </w:r>
      <w:r w:rsidR="00A50629" w:rsidRPr="00F1660D">
        <w:rPr>
          <w:lang w:val="fr-FR"/>
        </w:rPr>
        <w:t xml:space="preserve"> la </w:t>
      </w:r>
      <w:r w:rsidRPr="00F1660D">
        <w:rPr>
          <w:lang w:val="fr-FR"/>
        </w:rPr>
        <w:t>pratique, l</w:t>
      </w:r>
      <w:r w:rsidR="00CE30FD" w:rsidRPr="00F1660D">
        <w:rPr>
          <w:lang w:val="fr-FR"/>
        </w:rPr>
        <w:t>’</w:t>
      </w:r>
      <w:r w:rsidRPr="00F1660D">
        <w:rPr>
          <w:lang w:val="fr-FR"/>
        </w:rPr>
        <w:t>IOMC suggérerait</w:t>
      </w:r>
      <w:r w:rsidR="00A50629" w:rsidRPr="00F1660D">
        <w:rPr>
          <w:lang w:val="fr-FR"/>
        </w:rPr>
        <w:t xml:space="preserve"> des </w:t>
      </w:r>
      <w:r w:rsidRPr="00F1660D">
        <w:rPr>
          <w:lang w:val="fr-FR"/>
        </w:rPr>
        <w:t>moyens d</w:t>
      </w:r>
      <w:r w:rsidR="00CE30FD" w:rsidRPr="00F1660D">
        <w:rPr>
          <w:lang w:val="fr-FR"/>
        </w:rPr>
        <w:t>’</w:t>
      </w:r>
      <w:r w:rsidRPr="00F1660D">
        <w:rPr>
          <w:lang w:val="fr-FR"/>
        </w:rPr>
        <w:t>assurer un plus grand engagement de tous</w:t>
      </w:r>
      <w:r w:rsidR="00A50629" w:rsidRPr="00F1660D">
        <w:rPr>
          <w:lang w:val="fr-FR"/>
        </w:rPr>
        <w:t xml:space="preserve"> les </w:t>
      </w:r>
      <w:r w:rsidRPr="00F1660D">
        <w:rPr>
          <w:lang w:val="fr-FR"/>
        </w:rPr>
        <w:t>secteurs et parties prenantes concernés dans</w:t>
      </w:r>
      <w:r w:rsidR="00A50629" w:rsidRPr="00F1660D">
        <w:rPr>
          <w:lang w:val="fr-FR"/>
        </w:rPr>
        <w:t xml:space="preserve"> le </w:t>
      </w:r>
      <w:r w:rsidRPr="00F1660D">
        <w:rPr>
          <w:lang w:val="fr-FR"/>
        </w:rPr>
        <w:t>cadre envisagé pour l</w:t>
      </w:r>
      <w:r w:rsidR="00CE30FD" w:rsidRPr="00F1660D">
        <w:rPr>
          <w:lang w:val="fr-FR"/>
        </w:rPr>
        <w:t>’</w:t>
      </w:r>
      <w:r w:rsidRPr="00F1660D">
        <w:rPr>
          <w:lang w:val="fr-FR"/>
        </w:rPr>
        <w:t xml:space="preserve">après-2020. </w:t>
      </w:r>
      <w:r w:rsidR="009A116E" w:rsidRPr="00F1660D">
        <w:rPr>
          <w:lang w:val="fr-FR"/>
        </w:rPr>
        <w:t>Elle</w:t>
      </w:r>
      <w:r w:rsidRPr="00F1660D">
        <w:rPr>
          <w:lang w:val="fr-FR"/>
        </w:rPr>
        <w:t xml:space="preserve"> estim</w:t>
      </w:r>
      <w:r w:rsidR="00413257" w:rsidRPr="00F1660D">
        <w:rPr>
          <w:lang w:val="fr-FR"/>
        </w:rPr>
        <w:t>ait</w:t>
      </w:r>
      <w:r w:rsidRPr="00F1660D">
        <w:rPr>
          <w:lang w:val="fr-FR"/>
        </w:rPr>
        <w:t xml:space="preserve"> que</w:t>
      </w:r>
      <w:r w:rsidR="00A50629" w:rsidRPr="00F1660D">
        <w:rPr>
          <w:lang w:val="fr-FR"/>
        </w:rPr>
        <w:t xml:space="preserve"> le </w:t>
      </w:r>
      <w:r w:rsidRPr="00F1660D">
        <w:rPr>
          <w:lang w:val="fr-FR"/>
        </w:rPr>
        <w:t>cadre pour l</w:t>
      </w:r>
      <w:r w:rsidR="00CE30FD" w:rsidRPr="00F1660D">
        <w:rPr>
          <w:lang w:val="fr-FR"/>
        </w:rPr>
        <w:t>’</w:t>
      </w:r>
      <w:r w:rsidRPr="00F1660D">
        <w:rPr>
          <w:lang w:val="fr-FR"/>
        </w:rPr>
        <w:t>après-2020 devrait avoir pour objectif d</w:t>
      </w:r>
      <w:r w:rsidR="00CE30FD" w:rsidRPr="00F1660D">
        <w:rPr>
          <w:lang w:val="fr-FR"/>
        </w:rPr>
        <w:t>’</w:t>
      </w:r>
      <w:r w:rsidRPr="00F1660D">
        <w:rPr>
          <w:lang w:val="fr-FR"/>
        </w:rPr>
        <w:t>améliorer</w:t>
      </w:r>
      <w:r w:rsidR="00A50629" w:rsidRPr="00F1660D">
        <w:rPr>
          <w:lang w:val="fr-FR"/>
        </w:rPr>
        <w:t xml:space="preserve"> la </w:t>
      </w:r>
      <w:r w:rsidRPr="00F1660D">
        <w:rPr>
          <w:lang w:val="fr-FR"/>
        </w:rPr>
        <w:t>santé</w:t>
      </w:r>
      <w:r w:rsidR="00A50629" w:rsidRPr="00F1660D">
        <w:rPr>
          <w:lang w:val="fr-FR"/>
        </w:rPr>
        <w:t xml:space="preserve"> des </w:t>
      </w:r>
      <w:r w:rsidRPr="00F1660D">
        <w:rPr>
          <w:lang w:val="fr-FR"/>
        </w:rPr>
        <w:t>populations et</w:t>
      </w:r>
      <w:r w:rsidR="00A50629" w:rsidRPr="00F1660D">
        <w:rPr>
          <w:lang w:val="fr-FR"/>
        </w:rPr>
        <w:t xml:space="preserve"> des </w:t>
      </w:r>
      <w:r w:rsidRPr="00F1660D">
        <w:rPr>
          <w:lang w:val="fr-FR"/>
        </w:rPr>
        <w:t>écosystèmes, compte tenu</w:t>
      </w:r>
      <w:r w:rsidR="00A50629" w:rsidRPr="00F1660D">
        <w:rPr>
          <w:lang w:val="fr-FR"/>
        </w:rPr>
        <w:t xml:space="preserve"> des </w:t>
      </w:r>
      <w:r w:rsidRPr="00F1660D">
        <w:rPr>
          <w:lang w:val="fr-FR"/>
        </w:rPr>
        <w:t>priorités nationales et régionales et du</w:t>
      </w:r>
      <w:r w:rsidR="00D50259" w:rsidRPr="00F1660D">
        <w:rPr>
          <w:lang w:val="fr-FR"/>
        </w:rPr>
        <w:t> </w:t>
      </w:r>
      <w:r w:rsidRPr="00F1660D">
        <w:rPr>
          <w:lang w:val="fr-FR"/>
        </w:rPr>
        <w:t xml:space="preserve">Programme 2030. Pour finir, </w:t>
      </w:r>
      <w:r w:rsidR="009A116E" w:rsidRPr="00F1660D">
        <w:rPr>
          <w:lang w:val="fr-FR"/>
        </w:rPr>
        <w:t>elle</w:t>
      </w:r>
      <w:r w:rsidRPr="00F1660D">
        <w:rPr>
          <w:lang w:val="fr-FR"/>
        </w:rPr>
        <w:t xml:space="preserve"> a déclaré que l</w:t>
      </w:r>
      <w:r w:rsidR="00CE30FD" w:rsidRPr="00F1660D">
        <w:rPr>
          <w:lang w:val="fr-FR"/>
        </w:rPr>
        <w:t>’</w:t>
      </w:r>
      <w:r w:rsidRPr="00F1660D">
        <w:rPr>
          <w:lang w:val="fr-FR"/>
        </w:rPr>
        <w:t>IOMC appuyait sans réserve l</w:t>
      </w:r>
      <w:r w:rsidR="00CE30FD" w:rsidRPr="00F1660D">
        <w:rPr>
          <w:lang w:val="fr-FR"/>
        </w:rPr>
        <w:t>’</w:t>
      </w:r>
      <w:r w:rsidRPr="00F1660D">
        <w:rPr>
          <w:lang w:val="fr-FR"/>
        </w:rPr>
        <w:t>Approche stratégique et</w:t>
      </w:r>
      <w:r w:rsidR="00A50629" w:rsidRPr="00F1660D">
        <w:rPr>
          <w:lang w:val="fr-FR"/>
        </w:rPr>
        <w:t xml:space="preserve"> le </w:t>
      </w:r>
      <w:r w:rsidRPr="00F1660D">
        <w:rPr>
          <w:lang w:val="fr-FR"/>
        </w:rPr>
        <w:t>processus post-2020.</w:t>
      </w:r>
    </w:p>
    <w:p w14:paraId="49559F2F" w14:textId="23E7FA9A" w:rsidR="004418CE" w:rsidRPr="00F1660D" w:rsidRDefault="004418CE" w:rsidP="00F45B61">
      <w:pPr>
        <w:pStyle w:val="Normalnumber"/>
        <w:keepNext/>
        <w:keepLines/>
        <w:rPr>
          <w:lang w:val="fr-FR"/>
        </w:rPr>
      </w:pPr>
      <w:r w:rsidRPr="00F1660D">
        <w:rPr>
          <w:lang w:val="fr-FR"/>
        </w:rPr>
        <w:t xml:space="preserve">Le représentant de </w:t>
      </w:r>
      <w:r w:rsidR="00413257" w:rsidRPr="00F1660D">
        <w:rPr>
          <w:lang w:val="fr-FR"/>
        </w:rPr>
        <w:t>l’</w:t>
      </w:r>
      <w:proofErr w:type="spellStart"/>
      <w:r w:rsidR="00413257" w:rsidRPr="00F1660D">
        <w:rPr>
          <w:lang w:val="fr-FR"/>
        </w:rPr>
        <w:t>Africa</w:t>
      </w:r>
      <w:proofErr w:type="spellEnd"/>
      <w:r w:rsidR="00413257" w:rsidRPr="00F1660D">
        <w:rPr>
          <w:lang w:val="fr-FR"/>
        </w:rPr>
        <w:t xml:space="preserve"> Institute </w:t>
      </w:r>
      <w:r w:rsidRPr="00F1660D">
        <w:rPr>
          <w:lang w:val="fr-FR"/>
        </w:rPr>
        <w:t xml:space="preserve">a </w:t>
      </w:r>
      <w:r w:rsidR="00413257" w:rsidRPr="00F1660D">
        <w:rPr>
          <w:lang w:val="fr-FR"/>
        </w:rPr>
        <w:t xml:space="preserve">insisté sur </w:t>
      </w:r>
      <w:r w:rsidRPr="00F1660D">
        <w:rPr>
          <w:lang w:val="fr-FR"/>
        </w:rPr>
        <w:t>l</w:t>
      </w:r>
      <w:r w:rsidR="00CE30FD" w:rsidRPr="00F1660D">
        <w:rPr>
          <w:lang w:val="fr-FR"/>
        </w:rPr>
        <w:t>’</w:t>
      </w:r>
      <w:r w:rsidRPr="00F1660D">
        <w:rPr>
          <w:lang w:val="fr-FR"/>
        </w:rPr>
        <w:t>importance d</w:t>
      </w:r>
      <w:r w:rsidR="00CE30FD" w:rsidRPr="00F1660D">
        <w:rPr>
          <w:lang w:val="fr-FR"/>
        </w:rPr>
        <w:t>’</w:t>
      </w:r>
      <w:r w:rsidRPr="00F1660D">
        <w:rPr>
          <w:lang w:val="fr-FR"/>
        </w:rPr>
        <w:t>examiner</w:t>
      </w:r>
      <w:r w:rsidR="00A50629" w:rsidRPr="00F1660D">
        <w:rPr>
          <w:lang w:val="fr-FR"/>
        </w:rPr>
        <w:t xml:space="preserve"> les </w:t>
      </w:r>
      <w:r w:rsidRPr="00F1660D">
        <w:rPr>
          <w:lang w:val="fr-FR"/>
        </w:rPr>
        <w:t>principaux éléments constitutifs du cadre pour l</w:t>
      </w:r>
      <w:r w:rsidR="00CE30FD" w:rsidRPr="00F1660D">
        <w:rPr>
          <w:lang w:val="fr-FR"/>
        </w:rPr>
        <w:t>’</w:t>
      </w:r>
      <w:r w:rsidRPr="00F1660D">
        <w:rPr>
          <w:lang w:val="fr-FR"/>
        </w:rPr>
        <w:t>après-2020, notamment sa vision, ses principes, sa</w:t>
      </w:r>
      <w:r w:rsidR="00D50259" w:rsidRPr="00F1660D">
        <w:rPr>
          <w:lang w:val="fr-FR"/>
        </w:rPr>
        <w:t> </w:t>
      </w:r>
      <w:r w:rsidRPr="00F1660D">
        <w:rPr>
          <w:lang w:val="fr-FR"/>
        </w:rPr>
        <w:t>gouvernance, son mécanisme de financement et son cadre institutionnel, ainsi que ses principaux intervenants et leurs rôles respectifs, soulignant que l</w:t>
      </w:r>
      <w:r w:rsidR="00CE30FD" w:rsidRPr="00F1660D">
        <w:rPr>
          <w:lang w:val="fr-FR"/>
        </w:rPr>
        <w:t>’</w:t>
      </w:r>
      <w:r w:rsidRPr="00F1660D">
        <w:rPr>
          <w:lang w:val="fr-FR"/>
        </w:rPr>
        <w:t>industrie devrait</w:t>
      </w:r>
      <w:r w:rsidR="00A50629" w:rsidRPr="00F1660D">
        <w:rPr>
          <w:lang w:val="fr-FR"/>
        </w:rPr>
        <w:t xml:space="preserve"> y </w:t>
      </w:r>
      <w:r w:rsidRPr="00F1660D">
        <w:rPr>
          <w:lang w:val="fr-FR"/>
        </w:rPr>
        <w:t>être plus réceptive et</w:t>
      </w:r>
      <w:r w:rsidR="00A50629" w:rsidRPr="00F1660D">
        <w:rPr>
          <w:lang w:val="fr-FR"/>
        </w:rPr>
        <w:t xml:space="preserve"> y </w:t>
      </w:r>
      <w:r w:rsidRPr="00F1660D">
        <w:rPr>
          <w:lang w:val="fr-FR"/>
        </w:rPr>
        <w:t>participer davantage. La coopération internationale,</w:t>
      </w:r>
      <w:r w:rsidR="00A50629" w:rsidRPr="00F1660D">
        <w:rPr>
          <w:lang w:val="fr-FR"/>
        </w:rPr>
        <w:t xml:space="preserve"> le </w:t>
      </w:r>
      <w:r w:rsidRPr="00F1660D">
        <w:rPr>
          <w:lang w:val="fr-FR"/>
        </w:rPr>
        <w:t>renforcement</w:t>
      </w:r>
      <w:r w:rsidR="00A50629" w:rsidRPr="00F1660D">
        <w:rPr>
          <w:lang w:val="fr-FR"/>
        </w:rPr>
        <w:t xml:space="preserve"> des </w:t>
      </w:r>
      <w:r w:rsidRPr="00F1660D">
        <w:rPr>
          <w:lang w:val="fr-FR"/>
        </w:rPr>
        <w:t>capacités,</w:t>
      </w:r>
      <w:r w:rsidR="00A50629" w:rsidRPr="00F1660D">
        <w:rPr>
          <w:lang w:val="fr-FR"/>
        </w:rPr>
        <w:t xml:space="preserve"> le </w:t>
      </w:r>
      <w:r w:rsidRPr="00F1660D">
        <w:rPr>
          <w:lang w:val="fr-FR"/>
        </w:rPr>
        <w:t>transfert de</w:t>
      </w:r>
      <w:r w:rsidR="00D50259" w:rsidRPr="00F1660D">
        <w:rPr>
          <w:lang w:val="fr-FR"/>
        </w:rPr>
        <w:t> </w:t>
      </w:r>
      <w:r w:rsidRPr="00F1660D">
        <w:rPr>
          <w:lang w:val="fr-FR"/>
        </w:rPr>
        <w:t>technologie et</w:t>
      </w:r>
      <w:r w:rsidR="00A50629" w:rsidRPr="00F1660D">
        <w:rPr>
          <w:lang w:val="fr-FR"/>
        </w:rPr>
        <w:t xml:space="preserve"> des </w:t>
      </w:r>
      <w:r w:rsidRPr="00F1660D">
        <w:rPr>
          <w:lang w:val="fr-FR"/>
        </w:rPr>
        <w:t>partenariats plus larges et plus solides étaient tous essentiels pour sa réussite. Notant qu</w:t>
      </w:r>
      <w:r w:rsidR="00CE30FD" w:rsidRPr="00F1660D">
        <w:rPr>
          <w:lang w:val="fr-FR"/>
        </w:rPr>
        <w:t>’</w:t>
      </w:r>
      <w:r w:rsidRPr="00F1660D">
        <w:rPr>
          <w:lang w:val="fr-FR"/>
        </w:rPr>
        <w:t>aucun progrès ne pouvait être réalisé en l</w:t>
      </w:r>
      <w:r w:rsidR="00CE30FD" w:rsidRPr="00F1660D">
        <w:rPr>
          <w:lang w:val="fr-FR"/>
        </w:rPr>
        <w:t>’</w:t>
      </w:r>
      <w:r w:rsidRPr="00F1660D">
        <w:rPr>
          <w:lang w:val="fr-FR"/>
        </w:rPr>
        <w:t>absence de ressources financières adéquates, il</w:t>
      </w:r>
      <w:r w:rsidR="00D50259" w:rsidRPr="00F1660D">
        <w:rPr>
          <w:lang w:val="fr-FR"/>
        </w:rPr>
        <w:t> </w:t>
      </w:r>
      <w:r w:rsidRPr="00F1660D">
        <w:rPr>
          <w:lang w:val="fr-FR"/>
        </w:rPr>
        <w:t>a</w:t>
      </w:r>
      <w:r w:rsidR="00D50259" w:rsidRPr="00F1660D">
        <w:rPr>
          <w:lang w:val="fr-FR"/>
        </w:rPr>
        <w:t> </w:t>
      </w:r>
      <w:r w:rsidRPr="00F1660D">
        <w:rPr>
          <w:lang w:val="fr-FR"/>
        </w:rPr>
        <w:t>exprimé l</w:t>
      </w:r>
      <w:r w:rsidR="00CE30FD" w:rsidRPr="00F1660D">
        <w:rPr>
          <w:lang w:val="fr-FR"/>
        </w:rPr>
        <w:t>’</w:t>
      </w:r>
      <w:r w:rsidRPr="00F1660D">
        <w:rPr>
          <w:lang w:val="fr-FR"/>
        </w:rPr>
        <w:t>espoir que</w:t>
      </w:r>
      <w:r w:rsidR="00A50629" w:rsidRPr="00F1660D">
        <w:rPr>
          <w:lang w:val="fr-FR"/>
        </w:rPr>
        <w:t xml:space="preserve"> le </w:t>
      </w:r>
      <w:r w:rsidRPr="00F1660D">
        <w:rPr>
          <w:lang w:val="fr-FR"/>
        </w:rPr>
        <w:t>Groupe de travail se pencherait à</w:t>
      </w:r>
      <w:r w:rsidR="00A50629" w:rsidRPr="00F1660D">
        <w:rPr>
          <w:lang w:val="fr-FR"/>
        </w:rPr>
        <w:t xml:space="preserve"> la </w:t>
      </w:r>
      <w:r w:rsidRPr="00F1660D">
        <w:rPr>
          <w:lang w:val="fr-FR"/>
        </w:rPr>
        <w:t>réunion en cours sur un mécanisme de</w:t>
      </w:r>
      <w:r w:rsidR="00D50259" w:rsidRPr="00F1660D">
        <w:rPr>
          <w:lang w:val="fr-FR"/>
        </w:rPr>
        <w:t> </w:t>
      </w:r>
      <w:r w:rsidRPr="00F1660D">
        <w:rPr>
          <w:lang w:val="fr-FR"/>
        </w:rPr>
        <w:t>financement pour l</w:t>
      </w:r>
      <w:r w:rsidR="00CE30FD" w:rsidRPr="00F1660D">
        <w:rPr>
          <w:lang w:val="fr-FR"/>
        </w:rPr>
        <w:t>’</w:t>
      </w:r>
      <w:r w:rsidRPr="00F1660D">
        <w:rPr>
          <w:lang w:val="fr-FR"/>
        </w:rPr>
        <w:t>avenir.</w:t>
      </w:r>
    </w:p>
    <w:p w14:paraId="7597F22F" w14:textId="3C260A22" w:rsidR="006579B1" w:rsidRPr="00F1660D" w:rsidRDefault="004418CE" w:rsidP="00D50259">
      <w:pPr>
        <w:pStyle w:val="CH4"/>
        <w:rPr>
          <w:lang w:val="fr-FR"/>
        </w:rPr>
      </w:pPr>
      <w:r w:rsidRPr="00F1660D">
        <w:rPr>
          <w:lang w:val="fr-FR"/>
        </w:rPr>
        <w:tab/>
      </w:r>
      <w:r w:rsidR="006579B1" w:rsidRPr="00F1660D">
        <w:rPr>
          <w:lang w:val="fr-FR"/>
        </w:rPr>
        <w:t>c</w:t>
      </w:r>
      <w:r w:rsidR="00C76A95" w:rsidRPr="00F1660D">
        <w:rPr>
          <w:lang w:val="fr-FR"/>
        </w:rPr>
        <w:t>)</w:t>
      </w:r>
      <w:r w:rsidR="006579B1" w:rsidRPr="00F1660D">
        <w:rPr>
          <w:lang w:val="fr-FR"/>
        </w:rPr>
        <w:tab/>
        <w:t>Organisations non gouvernementales</w:t>
      </w:r>
    </w:p>
    <w:p w14:paraId="2919BE0F" w14:textId="298DD118" w:rsidR="004418CE" w:rsidRPr="00F1660D" w:rsidRDefault="004418CE" w:rsidP="00733A1C">
      <w:pPr>
        <w:pStyle w:val="Normalnumber"/>
        <w:rPr>
          <w:lang w:val="fr-FR"/>
        </w:rPr>
      </w:pPr>
      <w:r w:rsidRPr="00F1660D">
        <w:rPr>
          <w:lang w:val="fr-FR"/>
        </w:rPr>
        <w:t xml:space="preserve">La représentante </w:t>
      </w:r>
      <w:r w:rsidR="007436D8" w:rsidRPr="00F1660D">
        <w:rPr>
          <w:lang w:val="fr-FR"/>
        </w:rPr>
        <w:t>d</w:t>
      </w:r>
      <w:r w:rsidR="00CE30FD" w:rsidRPr="00F1660D">
        <w:rPr>
          <w:lang w:val="fr-FR"/>
        </w:rPr>
        <w:t>’</w:t>
      </w:r>
      <w:r w:rsidR="007436D8" w:rsidRPr="00F1660D">
        <w:rPr>
          <w:lang w:val="fr-FR"/>
        </w:rPr>
        <w:t xml:space="preserve">une organisation non gouvernementale </w:t>
      </w:r>
      <w:r w:rsidRPr="00F1660D">
        <w:rPr>
          <w:lang w:val="fr-FR"/>
        </w:rPr>
        <w:t>s</w:t>
      </w:r>
      <w:r w:rsidR="00CE30FD" w:rsidRPr="00F1660D">
        <w:rPr>
          <w:lang w:val="fr-FR"/>
        </w:rPr>
        <w:t>’</w:t>
      </w:r>
      <w:r w:rsidRPr="00F1660D">
        <w:rPr>
          <w:lang w:val="fr-FR"/>
        </w:rPr>
        <w:t>est déclarée profondément préoccupée par</w:t>
      </w:r>
      <w:r w:rsidR="00A50629" w:rsidRPr="00F1660D">
        <w:rPr>
          <w:lang w:val="fr-FR"/>
        </w:rPr>
        <w:t xml:space="preserve"> le </w:t>
      </w:r>
      <w:r w:rsidRPr="00F1660D">
        <w:rPr>
          <w:lang w:val="fr-FR"/>
        </w:rPr>
        <w:t>fait que l</w:t>
      </w:r>
      <w:r w:rsidR="00CE30FD" w:rsidRPr="00F1660D">
        <w:rPr>
          <w:lang w:val="fr-FR"/>
        </w:rPr>
        <w:t>’</w:t>
      </w:r>
      <w:r w:rsidRPr="00F1660D">
        <w:rPr>
          <w:lang w:val="fr-FR"/>
        </w:rPr>
        <w:t>Approche stratégique n</w:t>
      </w:r>
      <w:r w:rsidR="00CE30FD" w:rsidRPr="00F1660D">
        <w:rPr>
          <w:lang w:val="fr-FR"/>
        </w:rPr>
        <w:t>’</w:t>
      </w:r>
      <w:r w:rsidRPr="00F1660D">
        <w:rPr>
          <w:lang w:val="fr-FR"/>
        </w:rPr>
        <w:t>avait pas abordé</w:t>
      </w:r>
      <w:r w:rsidR="00A50629" w:rsidRPr="00F1660D">
        <w:rPr>
          <w:lang w:val="fr-FR"/>
        </w:rPr>
        <w:t xml:space="preserve"> la </w:t>
      </w:r>
      <w:r w:rsidRPr="00F1660D">
        <w:rPr>
          <w:lang w:val="fr-FR"/>
        </w:rPr>
        <w:t>question</w:t>
      </w:r>
      <w:r w:rsidR="00A50629" w:rsidRPr="00F1660D">
        <w:rPr>
          <w:lang w:val="fr-FR"/>
        </w:rPr>
        <w:t xml:space="preserve"> des </w:t>
      </w:r>
      <w:r w:rsidRPr="00F1660D">
        <w:rPr>
          <w:lang w:val="fr-FR"/>
        </w:rPr>
        <w:t>pesticides hautement dangereux, notant que, malgré</w:t>
      </w:r>
      <w:r w:rsidR="00A50629" w:rsidRPr="00F1660D">
        <w:rPr>
          <w:lang w:val="fr-FR"/>
        </w:rPr>
        <w:t xml:space="preserve"> les </w:t>
      </w:r>
      <w:r w:rsidRPr="00F1660D">
        <w:rPr>
          <w:lang w:val="fr-FR"/>
        </w:rPr>
        <w:t>tentatives faites par</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de s</w:t>
      </w:r>
      <w:r w:rsidR="00CE30FD" w:rsidRPr="00F1660D">
        <w:rPr>
          <w:lang w:val="fr-FR"/>
        </w:rPr>
        <w:t>’</w:t>
      </w:r>
      <w:r w:rsidRPr="00F1660D">
        <w:rPr>
          <w:lang w:val="fr-FR"/>
        </w:rPr>
        <w:t>attaquer à ce problè</w:t>
      </w:r>
      <w:r w:rsidR="007436D8" w:rsidRPr="00F1660D">
        <w:rPr>
          <w:lang w:val="fr-FR"/>
        </w:rPr>
        <w:t>m</w:t>
      </w:r>
      <w:r w:rsidRPr="00F1660D">
        <w:rPr>
          <w:lang w:val="fr-FR"/>
        </w:rPr>
        <w:t xml:space="preserve">e à ses troisième et quatrième </w:t>
      </w:r>
      <w:r w:rsidR="007436D8" w:rsidRPr="00F1660D">
        <w:rPr>
          <w:lang w:val="fr-FR"/>
        </w:rPr>
        <w:t>sess</w:t>
      </w:r>
      <w:r w:rsidRPr="00F1660D">
        <w:rPr>
          <w:lang w:val="fr-FR"/>
        </w:rPr>
        <w:t>ions en demandant, respectivement, une élimination progressive de ces pesticides et</w:t>
      </w:r>
      <w:r w:rsidR="00A50629" w:rsidRPr="00F1660D">
        <w:rPr>
          <w:lang w:val="fr-FR"/>
        </w:rPr>
        <w:t xml:space="preserve"> la </w:t>
      </w:r>
      <w:r w:rsidRPr="00F1660D">
        <w:rPr>
          <w:lang w:val="fr-FR"/>
        </w:rPr>
        <w:t>création d</w:t>
      </w:r>
      <w:r w:rsidR="00CE30FD" w:rsidRPr="00F1660D">
        <w:rPr>
          <w:lang w:val="fr-FR"/>
        </w:rPr>
        <w:t>’</w:t>
      </w:r>
      <w:r w:rsidRPr="00F1660D">
        <w:rPr>
          <w:lang w:val="fr-FR"/>
        </w:rPr>
        <w:t>une alliance mondiale contre</w:t>
      </w:r>
      <w:r w:rsidR="00A50629" w:rsidRPr="00F1660D">
        <w:rPr>
          <w:lang w:val="fr-FR"/>
        </w:rPr>
        <w:t xml:space="preserve"> les </w:t>
      </w:r>
      <w:r w:rsidRPr="00F1660D">
        <w:rPr>
          <w:lang w:val="fr-FR"/>
        </w:rPr>
        <w:t>pesticides très dangereux, quelques représentants avaient entravé</w:t>
      </w:r>
      <w:r w:rsidR="00A50629" w:rsidRPr="00F1660D">
        <w:rPr>
          <w:lang w:val="fr-FR"/>
        </w:rPr>
        <w:t xml:space="preserve"> les </w:t>
      </w:r>
      <w:r w:rsidRPr="00F1660D">
        <w:rPr>
          <w:lang w:val="fr-FR"/>
        </w:rPr>
        <w:t>efforts dans ce sens. Rappelant</w:t>
      </w:r>
      <w:r w:rsidR="00A50629" w:rsidRPr="00F1660D">
        <w:rPr>
          <w:lang w:val="fr-FR"/>
        </w:rPr>
        <w:t xml:space="preserve"> les </w:t>
      </w:r>
      <w:r w:rsidRPr="00F1660D">
        <w:rPr>
          <w:lang w:val="fr-FR"/>
        </w:rPr>
        <w:t>résultats d</w:t>
      </w:r>
      <w:r w:rsidR="00CE30FD" w:rsidRPr="00F1660D">
        <w:rPr>
          <w:lang w:val="fr-FR"/>
        </w:rPr>
        <w:t>’</w:t>
      </w:r>
      <w:r w:rsidRPr="00F1660D">
        <w:rPr>
          <w:lang w:val="fr-FR"/>
        </w:rPr>
        <w:t xml:space="preserve">un récent programme de surveillance mis en place par </w:t>
      </w:r>
      <w:r w:rsidR="00527490" w:rsidRPr="00F1660D">
        <w:rPr>
          <w:lang w:val="fr-FR"/>
        </w:rPr>
        <w:t>le réseau Pesticide Action Network Asia and the Pacific (</w:t>
      </w:r>
      <w:r w:rsidRPr="00F1660D">
        <w:rPr>
          <w:lang w:val="fr-FR"/>
        </w:rPr>
        <w:t>PAN-AP</w:t>
      </w:r>
      <w:r w:rsidR="00527490" w:rsidRPr="00F1660D">
        <w:rPr>
          <w:lang w:val="fr-FR"/>
        </w:rPr>
        <w:t>)</w:t>
      </w:r>
      <w:r w:rsidRPr="00F1660D">
        <w:rPr>
          <w:lang w:val="fr-FR"/>
        </w:rPr>
        <w:t xml:space="preserve"> dans</w:t>
      </w:r>
      <w:r w:rsidR="00D50259" w:rsidRPr="00F1660D">
        <w:rPr>
          <w:lang w:val="fr-FR"/>
        </w:rPr>
        <w:t> </w:t>
      </w:r>
      <w:r w:rsidRPr="00F1660D">
        <w:rPr>
          <w:lang w:val="fr-FR"/>
        </w:rPr>
        <w:t>sept pays d</w:t>
      </w:r>
      <w:r w:rsidR="00CE30FD" w:rsidRPr="00F1660D">
        <w:rPr>
          <w:lang w:val="fr-FR"/>
        </w:rPr>
        <w:t>’</w:t>
      </w:r>
      <w:r w:rsidR="007320A4" w:rsidRPr="00F1660D">
        <w:rPr>
          <w:lang w:val="fr-FR"/>
        </w:rPr>
        <w:t>Asie, qui avaient montré que 70 </w:t>
      </w:r>
      <w:r w:rsidRPr="00F1660D">
        <w:rPr>
          <w:lang w:val="fr-FR"/>
        </w:rPr>
        <w:t>%</w:t>
      </w:r>
      <w:r w:rsidR="00A50629" w:rsidRPr="00F1660D">
        <w:rPr>
          <w:lang w:val="fr-FR"/>
        </w:rPr>
        <w:t xml:space="preserve"> des </w:t>
      </w:r>
      <w:r w:rsidRPr="00F1660D">
        <w:rPr>
          <w:lang w:val="fr-FR"/>
        </w:rPr>
        <w:t>agriculteurs souffraient d</w:t>
      </w:r>
      <w:r w:rsidR="00CE30FD" w:rsidRPr="00F1660D">
        <w:rPr>
          <w:lang w:val="fr-FR"/>
        </w:rPr>
        <w:t>’</w:t>
      </w:r>
      <w:r w:rsidRPr="00F1660D">
        <w:rPr>
          <w:lang w:val="fr-FR"/>
        </w:rPr>
        <w:t>empoisonnement aigu aux pesticides, elle a vivement engagé</w:t>
      </w:r>
      <w:r w:rsidR="00A50629" w:rsidRPr="00F1660D">
        <w:rPr>
          <w:lang w:val="fr-FR"/>
        </w:rPr>
        <w:t xml:space="preserve"> les </w:t>
      </w:r>
      <w:r w:rsidRPr="00F1660D">
        <w:rPr>
          <w:lang w:val="fr-FR"/>
        </w:rPr>
        <w:t xml:space="preserve">représentants à se demander si cette situation était acceptable à leurs yeux et, si </w:t>
      </w:r>
      <w:r w:rsidR="00527490" w:rsidRPr="00F1660D">
        <w:rPr>
          <w:lang w:val="fr-FR"/>
        </w:rPr>
        <w:t xml:space="preserve">cela ne l’était pas, </w:t>
      </w:r>
      <w:r w:rsidRPr="00F1660D">
        <w:rPr>
          <w:lang w:val="fr-FR"/>
        </w:rPr>
        <w:t>à réfléchi</w:t>
      </w:r>
      <w:r w:rsidR="007320A4" w:rsidRPr="00F1660D">
        <w:rPr>
          <w:lang w:val="fr-FR"/>
        </w:rPr>
        <w:t>r à</w:t>
      </w:r>
      <w:r w:rsidR="00A50629" w:rsidRPr="00F1660D">
        <w:rPr>
          <w:lang w:val="fr-FR"/>
        </w:rPr>
        <w:t xml:space="preserve"> la </w:t>
      </w:r>
      <w:r w:rsidR="007320A4" w:rsidRPr="00F1660D">
        <w:rPr>
          <w:lang w:val="fr-FR"/>
        </w:rPr>
        <w:t>manière d</w:t>
      </w:r>
      <w:r w:rsidR="00527490" w:rsidRPr="00F1660D">
        <w:rPr>
          <w:lang w:val="fr-FR"/>
        </w:rPr>
        <w:t xml:space="preserve">ont on pouvait </w:t>
      </w:r>
      <w:r w:rsidR="007B4ECA" w:rsidRPr="00F1660D">
        <w:rPr>
          <w:lang w:val="fr-FR"/>
        </w:rPr>
        <w:t xml:space="preserve">élaborer une </w:t>
      </w:r>
      <w:r w:rsidR="007320A4" w:rsidRPr="00F1660D">
        <w:rPr>
          <w:lang w:val="fr-FR"/>
        </w:rPr>
        <w:t>« Approche stratégique 2.0 »</w:t>
      </w:r>
      <w:r w:rsidRPr="00F1660D">
        <w:rPr>
          <w:lang w:val="fr-FR"/>
        </w:rPr>
        <w:t xml:space="preserve"> améliorée permettant de prendre</w:t>
      </w:r>
      <w:r w:rsidR="00A50629" w:rsidRPr="00F1660D">
        <w:rPr>
          <w:lang w:val="fr-FR"/>
        </w:rPr>
        <w:t xml:space="preserve"> des </w:t>
      </w:r>
      <w:r w:rsidRPr="00F1660D">
        <w:rPr>
          <w:lang w:val="fr-FR"/>
        </w:rPr>
        <w:t>mesures concernant</w:t>
      </w:r>
      <w:r w:rsidR="00A50629" w:rsidRPr="00F1660D">
        <w:rPr>
          <w:lang w:val="fr-FR"/>
        </w:rPr>
        <w:t xml:space="preserve"> les </w:t>
      </w:r>
      <w:r w:rsidRPr="00F1660D">
        <w:rPr>
          <w:lang w:val="fr-FR"/>
        </w:rPr>
        <w:t xml:space="preserve">pesticides hautement dangereux. Elle a également </w:t>
      </w:r>
      <w:r w:rsidR="007B4ECA" w:rsidRPr="00F1660D">
        <w:rPr>
          <w:lang w:val="fr-FR"/>
        </w:rPr>
        <w:t xml:space="preserve">fait observer </w:t>
      </w:r>
      <w:r w:rsidRPr="00F1660D">
        <w:rPr>
          <w:lang w:val="fr-FR"/>
        </w:rPr>
        <w:t>que, lors</w:t>
      </w:r>
      <w:r w:rsidR="00A50629" w:rsidRPr="00F1660D">
        <w:rPr>
          <w:lang w:val="fr-FR"/>
        </w:rPr>
        <w:t xml:space="preserve"> des </w:t>
      </w:r>
      <w:r w:rsidRPr="00F1660D">
        <w:rPr>
          <w:lang w:val="fr-FR"/>
        </w:rPr>
        <w:t>débats sur une plateforme plus large pour l</w:t>
      </w:r>
      <w:r w:rsidR="00CE30FD" w:rsidRPr="00F1660D">
        <w:rPr>
          <w:lang w:val="fr-FR"/>
        </w:rPr>
        <w:t>’</w:t>
      </w:r>
      <w:r w:rsidRPr="00F1660D">
        <w:rPr>
          <w:lang w:val="fr-FR"/>
        </w:rPr>
        <w:t>après-2020, il serait important d</w:t>
      </w:r>
      <w:r w:rsidR="00CE30FD" w:rsidRPr="00F1660D">
        <w:rPr>
          <w:lang w:val="fr-FR"/>
        </w:rPr>
        <w:t>’</w:t>
      </w:r>
      <w:r w:rsidRPr="00F1660D">
        <w:rPr>
          <w:lang w:val="fr-FR"/>
        </w:rPr>
        <w:t xml:space="preserve">examiner comment </w:t>
      </w:r>
      <w:r w:rsidR="002C103F" w:rsidRPr="00F1660D">
        <w:rPr>
          <w:lang w:val="fr-FR"/>
        </w:rPr>
        <w:t xml:space="preserve">on pourrait </w:t>
      </w:r>
      <w:r w:rsidR="00DD3643" w:rsidRPr="00F1660D">
        <w:rPr>
          <w:lang w:val="fr-FR"/>
        </w:rPr>
        <w:t xml:space="preserve">procéder pour </w:t>
      </w:r>
      <w:r w:rsidR="002C103F" w:rsidRPr="00F1660D">
        <w:rPr>
          <w:lang w:val="fr-FR"/>
        </w:rPr>
        <w:t>recommander l</w:t>
      </w:r>
      <w:r w:rsidR="00CE30FD" w:rsidRPr="00F1660D">
        <w:rPr>
          <w:lang w:val="fr-FR"/>
        </w:rPr>
        <w:t>’</w:t>
      </w:r>
      <w:r w:rsidR="00DD3643" w:rsidRPr="00F1660D">
        <w:rPr>
          <w:lang w:val="fr-FR"/>
        </w:rPr>
        <w:t>inclusion</w:t>
      </w:r>
      <w:r w:rsidR="002C103F" w:rsidRPr="00F1660D">
        <w:rPr>
          <w:lang w:val="fr-FR"/>
        </w:rPr>
        <w:t xml:space="preserve"> d</w:t>
      </w:r>
      <w:r w:rsidR="00CE30FD" w:rsidRPr="00F1660D">
        <w:rPr>
          <w:lang w:val="fr-FR"/>
        </w:rPr>
        <w:t>’</w:t>
      </w:r>
      <w:r w:rsidRPr="00F1660D">
        <w:rPr>
          <w:lang w:val="fr-FR"/>
        </w:rPr>
        <w:t>une question préoccupante que l</w:t>
      </w:r>
      <w:r w:rsidR="00CE30FD" w:rsidRPr="00F1660D">
        <w:rPr>
          <w:lang w:val="fr-FR"/>
        </w:rPr>
        <w:t>’</w:t>
      </w:r>
      <w:r w:rsidRPr="00F1660D">
        <w:rPr>
          <w:lang w:val="fr-FR"/>
        </w:rPr>
        <w:t>Approche stratégique n</w:t>
      </w:r>
      <w:r w:rsidR="00CE30FD" w:rsidRPr="00F1660D">
        <w:rPr>
          <w:lang w:val="fr-FR"/>
        </w:rPr>
        <w:t>’</w:t>
      </w:r>
      <w:r w:rsidRPr="00F1660D">
        <w:rPr>
          <w:lang w:val="fr-FR"/>
        </w:rPr>
        <w:t xml:space="preserve">avait pas été en mesure de résoudre </w:t>
      </w:r>
      <w:r w:rsidR="00DD3643" w:rsidRPr="00F1660D">
        <w:rPr>
          <w:lang w:val="fr-FR"/>
        </w:rPr>
        <w:t>dans</w:t>
      </w:r>
      <w:r w:rsidR="002C103F" w:rsidRPr="00F1660D">
        <w:rPr>
          <w:lang w:val="fr-FR"/>
        </w:rPr>
        <w:t xml:space="preserve"> </w:t>
      </w:r>
      <w:r w:rsidRPr="00F1660D">
        <w:rPr>
          <w:lang w:val="fr-FR"/>
        </w:rPr>
        <w:t xml:space="preserve">un </w:t>
      </w:r>
      <w:r w:rsidR="002C103F" w:rsidRPr="00F1660D">
        <w:rPr>
          <w:lang w:val="fr-FR"/>
        </w:rPr>
        <w:t>protocole donné</w:t>
      </w:r>
      <w:r w:rsidRPr="00F1660D">
        <w:rPr>
          <w:lang w:val="fr-FR"/>
        </w:rPr>
        <w:t>.</w:t>
      </w:r>
    </w:p>
    <w:p w14:paraId="5B9D11E0" w14:textId="24C10DA2" w:rsidR="004418CE" w:rsidRPr="00F1660D" w:rsidRDefault="004418CE" w:rsidP="00733A1C">
      <w:pPr>
        <w:pStyle w:val="Normalnumber"/>
        <w:rPr>
          <w:lang w:val="fr-FR"/>
        </w:rPr>
      </w:pPr>
      <w:r w:rsidRPr="00F1660D">
        <w:rPr>
          <w:lang w:val="fr-FR"/>
        </w:rPr>
        <w:t xml:space="preserve">Le représentant </w:t>
      </w:r>
      <w:r w:rsidR="002C103F" w:rsidRPr="00F1660D">
        <w:rPr>
          <w:lang w:val="fr-FR"/>
        </w:rPr>
        <w:t>d</w:t>
      </w:r>
      <w:r w:rsidR="00CE30FD" w:rsidRPr="00F1660D">
        <w:rPr>
          <w:lang w:val="fr-FR"/>
        </w:rPr>
        <w:t>’</w:t>
      </w:r>
      <w:r w:rsidR="002C103F" w:rsidRPr="00F1660D">
        <w:rPr>
          <w:lang w:val="fr-FR"/>
        </w:rPr>
        <w:t xml:space="preserve">une organisation non gouvernementale </w:t>
      </w:r>
      <w:r w:rsidRPr="00F1660D">
        <w:rPr>
          <w:lang w:val="fr-FR"/>
        </w:rPr>
        <w:t xml:space="preserve">a </w:t>
      </w:r>
      <w:r w:rsidR="007B4ECA" w:rsidRPr="00F1660D">
        <w:rPr>
          <w:lang w:val="fr-FR"/>
        </w:rPr>
        <w:t>été d</w:t>
      </w:r>
      <w:r w:rsidR="00CE30FD" w:rsidRPr="00F1660D">
        <w:rPr>
          <w:lang w:val="fr-FR"/>
        </w:rPr>
        <w:t>’</w:t>
      </w:r>
      <w:r w:rsidRPr="00F1660D">
        <w:rPr>
          <w:lang w:val="fr-FR"/>
        </w:rPr>
        <w:t>avis qu</w:t>
      </w:r>
      <w:r w:rsidR="00CE30FD" w:rsidRPr="00F1660D">
        <w:rPr>
          <w:lang w:val="fr-FR"/>
        </w:rPr>
        <w:t>’</w:t>
      </w:r>
      <w:r w:rsidRPr="00F1660D">
        <w:rPr>
          <w:lang w:val="fr-FR"/>
        </w:rPr>
        <w:t>un nouvel accord mondial sur</w:t>
      </w:r>
      <w:r w:rsidR="00A50629" w:rsidRPr="00F1660D">
        <w:rPr>
          <w:lang w:val="fr-FR"/>
        </w:rPr>
        <w:t xml:space="preserve"> la </w:t>
      </w:r>
      <w:r w:rsidRPr="00F1660D">
        <w:rPr>
          <w:lang w:val="fr-FR"/>
        </w:rPr>
        <w:t>sécurité chimique était nécessaire et que cet accord devrait comporter une version améliorée de l</w:t>
      </w:r>
      <w:r w:rsidR="00CE30FD" w:rsidRPr="00F1660D">
        <w:rPr>
          <w:lang w:val="fr-FR"/>
        </w:rPr>
        <w:t>’</w:t>
      </w:r>
      <w:r w:rsidRPr="00F1660D">
        <w:rPr>
          <w:lang w:val="fr-FR"/>
        </w:rPr>
        <w:t>Approche stratégique, é</w:t>
      </w:r>
      <w:r w:rsidR="007320A4" w:rsidRPr="00F1660D">
        <w:rPr>
          <w:lang w:val="fr-FR"/>
        </w:rPr>
        <w:t>galement connue sous</w:t>
      </w:r>
      <w:r w:rsidR="00A50629" w:rsidRPr="00F1660D">
        <w:rPr>
          <w:lang w:val="fr-FR"/>
        </w:rPr>
        <w:t xml:space="preserve"> le </w:t>
      </w:r>
      <w:r w:rsidR="007320A4" w:rsidRPr="00F1660D">
        <w:rPr>
          <w:lang w:val="fr-FR"/>
        </w:rPr>
        <w:t>nom de « SAICM 2.0 »</w:t>
      </w:r>
      <w:r w:rsidRPr="00F1660D">
        <w:rPr>
          <w:lang w:val="fr-FR"/>
        </w:rPr>
        <w:t>, ainsi qu</w:t>
      </w:r>
      <w:r w:rsidR="00CE30FD" w:rsidRPr="00F1660D">
        <w:rPr>
          <w:lang w:val="fr-FR"/>
        </w:rPr>
        <w:t>’</w:t>
      </w:r>
      <w:r w:rsidRPr="00F1660D">
        <w:rPr>
          <w:lang w:val="fr-FR"/>
        </w:rPr>
        <w:t>un</w:t>
      </w:r>
      <w:r w:rsidR="00D50259" w:rsidRPr="00F1660D">
        <w:rPr>
          <w:lang w:val="fr-FR"/>
        </w:rPr>
        <w:t> </w:t>
      </w:r>
      <w:r w:rsidRPr="00F1660D">
        <w:rPr>
          <w:lang w:val="fr-FR"/>
        </w:rPr>
        <w:t>cadre habilitant permettant de relever</w:t>
      </w:r>
      <w:r w:rsidR="00A50629" w:rsidRPr="00F1660D">
        <w:rPr>
          <w:lang w:val="fr-FR"/>
        </w:rPr>
        <w:t xml:space="preserve"> le </w:t>
      </w:r>
      <w:r w:rsidRPr="00F1660D">
        <w:rPr>
          <w:lang w:val="fr-FR"/>
        </w:rPr>
        <w:t>défi croissant de</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incidences sanitaires, économiques et environnementales de</w:t>
      </w:r>
      <w:r w:rsidR="00A50629" w:rsidRPr="00F1660D">
        <w:rPr>
          <w:lang w:val="fr-FR"/>
        </w:rPr>
        <w:t xml:space="preserve"> la </w:t>
      </w:r>
      <w:r w:rsidRPr="00F1660D">
        <w:rPr>
          <w:lang w:val="fr-FR"/>
        </w:rPr>
        <w:t>production, de l</w:t>
      </w:r>
      <w:r w:rsidR="00CE30FD" w:rsidRPr="00F1660D">
        <w:rPr>
          <w:lang w:val="fr-FR"/>
        </w:rPr>
        <w:t>’</w:t>
      </w:r>
      <w:r w:rsidRPr="00F1660D">
        <w:rPr>
          <w:lang w:val="fr-FR"/>
        </w:rPr>
        <w:t>utilisation et de l</w:t>
      </w:r>
      <w:r w:rsidR="00CE30FD" w:rsidRPr="00F1660D">
        <w:rPr>
          <w:lang w:val="fr-FR"/>
        </w:rPr>
        <w:t>’</w:t>
      </w:r>
      <w:r w:rsidRPr="00F1660D">
        <w:rPr>
          <w:lang w:val="fr-FR"/>
        </w:rPr>
        <w:t>élimination</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L</w:t>
      </w:r>
      <w:r w:rsidR="00CE30FD" w:rsidRPr="00F1660D">
        <w:rPr>
          <w:lang w:val="fr-FR"/>
        </w:rPr>
        <w:t>’</w:t>
      </w:r>
      <w:r w:rsidRPr="00F1660D">
        <w:rPr>
          <w:lang w:val="fr-FR"/>
        </w:rPr>
        <w:t>approche et</w:t>
      </w:r>
      <w:r w:rsidR="00A50629" w:rsidRPr="00F1660D">
        <w:rPr>
          <w:lang w:val="fr-FR"/>
        </w:rPr>
        <w:t xml:space="preserve"> le </w:t>
      </w:r>
      <w:r w:rsidRPr="00F1660D">
        <w:rPr>
          <w:lang w:val="fr-FR"/>
        </w:rPr>
        <w:t>cadre devraient être intemporels, mais comporter</w:t>
      </w:r>
      <w:r w:rsidR="00A50629" w:rsidRPr="00F1660D">
        <w:rPr>
          <w:lang w:val="fr-FR"/>
        </w:rPr>
        <w:t xml:space="preserve"> des </w:t>
      </w:r>
      <w:r w:rsidRPr="00F1660D">
        <w:rPr>
          <w:lang w:val="fr-FR"/>
        </w:rPr>
        <w:t>jalons mesurables et assortis de délais</w:t>
      </w:r>
      <w:r w:rsidR="007320A4" w:rsidRPr="00F1660D">
        <w:rPr>
          <w:lang w:val="fr-FR"/>
        </w:rPr>
        <w:t> </w:t>
      </w:r>
      <w:r w:rsidRPr="00F1660D">
        <w:rPr>
          <w:lang w:val="fr-FR"/>
        </w:rPr>
        <w:t>; inclure</w:t>
      </w:r>
      <w:r w:rsidR="00A50629" w:rsidRPr="00F1660D">
        <w:rPr>
          <w:lang w:val="fr-FR"/>
        </w:rPr>
        <w:t xml:space="preserve"> la </w:t>
      </w:r>
      <w:r w:rsidRPr="00F1660D">
        <w:rPr>
          <w:lang w:val="fr-FR"/>
        </w:rPr>
        <w:t>prévention et</w:t>
      </w:r>
      <w:r w:rsidR="00A50629" w:rsidRPr="00F1660D">
        <w:rPr>
          <w:lang w:val="fr-FR"/>
        </w:rPr>
        <w:t xml:space="preserve"> la </w:t>
      </w:r>
      <w:r w:rsidRPr="00F1660D">
        <w:rPr>
          <w:lang w:val="fr-FR"/>
        </w:rPr>
        <w:t>précaution parmi</w:t>
      </w:r>
      <w:r w:rsidR="00A50629" w:rsidRPr="00F1660D">
        <w:rPr>
          <w:lang w:val="fr-FR"/>
        </w:rPr>
        <w:t xml:space="preserve"> les </w:t>
      </w:r>
      <w:r w:rsidRPr="00F1660D">
        <w:rPr>
          <w:lang w:val="fr-FR"/>
        </w:rPr>
        <w:t>priorités ; protéger activement</w:t>
      </w:r>
      <w:r w:rsidR="00A50629" w:rsidRPr="00F1660D">
        <w:rPr>
          <w:lang w:val="fr-FR"/>
        </w:rPr>
        <w:t xml:space="preserve"> la </w:t>
      </w:r>
      <w:r w:rsidRPr="00F1660D">
        <w:rPr>
          <w:lang w:val="fr-FR"/>
        </w:rPr>
        <w:t>santé humaine et l</w:t>
      </w:r>
      <w:r w:rsidR="00CE30FD" w:rsidRPr="00F1660D">
        <w:rPr>
          <w:lang w:val="fr-FR"/>
        </w:rPr>
        <w:t>’</w:t>
      </w:r>
      <w:r w:rsidRPr="00F1660D">
        <w:rPr>
          <w:lang w:val="fr-FR"/>
        </w:rPr>
        <w:t>environnement ; et couvrir l</w:t>
      </w:r>
      <w:r w:rsidR="00CE30FD" w:rsidRPr="00F1660D">
        <w:rPr>
          <w:lang w:val="fr-FR"/>
        </w:rPr>
        <w:t>’</w:t>
      </w:r>
      <w:r w:rsidRPr="00F1660D">
        <w:rPr>
          <w:lang w:val="fr-FR"/>
        </w:rPr>
        <w:t>intégralité du cycle de vie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Le cadre habilitant devrait servir de cadre général pour tous</w:t>
      </w:r>
      <w:r w:rsidR="00A50629" w:rsidRPr="00F1660D">
        <w:rPr>
          <w:lang w:val="fr-FR"/>
        </w:rPr>
        <w:t xml:space="preserve"> les </w:t>
      </w:r>
      <w:r w:rsidRPr="00F1660D">
        <w:rPr>
          <w:lang w:val="fr-FR"/>
        </w:rPr>
        <w:t>accords relatifs aux produits chimiques, être adopté</w:t>
      </w:r>
      <w:r w:rsidR="00A50629" w:rsidRPr="00F1660D">
        <w:rPr>
          <w:lang w:val="fr-FR"/>
        </w:rPr>
        <w:t xml:space="preserve"> au </w:t>
      </w:r>
      <w:r w:rsidRPr="00F1660D">
        <w:rPr>
          <w:lang w:val="fr-FR"/>
        </w:rPr>
        <w:t>plus haut niveau,</w:t>
      </w:r>
      <w:r w:rsidR="00A50629" w:rsidRPr="00F1660D">
        <w:rPr>
          <w:lang w:val="fr-FR"/>
        </w:rPr>
        <w:t xml:space="preserve"> y </w:t>
      </w:r>
      <w:r w:rsidRPr="00F1660D">
        <w:rPr>
          <w:lang w:val="fr-FR"/>
        </w:rPr>
        <w:t>compris par l</w:t>
      </w:r>
      <w:r w:rsidR="00CE30FD" w:rsidRPr="00F1660D">
        <w:rPr>
          <w:lang w:val="fr-FR"/>
        </w:rPr>
        <w:t>’</w:t>
      </w:r>
      <w:r w:rsidRPr="00F1660D">
        <w:rPr>
          <w:lang w:val="fr-FR"/>
        </w:rPr>
        <w:t>Assemblée générale</w:t>
      </w:r>
      <w:r w:rsidR="00A50629" w:rsidRPr="00F1660D">
        <w:rPr>
          <w:lang w:val="fr-FR"/>
        </w:rPr>
        <w:t xml:space="preserve"> des </w:t>
      </w:r>
      <w:r w:rsidR="002C67A2" w:rsidRPr="00F1660D">
        <w:rPr>
          <w:lang w:val="fr-FR"/>
        </w:rPr>
        <w:t>Nations Unies</w:t>
      </w:r>
      <w:r w:rsidRPr="00F1660D">
        <w:rPr>
          <w:lang w:val="fr-FR"/>
        </w:rPr>
        <w:t>, et être ouvert, inclusif et transparent, épousant une approche multisectorielle et multipartite. Il était essentiel de mettre en place un mécanisme offrant</w:t>
      </w:r>
      <w:r w:rsidR="00A50629" w:rsidRPr="00F1660D">
        <w:rPr>
          <w:lang w:val="fr-FR"/>
        </w:rPr>
        <w:t xml:space="preserve"> des </w:t>
      </w:r>
      <w:r w:rsidRPr="00F1660D">
        <w:rPr>
          <w:lang w:val="fr-FR"/>
        </w:rPr>
        <w:t>financements nouveaux et supplémentaires adéquats, durables et prévisibles, accessibles à toutes</w:t>
      </w:r>
      <w:r w:rsidR="00A50629" w:rsidRPr="00F1660D">
        <w:rPr>
          <w:lang w:val="fr-FR"/>
        </w:rPr>
        <w:t xml:space="preserve"> les </w:t>
      </w:r>
      <w:r w:rsidRPr="00F1660D">
        <w:rPr>
          <w:lang w:val="fr-FR"/>
        </w:rPr>
        <w:t>parties prenantes concernées pour traiter</w:t>
      </w:r>
      <w:r w:rsidR="00A50629" w:rsidRPr="00F1660D">
        <w:rPr>
          <w:lang w:val="fr-FR"/>
        </w:rPr>
        <w:t xml:space="preserve"> les </w:t>
      </w:r>
      <w:r w:rsidRPr="00F1660D">
        <w:rPr>
          <w:lang w:val="fr-FR"/>
        </w:rPr>
        <w:t>questions relatives aux produits chimiques et aux déchets. L</w:t>
      </w:r>
      <w:r w:rsidR="00CE30FD" w:rsidRPr="00F1660D">
        <w:rPr>
          <w:lang w:val="fr-FR"/>
        </w:rPr>
        <w:t>’</w:t>
      </w:r>
      <w:r w:rsidRPr="00F1660D">
        <w:rPr>
          <w:lang w:val="fr-FR"/>
        </w:rPr>
        <w:t>internalisation par</w:t>
      </w:r>
      <w:r w:rsidR="00A50629" w:rsidRPr="00F1660D">
        <w:rPr>
          <w:lang w:val="fr-FR"/>
        </w:rPr>
        <w:t xml:space="preserve"> les </w:t>
      </w:r>
      <w:r w:rsidRPr="00F1660D">
        <w:rPr>
          <w:lang w:val="fr-FR"/>
        </w:rPr>
        <w:t>industries concernées</w:t>
      </w:r>
      <w:r w:rsidR="00A50629" w:rsidRPr="00F1660D">
        <w:rPr>
          <w:lang w:val="fr-FR"/>
        </w:rPr>
        <w:t xml:space="preserve"> des </w:t>
      </w:r>
      <w:r w:rsidRPr="00F1660D">
        <w:rPr>
          <w:lang w:val="fr-FR"/>
        </w:rPr>
        <w:t>coûts que</w:t>
      </w:r>
      <w:r w:rsidR="00A50629" w:rsidRPr="00F1660D">
        <w:rPr>
          <w:lang w:val="fr-FR"/>
        </w:rPr>
        <w:t xml:space="preserve"> les </w:t>
      </w:r>
      <w:r w:rsidRPr="00F1660D">
        <w:rPr>
          <w:lang w:val="fr-FR"/>
        </w:rPr>
        <w:t>produits chimiques comportent pour</w:t>
      </w:r>
      <w:r w:rsidR="00A50629" w:rsidRPr="00F1660D">
        <w:rPr>
          <w:lang w:val="fr-FR"/>
        </w:rPr>
        <w:t xml:space="preserve"> la </w:t>
      </w:r>
      <w:r w:rsidRPr="00F1660D">
        <w:rPr>
          <w:lang w:val="fr-FR"/>
        </w:rPr>
        <w:t xml:space="preserve">société était également </w:t>
      </w:r>
      <w:r w:rsidR="002C103F" w:rsidRPr="00F1660D">
        <w:rPr>
          <w:lang w:val="fr-FR"/>
        </w:rPr>
        <w:t xml:space="preserve">considérée comme </w:t>
      </w:r>
      <w:r w:rsidRPr="00F1660D">
        <w:rPr>
          <w:lang w:val="fr-FR"/>
        </w:rPr>
        <w:t xml:space="preserve">essentielle </w:t>
      </w:r>
      <w:r w:rsidR="002C103F" w:rsidRPr="00F1660D">
        <w:rPr>
          <w:lang w:val="fr-FR"/>
        </w:rPr>
        <w:t>à cet égard</w:t>
      </w:r>
      <w:r w:rsidRPr="00F1660D">
        <w:rPr>
          <w:lang w:val="fr-FR"/>
        </w:rPr>
        <w:t>.</w:t>
      </w:r>
    </w:p>
    <w:p w14:paraId="33C3A2B4" w14:textId="06FEF6CF" w:rsidR="004418CE" w:rsidRPr="00F1660D" w:rsidRDefault="00DD3643" w:rsidP="00733A1C">
      <w:pPr>
        <w:pStyle w:val="Normalnumber"/>
        <w:rPr>
          <w:lang w:val="fr-FR"/>
        </w:rPr>
      </w:pPr>
      <w:r w:rsidRPr="00F1660D">
        <w:rPr>
          <w:lang w:val="fr-FR"/>
        </w:rPr>
        <w:t>Un</w:t>
      </w:r>
      <w:r w:rsidR="004418CE" w:rsidRPr="00F1660D">
        <w:rPr>
          <w:lang w:val="fr-FR"/>
        </w:rPr>
        <w:t xml:space="preserve"> représentant </w:t>
      </w:r>
      <w:r w:rsidRPr="00F1660D">
        <w:rPr>
          <w:lang w:val="fr-FR"/>
        </w:rPr>
        <w:t>de l</w:t>
      </w:r>
      <w:r w:rsidR="00CE30FD" w:rsidRPr="00F1660D">
        <w:rPr>
          <w:lang w:val="fr-FR"/>
        </w:rPr>
        <w:t>’</w:t>
      </w:r>
      <w:r w:rsidRPr="00F1660D">
        <w:rPr>
          <w:lang w:val="fr-FR"/>
        </w:rPr>
        <w:t xml:space="preserve">industrie </w:t>
      </w:r>
      <w:r w:rsidR="004418CE" w:rsidRPr="00F1660D">
        <w:rPr>
          <w:lang w:val="fr-FR"/>
        </w:rPr>
        <w:t>a donné à entendre qu</w:t>
      </w:r>
      <w:r w:rsidR="00CE30FD" w:rsidRPr="00F1660D">
        <w:rPr>
          <w:lang w:val="fr-FR"/>
        </w:rPr>
        <w:t>’</w:t>
      </w:r>
      <w:r w:rsidR="004418CE" w:rsidRPr="00F1660D">
        <w:rPr>
          <w:lang w:val="fr-FR"/>
        </w:rPr>
        <w:t>il attachait une grande valeur</w:t>
      </w:r>
      <w:r w:rsidR="00A50629" w:rsidRPr="00F1660D">
        <w:rPr>
          <w:lang w:val="fr-FR"/>
        </w:rPr>
        <w:t xml:space="preserve"> au </w:t>
      </w:r>
      <w:r w:rsidR="004418CE" w:rsidRPr="00F1660D">
        <w:rPr>
          <w:lang w:val="fr-FR"/>
        </w:rPr>
        <w:t>caractère multipartite et multisectoriel de l</w:t>
      </w:r>
      <w:r w:rsidR="00CE30FD" w:rsidRPr="00F1660D">
        <w:rPr>
          <w:lang w:val="fr-FR"/>
        </w:rPr>
        <w:t>’</w:t>
      </w:r>
      <w:r w:rsidR="004418CE" w:rsidRPr="00F1660D">
        <w:rPr>
          <w:lang w:val="fr-FR"/>
        </w:rPr>
        <w:t>Approche stratégique et était favorable à l</w:t>
      </w:r>
      <w:r w:rsidR="00CE30FD" w:rsidRPr="00F1660D">
        <w:rPr>
          <w:lang w:val="fr-FR"/>
        </w:rPr>
        <w:t>’</w:t>
      </w:r>
      <w:r w:rsidR="004418CE" w:rsidRPr="00F1660D">
        <w:rPr>
          <w:lang w:val="fr-FR"/>
        </w:rPr>
        <w:t>inclusion d</w:t>
      </w:r>
      <w:r w:rsidR="00CE30FD" w:rsidRPr="00F1660D">
        <w:rPr>
          <w:lang w:val="fr-FR"/>
        </w:rPr>
        <w:t>’</w:t>
      </w:r>
      <w:r w:rsidR="004418CE" w:rsidRPr="00F1660D">
        <w:rPr>
          <w:lang w:val="fr-FR"/>
        </w:rPr>
        <w:t>actions concrètes par</w:t>
      </w:r>
      <w:r w:rsidR="00A50629" w:rsidRPr="00F1660D">
        <w:rPr>
          <w:lang w:val="fr-FR"/>
        </w:rPr>
        <w:t xml:space="preserve"> les </w:t>
      </w:r>
      <w:r w:rsidR="004418CE" w:rsidRPr="00F1660D">
        <w:rPr>
          <w:lang w:val="fr-FR"/>
        </w:rPr>
        <w:t>principales parties prenantes concernant</w:t>
      </w:r>
      <w:r w:rsidR="00A50629" w:rsidRPr="00F1660D">
        <w:rPr>
          <w:lang w:val="fr-FR"/>
        </w:rPr>
        <w:t xml:space="preserve"> les </w:t>
      </w:r>
      <w:r w:rsidR="004418CE" w:rsidRPr="00F1660D">
        <w:rPr>
          <w:lang w:val="fr-FR"/>
        </w:rPr>
        <w:t>objectifs et cibles définis dans</w:t>
      </w:r>
      <w:r w:rsidR="00A50629" w:rsidRPr="00F1660D">
        <w:rPr>
          <w:lang w:val="fr-FR"/>
        </w:rPr>
        <w:t xml:space="preserve"> le </w:t>
      </w:r>
      <w:r w:rsidR="004418CE" w:rsidRPr="00F1660D">
        <w:rPr>
          <w:lang w:val="fr-FR"/>
        </w:rPr>
        <w:t>document élaboré par</w:t>
      </w:r>
      <w:r w:rsidR="00A50629" w:rsidRPr="00F1660D">
        <w:rPr>
          <w:lang w:val="fr-FR"/>
        </w:rPr>
        <w:t xml:space="preserve"> les </w:t>
      </w:r>
      <w:r w:rsidR="004418CE" w:rsidRPr="00F1660D">
        <w:rPr>
          <w:lang w:val="fr-FR"/>
        </w:rPr>
        <w:t xml:space="preserve">coprésidents du processus intersessions (SAICM/OEWG.3/4). </w:t>
      </w:r>
      <w:r w:rsidRPr="00F1660D">
        <w:rPr>
          <w:lang w:val="fr-FR"/>
        </w:rPr>
        <w:t>Son</w:t>
      </w:r>
      <w:r w:rsidR="00D50259" w:rsidRPr="00F1660D">
        <w:rPr>
          <w:lang w:val="fr-FR"/>
        </w:rPr>
        <w:t> </w:t>
      </w:r>
      <w:r w:rsidRPr="00F1660D">
        <w:rPr>
          <w:lang w:val="fr-FR"/>
        </w:rPr>
        <w:t>organisation</w:t>
      </w:r>
      <w:r w:rsidR="004418CE" w:rsidRPr="00F1660D">
        <w:rPr>
          <w:lang w:val="fr-FR"/>
        </w:rPr>
        <w:t xml:space="preserve"> était déterminé</w:t>
      </w:r>
      <w:r w:rsidRPr="00F1660D">
        <w:rPr>
          <w:lang w:val="fr-FR"/>
        </w:rPr>
        <w:t>e</w:t>
      </w:r>
      <w:r w:rsidR="004418CE" w:rsidRPr="00F1660D">
        <w:rPr>
          <w:lang w:val="fr-FR"/>
        </w:rPr>
        <w:t xml:space="preserve"> à atteindre l</w:t>
      </w:r>
      <w:r w:rsidR="00CE30FD" w:rsidRPr="00F1660D">
        <w:rPr>
          <w:lang w:val="fr-FR"/>
        </w:rPr>
        <w:t>’</w:t>
      </w:r>
      <w:r w:rsidR="004418CE" w:rsidRPr="00F1660D">
        <w:rPr>
          <w:lang w:val="fr-FR"/>
        </w:rPr>
        <w:t>objectif de gestion durable</w:t>
      </w:r>
      <w:r w:rsidR="00A50629" w:rsidRPr="00F1660D">
        <w:rPr>
          <w:lang w:val="fr-FR"/>
        </w:rPr>
        <w:t xml:space="preserve"> des </w:t>
      </w:r>
      <w:r w:rsidR="004418CE" w:rsidRPr="00F1660D">
        <w:rPr>
          <w:lang w:val="fr-FR"/>
        </w:rPr>
        <w:t>produits chimiques et</w:t>
      </w:r>
      <w:r w:rsidR="00A50629" w:rsidRPr="00F1660D">
        <w:rPr>
          <w:lang w:val="fr-FR"/>
        </w:rPr>
        <w:t xml:space="preserve"> des </w:t>
      </w:r>
      <w:r w:rsidR="004418CE" w:rsidRPr="00F1660D">
        <w:rPr>
          <w:lang w:val="fr-FR"/>
        </w:rPr>
        <w:t>déchets et</w:t>
      </w:r>
      <w:r w:rsidR="00A50629" w:rsidRPr="00F1660D">
        <w:rPr>
          <w:lang w:val="fr-FR"/>
        </w:rPr>
        <w:t xml:space="preserve"> les </w:t>
      </w:r>
      <w:r w:rsidR="004418CE" w:rsidRPr="00F1660D">
        <w:rPr>
          <w:lang w:val="fr-FR"/>
        </w:rPr>
        <w:t xml:space="preserve">objectifs de développement durable via son </w:t>
      </w:r>
      <w:r w:rsidRPr="00F1660D">
        <w:rPr>
          <w:lang w:val="fr-FR"/>
        </w:rPr>
        <w:t>programme de gestion responsable</w:t>
      </w:r>
      <w:r w:rsidR="004418CE" w:rsidRPr="00F1660D">
        <w:rPr>
          <w:lang w:val="fr-FR"/>
        </w:rPr>
        <w:t>,</w:t>
      </w:r>
      <w:r w:rsidR="00A50629" w:rsidRPr="00F1660D">
        <w:rPr>
          <w:lang w:val="fr-FR"/>
        </w:rPr>
        <w:t xml:space="preserve"> des </w:t>
      </w:r>
      <w:r w:rsidR="004418CE" w:rsidRPr="00F1660D">
        <w:rPr>
          <w:lang w:val="fr-FR"/>
        </w:rPr>
        <w:t>initiatives de renforcement</w:t>
      </w:r>
      <w:r w:rsidR="00A50629" w:rsidRPr="00F1660D">
        <w:rPr>
          <w:lang w:val="fr-FR"/>
        </w:rPr>
        <w:t xml:space="preserve"> des </w:t>
      </w:r>
      <w:r w:rsidR="004418CE" w:rsidRPr="00F1660D">
        <w:rPr>
          <w:lang w:val="fr-FR"/>
        </w:rPr>
        <w:t>capacités et</w:t>
      </w:r>
      <w:r w:rsidR="00A50629" w:rsidRPr="00F1660D">
        <w:rPr>
          <w:lang w:val="fr-FR"/>
        </w:rPr>
        <w:t xml:space="preserve"> la </w:t>
      </w:r>
      <w:r w:rsidR="004418CE" w:rsidRPr="00F1660D">
        <w:rPr>
          <w:lang w:val="fr-FR"/>
        </w:rPr>
        <w:t>promotion de</w:t>
      </w:r>
      <w:r w:rsidR="00A50629" w:rsidRPr="00F1660D">
        <w:rPr>
          <w:lang w:val="fr-FR"/>
        </w:rPr>
        <w:t xml:space="preserve"> la </w:t>
      </w:r>
      <w:r w:rsidR="004418CE" w:rsidRPr="00F1660D">
        <w:rPr>
          <w:lang w:val="fr-FR"/>
        </w:rPr>
        <w:t>gestion</w:t>
      </w:r>
      <w:r w:rsidR="00A50629" w:rsidRPr="00F1660D">
        <w:rPr>
          <w:lang w:val="fr-FR"/>
        </w:rPr>
        <w:t xml:space="preserve"> des </w:t>
      </w:r>
      <w:r w:rsidR="004418CE" w:rsidRPr="00F1660D">
        <w:rPr>
          <w:lang w:val="fr-FR"/>
        </w:rPr>
        <w:t>connaissances et du partage d</w:t>
      </w:r>
      <w:r w:rsidR="00CE30FD" w:rsidRPr="00F1660D">
        <w:rPr>
          <w:lang w:val="fr-FR"/>
        </w:rPr>
        <w:t>’</w:t>
      </w:r>
      <w:r w:rsidR="004418CE" w:rsidRPr="00F1660D">
        <w:rPr>
          <w:lang w:val="fr-FR"/>
        </w:rPr>
        <w:t>informations, et encourageait</w:t>
      </w:r>
      <w:r w:rsidR="00A50629" w:rsidRPr="00F1660D">
        <w:rPr>
          <w:lang w:val="fr-FR"/>
        </w:rPr>
        <w:t xml:space="preserve"> les </w:t>
      </w:r>
      <w:r w:rsidR="004418CE" w:rsidRPr="00F1660D">
        <w:rPr>
          <w:lang w:val="fr-FR"/>
        </w:rPr>
        <w:t>participants à examiner un document d</w:t>
      </w:r>
      <w:r w:rsidR="00CE30FD" w:rsidRPr="00F1660D">
        <w:rPr>
          <w:lang w:val="fr-FR"/>
        </w:rPr>
        <w:t>’</w:t>
      </w:r>
      <w:r w:rsidR="004418CE" w:rsidRPr="00F1660D">
        <w:rPr>
          <w:lang w:val="fr-FR"/>
        </w:rPr>
        <w:t>information soumis par</w:t>
      </w:r>
      <w:r w:rsidR="00A50629" w:rsidRPr="00F1660D">
        <w:rPr>
          <w:lang w:val="fr-FR"/>
        </w:rPr>
        <w:t xml:space="preserve"> le </w:t>
      </w:r>
      <w:r w:rsidRPr="00F1660D">
        <w:rPr>
          <w:lang w:val="fr-FR"/>
        </w:rPr>
        <w:t>Conseil international</w:t>
      </w:r>
      <w:r w:rsidR="00A50629" w:rsidRPr="00F1660D">
        <w:rPr>
          <w:lang w:val="fr-FR"/>
        </w:rPr>
        <w:t xml:space="preserve"> des </w:t>
      </w:r>
      <w:r w:rsidRPr="00F1660D">
        <w:rPr>
          <w:lang w:val="fr-FR"/>
        </w:rPr>
        <w:t>associations de l</w:t>
      </w:r>
      <w:r w:rsidR="00CE30FD" w:rsidRPr="00F1660D">
        <w:rPr>
          <w:lang w:val="fr-FR"/>
        </w:rPr>
        <w:t>’</w:t>
      </w:r>
      <w:r w:rsidRPr="00F1660D">
        <w:rPr>
          <w:lang w:val="fr-FR"/>
        </w:rPr>
        <w:t>industrie chimique (</w:t>
      </w:r>
      <w:r w:rsidR="004418CE" w:rsidRPr="00F1660D">
        <w:rPr>
          <w:lang w:val="fr-FR"/>
        </w:rPr>
        <w:t>ICCA</w:t>
      </w:r>
      <w:r w:rsidRPr="00F1660D">
        <w:rPr>
          <w:lang w:val="fr-FR"/>
        </w:rPr>
        <w:t>)</w:t>
      </w:r>
      <w:r w:rsidR="004418CE" w:rsidRPr="00F1660D">
        <w:rPr>
          <w:lang w:val="fr-FR"/>
        </w:rPr>
        <w:t xml:space="preserve"> et</w:t>
      </w:r>
      <w:r w:rsidR="00A50629" w:rsidRPr="00F1660D">
        <w:rPr>
          <w:lang w:val="fr-FR"/>
        </w:rPr>
        <w:t xml:space="preserve"> le </w:t>
      </w:r>
      <w:r w:rsidR="004418CE" w:rsidRPr="00F1660D">
        <w:rPr>
          <w:lang w:val="fr-FR"/>
        </w:rPr>
        <w:t>PNUE sur</w:t>
      </w:r>
      <w:r w:rsidR="00A50629" w:rsidRPr="00F1660D">
        <w:rPr>
          <w:lang w:val="fr-FR"/>
        </w:rPr>
        <w:t xml:space="preserve"> la </w:t>
      </w:r>
      <w:r w:rsidR="004418CE" w:rsidRPr="00F1660D">
        <w:rPr>
          <w:lang w:val="fr-FR"/>
        </w:rPr>
        <w:t>gestion</w:t>
      </w:r>
      <w:r w:rsidR="00A50629" w:rsidRPr="00F1660D">
        <w:rPr>
          <w:lang w:val="fr-FR"/>
        </w:rPr>
        <w:t xml:space="preserve"> des </w:t>
      </w:r>
      <w:r w:rsidR="004418CE" w:rsidRPr="00F1660D">
        <w:rPr>
          <w:lang w:val="fr-FR"/>
        </w:rPr>
        <w:t>connaissances et</w:t>
      </w:r>
      <w:r w:rsidR="00A50629" w:rsidRPr="00F1660D">
        <w:rPr>
          <w:lang w:val="fr-FR"/>
        </w:rPr>
        <w:t xml:space="preserve"> le </w:t>
      </w:r>
      <w:r w:rsidR="004418CE" w:rsidRPr="00F1660D">
        <w:rPr>
          <w:lang w:val="fr-FR"/>
        </w:rPr>
        <w:t>partage d</w:t>
      </w:r>
      <w:r w:rsidR="00CE30FD" w:rsidRPr="00F1660D">
        <w:rPr>
          <w:lang w:val="fr-FR"/>
        </w:rPr>
        <w:t>’</w:t>
      </w:r>
      <w:r w:rsidR="004418CE" w:rsidRPr="00F1660D">
        <w:rPr>
          <w:lang w:val="fr-FR"/>
        </w:rPr>
        <w:t>informations aux fins d</w:t>
      </w:r>
      <w:r w:rsidR="00CE30FD" w:rsidRPr="00F1660D">
        <w:rPr>
          <w:lang w:val="fr-FR"/>
        </w:rPr>
        <w:t>’</w:t>
      </w:r>
      <w:r w:rsidR="004418CE" w:rsidRPr="00F1660D">
        <w:rPr>
          <w:lang w:val="fr-FR"/>
        </w:rPr>
        <w:t>une gestion rationnelle</w:t>
      </w:r>
      <w:r w:rsidR="00A50629" w:rsidRPr="00F1660D">
        <w:rPr>
          <w:lang w:val="fr-FR"/>
        </w:rPr>
        <w:t xml:space="preserve"> des </w:t>
      </w:r>
      <w:r w:rsidR="004418CE" w:rsidRPr="00F1660D">
        <w:rPr>
          <w:lang w:val="fr-FR"/>
        </w:rPr>
        <w:t>produits chimiques industriels (SAICM/OEWG.3/INF/28). Selon</w:t>
      </w:r>
      <w:r w:rsidR="00A50629" w:rsidRPr="00F1660D">
        <w:rPr>
          <w:lang w:val="fr-FR"/>
        </w:rPr>
        <w:t xml:space="preserve"> le </w:t>
      </w:r>
      <w:r w:rsidR="004418CE" w:rsidRPr="00F1660D">
        <w:rPr>
          <w:lang w:val="fr-FR"/>
        </w:rPr>
        <w:t xml:space="preserve">représentant, </w:t>
      </w:r>
      <w:r w:rsidRPr="00F1660D">
        <w:rPr>
          <w:lang w:val="fr-FR"/>
        </w:rPr>
        <w:t>il faudrait inclure</w:t>
      </w:r>
      <w:r w:rsidR="00A50629" w:rsidRPr="00F1660D">
        <w:rPr>
          <w:lang w:val="fr-FR"/>
        </w:rPr>
        <w:t xml:space="preserve"> le </w:t>
      </w:r>
      <w:r w:rsidR="004418CE" w:rsidRPr="00F1660D">
        <w:rPr>
          <w:lang w:val="fr-FR"/>
        </w:rPr>
        <w:t>partage d</w:t>
      </w:r>
      <w:r w:rsidR="00CE30FD" w:rsidRPr="00F1660D">
        <w:rPr>
          <w:lang w:val="fr-FR"/>
        </w:rPr>
        <w:t>’</w:t>
      </w:r>
      <w:r w:rsidR="004418CE" w:rsidRPr="00F1660D">
        <w:rPr>
          <w:lang w:val="fr-FR"/>
        </w:rPr>
        <w:t xml:space="preserve">informations </w:t>
      </w:r>
      <w:r w:rsidRPr="00F1660D">
        <w:rPr>
          <w:lang w:val="fr-FR"/>
        </w:rPr>
        <w:t>parmi</w:t>
      </w:r>
      <w:r w:rsidR="00A50629" w:rsidRPr="00F1660D">
        <w:rPr>
          <w:lang w:val="fr-FR"/>
        </w:rPr>
        <w:t xml:space="preserve"> les </w:t>
      </w:r>
      <w:r w:rsidR="007320A4" w:rsidRPr="00F1660D">
        <w:rPr>
          <w:lang w:val="fr-FR"/>
        </w:rPr>
        <w:t>élément</w:t>
      </w:r>
      <w:r w:rsidRPr="00F1660D">
        <w:rPr>
          <w:lang w:val="fr-FR"/>
        </w:rPr>
        <w:t>s</w:t>
      </w:r>
      <w:r w:rsidR="007320A4" w:rsidRPr="00F1660D">
        <w:rPr>
          <w:lang w:val="fr-FR"/>
        </w:rPr>
        <w:t xml:space="preserve"> cl</w:t>
      </w:r>
      <w:r w:rsidR="00C76A95" w:rsidRPr="00F1660D">
        <w:rPr>
          <w:lang w:val="fr-FR"/>
        </w:rPr>
        <w:t>efs</w:t>
      </w:r>
      <w:r w:rsidR="007320A4" w:rsidRPr="00F1660D">
        <w:rPr>
          <w:lang w:val="fr-FR"/>
        </w:rPr>
        <w:t xml:space="preserve"> de </w:t>
      </w:r>
      <w:r w:rsidR="007B4ECA" w:rsidRPr="00F1660D">
        <w:rPr>
          <w:lang w:val="fr-FR"/>
        </w:rPr>
        <w:t>l</w:t>
      </w:r>
      <w:r w:rsidR="00DF577B" w:rsidRPr="00F1660D">
        <w:rPr>
          <w:lang w:val="fr-FR"/>
        </w:rPr>
        <w:t xml:space="preserve">a </w:t>
      </w:r>
      <w:r w:rsidR="007320A4" w:rsidRPr="00F1660D">
        <w:rPr>
          <w:lang w:val="fr-FR"/>
        </w:rPr>
        <w:t>« </w:t>
      </w:r>
      <w:r w:rsidR="004418CE" w:rsidRPr="00F1660D">
        <w:rPr>
          <w:lang w:val="fr-FR"/>
        </w:rPr>
        <w:t>SAICM 2.0</w:t>
      </w:r>
      <w:r w:rsidR="007320A4" w:rsidRPr="00F1660D">
        <w:rPr>
          <w:lang w:val="fr-FR"/>
        </w:rPr>
        <w:t> »</w:t>
      </w:r>
      <w:r w:rsidR="004418CE" w:rsidRPr="00F1660D">
        <w:rPr>
          <w:lang w:val="fr-FR"/>
        </w:rPr>
        <w:t xml:space="preserve"> et </w:t>
      </w:r>
      <w:r w:rsidRPr="00F1660D">
        <w:rPr>
          <w:lang w:val="fr-FR"/>
        </w:rPr>
        <w:t xml:space="preserve">créer </w:t>
      </w:r>
      <w:r w:rsidR="004418CE" w:rsidRPr="00F1660D">
        <w:rPr>
          <w:lang w:val="fr-FR"/>
        </w:rPr>
        <w:t>un dépôt mondial</w:t>
      </w:r>
      <w:r w:rsidR="00A50629" w:rsidRPr="00F1660D">
        <w:rPr>
          <w:lang w:val="fr-FR"/>
        </w:rPr>
        <w:t xml:space="preserve"> des </w:t>
      </w:r>
      <w:r w:rsidR="004418CE" w:rsidRPr="00F1660D">
        <w:rPr>
          <w:lang w:val="fr-FR"/>
        </w:rPr>
        <w:t xml:space="preserve">informations </w:t>
      </w:r>
      <w:r w:rsidRPr="00F1660D">
        <w:rPr>
          <w:lang w:val="fr-FR"/>
        </w:rPr>
        <w:t>appartenant</w:t>
      </w:r>
      <w:r w:rsidR="00A50629" w:rsidRPr="00F1660D">
        <w:rPr>
          <w:lang w:val="fr-FR"/>
        </w:rPr>
        <w:t xml:space="preserve"> au </w:t>
      </w:r>
      <w:r w:rsidRPr="00F1660D">
        <w:rPr>
          <w:lang w:val="fr-FR"/>
        </w:rPr>
        <w:t>domaine public se rapportant aux</w:t>
      </w:r>
      <w:r w:rsidR="004418CE" w:rsidRPr="00F1660D">
        <w:rPr>
          <w:lang w:val="fr-FR"/>
        </w:rPr>
        <w:t xml:space="preserve"> produits chimiques.</w:t>
      </w:r>
    </w:p>
    <w:p w14:paraId="7345B58B" w14:textId="7F55D33E" w:rsidR="004418CE" w:rsidRPr="00F1660D" w:rsidRDefault="004418CE" w:rsidP="00733A1C">
      <w:pPr>
        <w:pStyle w:val="Normalnumber"/>
        <w:rPr>
          <w:lang w:val="fr-FR"/>
        </w:rPr>
      </w:pPr>
      <w:r w:rsidRPr="00F1660D">
        <w:rPr>
          <w:lang w:val="fr-FR"/>
        </w:rPr>
        <w:t>Le représentant</w:t>
      </w:r>
      <w:r w:rsidR="00A50629" w:rsidRPr="00F1660D">
        <w:rPr>
          <w:lang w:val="fr-FR"/>
        </w:rPr>
        <w:t xml:space="preserve"> des </w:t>
      </w:r>
      <w:r w:rsidRPr="00F1660D">
        <w:rPr>
          <w:lang w:val="fr-FR"/>
        </w:rPr>
        <w:t>syndicats a vivement engagé</w:t>
      </w:r>
      <w:r w:rsidR="00A50629" w:rsidRPr="00F1660D">
        <w:rPr>
          <w:lang w:val="fr-FR"/>
        </w:rPr>
        <w:t xml:space="preserve"> le </w:t>
      </w:r>
      <w:r w:rsidRPr="00F1660D">
        <w:rPr>
          <w:lang w:val="fr-FR"/>
        </w:rPr>
        <w:t>Groupe de travail à examiner</w:t>
      </w:r>
      <w:r w:rsidR="00A50629" w:rsidRPr="00F1660D">
        <w:rPr>
          <w:lang w:val="fr-FR"/>
        </w:rPr>
        <w:t xml:space="preserve"> les </w:t>
      </w:r>
      <w:r w:rsidRPr="00F1660D">
        <w:rPr>
          <w:lang w:val="fr-FR"/>
        </w:rPr>
        <w:t>problèmes auxquels</w:t>
      </w:r>
      <w:r w:rsidR="00A50629" w:rsidRPr="00F1660D">
        <w:rPr>
          <w:lang w:val="fr-FR"/>
        </w:rPr>
        <w:t xml:space="preserve"> les </w:t>
      </w:r>
      <w:r w:rsidRPr="00F1660D">
        <w:rPr>
          <w:lang w:val="fr-FR"/>
        </w:rPr>
        <w:t>travailleurs étaient confrontés et</w:t>
      </w:r>
      <w:r w:rsidR="00A50629" w:rsidRPr="00F1660D">
        <w:rPr>
          <w:lang w:val="fr-FR"/>
        </w:rPr>
        <w:t xml:space="preserve"> le </w:t>
      </w:r>
      <w:r w:rsidRPr="00F1660D">
        <w:rPr>
          <w:lang w:val="fr-FR"/>
        </w:rPr>
        <w:t>rôle que</w:t>
      </w:r>
      <w:r w:rsidR="00A50629" w:rsidRPr="00F1660D">
        <w:rPr>
          <w:lang w:val="fr-FR"/>
        </w:rPr>
        <w:t xml:space="preserve"> les </w:t>
      </w:r>
      <w:r w:rsidRPr="00F1660D">
        <w:rPr>
          <w:lang w:val="fr-FR"/>
        </w:rPr>
        <w:t>travailleurs et leurs syndicats pouvaient jouer dans</w:t>
      </w:r>
      <w:r w:rsidR="00A50629" w:rsidRPr="00F1660D">
        <w:rPr>
          <w:lang w:val="fr-FR"/>
        </w:rPr>
        <w:t xml:space="preserve"> la </w:t>
      </w:r>
      <w:r w:rsidRPr="00F1660D">
        <w:rPr>
          <w:lang w:val="fr-FR"/>
        </w:rPr>
        <w:t>prévention</w:t>
      </w:r>
      <w:r w:rsidR="00A50629" w:rsidRPr="00F1660D">
        <w:rPr>
          <w:lang w:val="fr-FR"/>
        </w:rPr>
        <w:t xml:space="preserve"> des </w:t>
      </w:r>
      <w:r w:rsidRPr="00F1660D">
        <w:rPr>
          <w:lang w:val="fr-FR"/>
        </w:rPr>
        <w:t>inacceptables taux de mortalité et de morbidité causés par l</w:t>
      </w:r>
      <w:r w:rsidR="00CE30FD" w:rsidRPr="00F1660D">
        <w:rPr>
          <w:lang w:val="fr-FR"/>
        </w:rPr>
        <w:t>’</w:t>
      </w:r>
      <w:r w:rsidRPr="00F1660D">
        <w:rPr>
          <w:lang w:val="fr-FR"/>
        </w:rPr>
        <w:t>exposition à</w:t>
      </w:r>
      <w:r w:rsidR="00A50629" w:rsidRPr="00F1660D">
        <w:rPr>
          <w:lang w:val="fr-FR"/>
        </w:rPr>
        <w:t xml:space="preserve"> des </w:t>
      </w:r>
      <w:r w:rsidRPr="00F1660D">
        <w:rPr>
          <w:lang w:val="fr-FR"/>
        </w:rPr>
        <w:t>produits chimiques sur</w:t>
      </w:r>
      <w:r w:rsidR="00A50629" w:rsidRPr="00F1660D">
        <w:rPr>
          <w:lang w:val="fr-FR"/>
        </w:rPr>
        <w:t xml:space="preserve"> les </w:t>
      </w:r>
      <w:r w:rsidRPr="00F1660D">
        <w:rPr>
          <w:lang w:val="fr-FR"/>
        </w:rPr>
        <w:t>lieux de travail, qui était plus courante et plus nuisible que celle due aux</w:t>
      </w:r>
      <w:r w:rsidR="00733A1C" w:rsidRPr="00F1660D">
        <w:rPr>
          <w:lang w:val="fr-FR"/>
        </w:rPr>
        <w:t> </w:t>
      </w:r>
      <w:r w:rsidRPr="00F1660D">
        <w:rPr>
          <w:lang w:val="fr-FR"/>
        </w:rPr>
        <w:t>rejets dans l</w:t>
      </w:r>
      <w:r w:rsidR="00CE30FD" w:rsidRPr="00F1660D">
        <w:rPr>
          <w:lang w:val="fr-FR"/>
        </w:rPr>
        <w:t>’</w:t>
      </w:r>
      <w:r w:rsidRPr="00F1660D">
        <w:rPr>
          <w:lang w:val="fr-FR"/>
        </w:rPr>
        <w:t>environnement mais constituait une forme de préjudice indirect officiellement toléré lié à l</w:t>
      </w:r>
      <w:r w:rsidR="00CE30FD" w:rsidRPr="00F1660D">
        <w:rPr>
          <w:lang w:val="fr-FR"/>
        </w:rPr>
        <w:t>’</w:t>
      </w:r>
      <w:r w:rsidRPr="00F1660D">
        <w:rPr>
          <w:lang w:val="fr-FR"/>
        </w:rPr>
        <w:t>utilisation de ces produits. Pour réussir, l</w:t>
      </w:r>
      <w:r w:rsidR="00CE30FD" w:rsidRPr="00F1660D">
        <w:rPr>
          <w:lang w:val="fr-FR"/>
        </w:rPr>
        <w:t>’</w:t>
      </w:r>
      <w:r w:rsidRPr="00F1660D">
        <w:rPr>
          <w:lang w:val="fr-FR"/>
        </w:rPr>
        <w:t>Approche stratégique devait promouvoir un</w:t>
      </w:r>
      <w:r w:rsidR="00733A1C" w:rsidRPr="00F1660D">
        <w:rPr>
          <w:lang w:val="fr-FR"/>
        </w:rPr>
        <w:t> </w:t>
      </w:r>
      <w:r w:rsidRPr="00F1660D">
        <w:rPr>
          <w:lang w:val="fr-FR"/>
        </w:rPr>
        <w:t>programme en matière de droits humains intégrant</w:t>
      </w:r>
      <w:r w:rsidR="00A50629" w:rsidRPr="00F1660D">
        <w:rPr>
          <w:lang w:val="fr-FR"/>
        </w:rPr>
        <w:t xml:space="preserve"> les </w:t>
      </w:r>
      <w:r w:rsidRPr="00F1660D">
        <w:rPr>
          <w:lang w:val="fr-FR"/>
        </w:rPr>
        <w:t>droits fondamentaux sur</w:t>
      </w:r>
      <w:r w:rsidR="00A50629" w:rsidRPr="00F1660D">
        <w:rPr>
          <w:lang w:val="fr-FR"/>
        </w:rPr>
        <w:t xml:space="preserve"> le </w:t>
      </w:r>
      <w:r w:rsidRPr="00F1660D">
        <w:rPr>
          <w:lang w:val="fr-FR"/>
        </w:rPr>
        <w:t>lieu de travail de l</w:t>
      </w:r>
      <w:r w:rsidR="00CE30FD" w:rsidRPr="00F1660D">
        <w:rPr>
          <w:lang w:val="fr-FR"/>
        </w:rPr>
        <w:t>’</w:t>
      </w:r>
      <w:r w:rsidRPr="00F1660D">
        <w:rPr>
          <w:lang w:val="fr-FR"/>
        </w:rPr>
        <w:t>Organis</w:t>
      </w:r>
      <w:r w:rsidR="005858A5" w:rsidRPr="00F1660D">
        <w:rPr>
          <w:lang w:val="fr-FR"/>
        </w:rPr>
        <w:t>ation internationale du T</w:t>
      </w:r>
      <w:r w:rsidR="007320A4" w:rsidRPr="00F1660D">
        <w:rPr>
          <w:lang w:val="fr-FR"/>
        </w:rPr>
        <w:t>ravail</w:t>
      </w:r>
      <w:r w:rsidR="005858A5" w:rsidRPr="00F1660D">
        <w:rPr>
          <w:lang w:val="fr-FR"/>
        </w:rPr>
        <w:t xml:space="preserve"> (OIT)</w:t>
      </w:r>
      <w:r w:rsidR="007320A4" w:rsidRPr="00F1660D">
        <w:rPr>
          <w:lang w:val="fr-FR"/>
        </w:rPr>
        <w:t> </w:t>
      </w:r>
      <w:r w:rsidRPr="00F1660D">
        <w:rPr>
          <w:lang w:val="fr-FR"/>
        </w:rPr>
        <w:t>; promouvoir une adhésion de haut niveau à tous</w:t>
      </w:r>
      <w:r w:rsidR="00A50629" w:rsidRPr="00F1660D">
        <w:rPr>
          <w:lang w:val="fr-FR"/>
        </w:rPr>
        <w:t xml:space="preserve"> les </w:t>
      </w:r>
      <w:r w:rsidRPr="00F1660D">
        <w:rPr>
          <w:lang w:val="fr-FR"/>
        </w:rPr>
        <w:t>échelons gouvernementaux,</w:t>
      </w:r>
      <w:r w:rsidR="00A50629" w:rsidRPr="00F1660D">
        <w:rPr>
          <w:lang w:val="fr-FR"/>
        </w:rPr>
        <w:t xml:space="preserve"> y </w:t>
      </w:r>
      <w:r w:rsidRPr="00F1660D">
        <w:rPr>
          <w:lang w:val="fr-FR"/>
        </w:rPr>
        <w:t>compris</w:t>
      </w:r>
      <w:r w:rsidR="00A50629" w:rsidRPr="00F1660D">
        <w:rPr>
          <w:lang w:val="fr-FR"/>
        </w:rPr>
        <w:t xml:space="preserve"> au </w:t>
      </w:r>
      <w:r w:rsidRPr="00F1660D">
        <w:rPr>
          <w:lang w:val="fr-FR"/>
        </w:rPr>
        <w:t>sein</w:t>
      </w:r>
      <w:r w:rsidR="00A50629" w:rsidRPr="00F1660D">
        <w:rPr>
          <w:lang w:val="fr-FR"/>
        </w:rPr>
        <w:t xml:space="preserve"> des </w:t>
      </w:r>
      <w:r w:rsidRPr="00F1660D">
        <w:rPr>
          <w:lang w:val="fr-FR"/>
        </w:rPr>
        <w:t>ministères du commerce et</w:t>
      </w:r>
      <w:r w:rsidR="00A50629" w:rsidRPr="00F1660D">
        <w:rPr>
          <w:lang w:val="fr-FR"/>
        </w:rPr>
        <w:t xml:space="preserve"> des </w:t>
      </w:r>
      <w:r w:rsidRPr="00F1660D">
        <w:rPr>
          <w:lang w:val="fr-FR"/>
        </w:rPr>
        <w:t>finances, dont</w:t>
      </w:r>
      <w:r w:rsidR="00A50629" w:rsidRPr="00F1660D">
        <w:rPr>
          <w:lang w:val="fr-FR"/>
        </w:rPr>
        <w:t xml:space="preserve"> les </w:t>
      </w:r>
      <w:r w:rsidRPr="00F1660D">
        <w:rPr>
          <w:lang w:val="fr-FR"/>
        </w:rPr>
        <w:t>politiques sapaient souvent</w:t>
      </w:r>
      <w:r w:rsidR="00A50629" w:rsidRPr="00F1660D">
        <w:rPr>
          <w:lang w:val="fr-FR"/>
        </w:rPr>
        <w:t xml:space="preserve"> les </w:t>
      </w:r>
      <w:r w:rsidRPr="00F1660D">
        <w:rPr>
          <w:lang w:val="fr-FR"/>
        </w:rPr>
        <w:t>politiques environnementales et encourageaient</w:t>
      </w:r>
      <w:r w:rsidR="00A50629" w:rsidRPr="00F1660D">
        <w:rPr>
          <w:lang w:val="fr-FR"/>
        </w:rPr>
        <w:t xml:space="preserve"> le </w:t>
      </w:r>
      <w:r w:rsidRPr="00F1660D">
        <w:rPr>
          <w:lang w:val="fr-FR"/>
        </w:rPr>
        <w:t>transfert</w:t>
      </w:r>
      <w:r w:rsidR="00A50629" w:rsidRPr="00F1660D">
        <w:rPr>
          <w:lang w:val="fr-FR"/>
        </w:rPr>
        <w:t xml:space="preserve"> des </w:t>
      </w:r>
      <w:r w:rsidRPr="00F1660D">
        <w:rPr>
          <w:lang w:val="fr-FR"/>
        </w:rPr>
        <w:t>risques aux pays en développement ainsi que</w:t>
      </w:r>
      <w:r w:rsidR="00A50629" w:rsidRPr="00F1660D">
        <w:rPr>
          <w:lang w:val="fr-FR"/>
        </w:rPr>
        <w:t xml:space="preserve"> la </w:t>
      </w:r>
      <w:r w:rsidRPr="00F1660D">
        <w:rPr>
          <w:lang w:val="fr-FR"/>
        </w:rPr>
        <w:t>croissance d</w:t>
      </w:r>
      <w:r w:rsidR="00CE30FD" w:rsidRPr="00F1660D">
        <w:rPr>
          <w:lang w:val="fr-FR"/>
        </w:rPr>
        <w:t>’</w:t>
      </w:r>
      <w:r w:rsidRPr="00F1660D">
        <w:rPr>
          <w:lang w:val="fr-FR"/>
        </w:rPr>
        <w:t>une main-d</w:t>
      </w:r>
      <w:r w:rsidR="00CE30FD" w:rsidRPr="00F1660D">
        <w:rPr>
          <w:lang w:val="fr-FR"/>
        </w:rPr>
        <w:t>’</w:t>
      </w:r>
      <w:r w:rsidRPr="00F1660D">
        <w:rPr>
          <w:lang w:val="fr-FR"/>
        </w:rPr>
        <w:t>œuvre mondiale toujours p</w:t>
      </w:r>
      <w:r w:rsidR="007320A4" w:rsidRPr="00F1660D">
        <w:rPr>
          <w:lang w:val="fr-FR"/>
        </w:rPr>
        <w:t>lus précaire dans tous</w:t>
      </w:r>
      <w:r w:rsidR="00A50629" w:rsidRPr="00F1660D">
        <w:rPr>
          <w:lang w:val="fr-FR"/>
        </w:rPr>
        <w:t xml:space="preserve"> les </w:t>
      </w:r>
      <w:r w:rsidR="007320A4" w:rsidRPr="00F1660D">
        <w:rPr>
          <w:lang w:val="fr-FR"/>
        </w:rPr>
        <w:t>pays </w:t>
      </w:r>
      <w:r w:rsidRPr="00F1660D">
        <w:rPr>
          <w:lang w:val="fr-FR"/>
        </w:rPr>
        <w:t>; et promouvoir</w:t>
      </w:r>
      <w:r w:rsidR="00A50629" w:rsidRPr="00F1660D">
        <w:rPr>
          <w:lang w:val="fr-FR"/>
        </w:rPr>
        <w:t xml:space="preserve"> la </w:t>
      </w:r>
      <w:r w:rsidRPr="00F1660D">
        <w:rPr>
          <w:lang w:val="fr-FR"/>
        </w:rPr>
        <w:t>transparence, afin que ni</w:t>
      </w:r>
      <w:r w:rsidR="00A50629" w:rsidRPr="00F1660D">
        <w:rPr>
          <w:lang w:val="fr-FR"/>
        </w:rPr>
        <w:t xml:space="preserve"> les </w:t>
      </w:r>
      <w:r w:rsidRPr="00F1660D">
        <w:rPr>
          <w:lang w:val="fr-FR"/>
        </w:rPr>
        <w:t>travailleurs ni</w:t>
      </w:r>
      <w:r w:rsidR="00A50629" w:rsidRPr="00F1660D">
        <w:rPr>
          <w:lang w:val="fr-FR"/>
        </w:rPr>
        <w:t xml:space="preserve"> le </w:t>
      </w:r>
      <w:r w:rsidRPr="00F1660D">
        <w:rPr>
          <w:lang w:val="fr-FR"/>
        </w:rPr>
        <w:t>grand public ne puissent jamais se voir refuser l</w:t>
      </w:r>
      <w:r w:rsidR="00CE30FD" w:rsidRPr="00F1660D">
        <w:rPr>
          <w:lang w:val="fr-FR"/>
        </w:rPr>
        <w:t>’</w:t>
      </w:r>
      <w:r w:rsidRPr="00F1660D">
        <w:rPr>
          <w:lang w:val="fr-FR"/>
        </w:rPr>
        <w:t>accès à l</w:t>
      </w:r>
      <w:r w:rsidR="00CE30FD" w:rsidRPr="00F1660D">
        <w:rPr>
          <w:lang w:val="fr-FR"/>
        </w:rPr>
        <w:t>’</w:t>
      </w:r>
      <w:r w:rsidRPr="00F1660D">
        <w:rPr>
          <w:lang w:val="fr-FR"/>
        </w:rPr>
        <w:t>information sur ce qui</w:t>
      </w:r>
      <w:r w:rsidR="00A50629" w:rsidRPr="00F1660D">
        <w:rPr>
          <w:lang w:val="fr-FR"/>
        </w:rPr>
        <w:t xml:space="preserve"> les </w:t>
      </w:r>
      <w:r w:rsidRPr="00F1660D">
        <w:rPr>
          <w:lang w:val="fr-FR"/>
        </w:rPr>
        <w:t>empoisonnait ou</w:t>
      </w:r>
      <w:r w:rsidR="00A50629" w:rsidRPr="00F1660D">
        <w:rPr>
          <w:lang w:val="fr-FR"/>
        </w:rPr>
        <w:t xml:space="preserve"> les </w:t>
      </w:r>
      <w:r w:rsidRPr="00F1660D">
        <w:rPr>
          <w:lang w:val="fr-FR"/>
        </w:rPr>
        <w:t>tuait.</w:t>
      </w:r>
    </w:p>
    <w:p w14:paraId="5A52A6F2" w14:textId="0669F2AE" w:rsidR="004418CE" w:rsidRPr="00F1660D" w:rsidRDefault="004418CE" w:rsidP="00733A1C">
      <w:pPr>
        <w:pStyle w:val="Normalnumber"/>
        <w:rPr>
          <w:lang w:val="fr-FR"/>
        </w:rPr>
      </w:pPr>
      <w:r w:rsidRPr="00F1660D">
        <w:rPr>
          <w:lang w:val="fr-FR"/>
        </w:rPr>
        <w:t>La représentante du secteur de</w:t>
      </w:r>
      <w:r w:rsidR="00A50629" w:rsidRPr="00F1660D">
        <w:rPr>
          <w:lang w:val="fr-FR"/>
        </w:rPr>
        <w:t xml:space="preserve"> la </w:t>
      </w:r>
      <w:r w:rsidRPr="00F1660D">
        <w:rPr>
          <w:lang w:val="fr-FR"/>
        </w:rPr>
        <w:t>santé de</w:t>
      </w:r>
      <w:r w:rsidR="00A50629" w:rsidRPr="00F1660D">
        <w:rPr>
          <w:lang w:val="fr-FR"/>
        </w:rPr>
        <w:t xml:space="preserve"> la </w:t>
      </w:r>
      <w:r w:rsidRPr="00F1660D">
        <w:rPr>
          <w:lang w:val="fr-FR"/>
        </w:rPr>
        <w:t>société civ</w:t>
      </w:r>
      <w:r w:rsidR="007320A4" w:rsidRPr="00F1660D">
        <w:rPr>
          <w:lang w:val="fr-FR"/>
        </w:rPr>
        <w:t>ile a exprimé son soutien à</w:t>
      </w:r>
      <w:r w:rsidR="00A50629" w:rsidRPr="00F1660D">
        <w:rPr>
          <w:lang w:val="fr-FR"/>
        </w:rPr>
        <w:t xml:space="preserve"> la </w:t>
      </w:r>
      <w:r w:rsidR="007320A4" w:rsidRPr="00F1660D">
        <w:rPr>
          <w:lang w:val="fr-FR"/>
        </w:rPr>
        <w:t>« SAICM 2.0 »</w:t>
      </w:r>
      <w:r w:rsidRPr="00F1660D">
        <w:rPr>
          <w:lang w:val="fr-FR"/>
        </w:rPr>
        <w:t>, notant que celle-ci devait s</w:t>
      </w:r>
      <w:r w:rsidR="00CE30FD" w:rsidRPr="00F1660D">
        <w:rPr>
          <w:lang w:val="fr-FR"/>
        </w:rPr>
        <w:t>’</w:t>
      </w:r>
      <w:r w:rsidRPr="00F1660D">
        <w:rPr>
          <w:lang w:val="fr-FR"/>
        </w:rPr>
        <w:t>appuyer sur</w:t>
      </w:r>
      <w:r w:rsidR="00A50629" w:rsidRPr="00F1660D">
        <w:rPr>
          <w:lang w:val="fr-FR"/>
        </w:rPr>
        <w:t xml:space="preserve"> les </w:t>
      </w:r>
      <w:r w:rsidRPr="00F1660D">
        <w:rPr>
          <w:lang w:val="fr-FR"/>
        </w:rPr>
        <w:t>succès et</w:t>
      </w:r>
      <w:r w:rsidR="00A50629" w:rsidRPr="00F1660D">
        <w:rPr>
          <w:lang w:val="fr-FR"/>
        </w:rPr>
        <w:t xml:space="preserve"> les </w:t>
      </w:r>
      <w:r w:rsidRPr="00F1660D">
        <w:rPr>
          <w:lang w:val="fr-FR"/>
        </w:rPr>
        <w:t>enseignements à tirer</w:t>
      </w:r>
      <w:r w:rsidR="00A50629" w:rsidRPr="00F1660D">
        <w:rPr>
          <w:lang w:val="fr-FR"/>
        </w:rPr>
        <w:t xml:space="preserve"> des </w:t>
      </w:r>
      <w:r w:rsidRPr="00F1660D">
        <w:rPr>
          <w:lang w:val="fr-FR"/>
        </w:rPr>
        <w:t>erreurs de l</w:t>
      </w:r>
      <w:r w:rsidR="00CE30FD" w:rsidRPr="00F1660D">
        <w:rPr>
          <w:lang w:val="fr-FR"/>
        </w:rPr>
        <w:t>’</w:t>
      </w:r>
      <w:r w:rsidRPr="00F1660D">
        <w:rPr>
          <w:lang w:val="fr-FR"/>
        </w:rPr>
        <w:t>Approche stratégique afin d</w:t>
      </w:r>
      <w:r w:rsidR="00CE30FD" w:rsidRPr="00F1660D">
        <w:rPr>
          <w:lang w:val="fr-FR"/>
        </w:rPr>
        <w:t>’</w:t>
      </w:r>
      <w:r w:rsidRPr="00F1660D">
        <w:rPr>
          <w:lang w:val="fr-FR"/>
        </w:rPr>
        <w:t>assurer</w:t>
      </w:r>
      <w:r w:rsidR="00A50629" w:rsidRPr="00F1660D">
        <w:rPr>
          <w:lang w:val="fr-FR"/>
        </w:rPr>
        <w:t xml:space="preserve"> la </w:t>
      </w:r>
      <w:r w:rsidRPr="00F1660D">
        <w:rPr>
          <w:lang w:val="fr-FR"/>
        </w:rPr>
        <w:t>prévention primaire en incorporant</w:t>
      </w:r>
      <w:r w:rsidR="00A50629" w:rsidRPr="00F1660D">
        <w:rPr>
          <w:lang w:val="fr-FR"/>
        </w:rPr>
        <w:t xml:space="preserve"> la </w:t>
      </w:r>
      <w:r w:rsidRPr="00F1660D">
        <w:rPr>
          <w:lang w:val="fr-FR"/>
        </w:rPr>
        <w:t>précaution,</w:t>
      </w:r>
      <w:r w:rsidR="00A50629" w:rsidRPr="00F1660D">
        <w:rPr>
          <w:lang w:val="fr-FR"/>
        </w:rPr>
        <w:t xml:space="preserve"> la </w:t>
      </w:r>
      <w:r w:rsidRPr="00F1660D">
        <w:rPr>
          <w:lang w:val="fr-FR"/>
        </w:rPr>
        <w:t>chimie verte et durable et</w:t>
      </w:r>
      <w:r w:rsidR="00A50629" w:rsidRPr="00F1660D">
        <w:rPr>
          <w:lang w:val="fr-FR"/>
        </w:rPr>
        <w:t xml:space="preserve"> le </w:t>
      </w:r>
      <w:r w:rsidRPr="00F1660D">
        <w:rPr>
          <w:lang w:val="fr-FR"/>
        </w:rPr>
        <w:t>concept de hiérarchie de prévention</w:t>
      </w:r>
      <w:r w:rsidR="00A50629" w:rsidRPr="00F1660D">
        <w:rPr>
          <w:lang w:val="fr-FR"/>
        </w:rPr>
        <w:t xml:space="preserve"> des </w:t>
      </w:r>
      <w:r w:rsidRPr="00F1660D">
        <w:rPr>
          <w:lang w:val="fr-FR"/>
        </w:rPr>
        <w:t>risques utilisé en</w:t>
      </w:r>
      <w:r w:rsidR="00733A1C" w:rsidRPr="00F1660D">
        <w:rPr>
          <w:lang w:val="fr-FR"/>
        </w:rPr>
        <w:t> </w:t>
      </w:r>
      <w:r w:rsidRPr="00F1660D">
        <w:rPr>
          <w:lang w:val="fr-FR"/>
        </w:rPr>
        <w:t>médecine du travail dans</w:t>
      </w:r>
      <w:r w:rsidR="00A50629" w:rsidRPr="00F1660D">
        <w:rPr>
          <w:lang w:val="fr-FR"/>
        </w:rPr>
        <w:t xml:space="preserve"> des </w:t>
      </w:r>
      <w:r w:rsidRPr="00F1660D">
        <w:rPr>
          <w:lang w:val="fr-FR"/>
        </w:rPr>
        <w:t>plans nationaux intégrés de mise en œuvre tenant compte de tous</w:t>
      </w:r>
      <w:r w:rsidR="00A50629" w:rsidRPr="00F1660D">
        <w:rPr>
          <w:lang w:val="fr-FR"/>
        </w:rPr>
        <w:t xml:space="preserve"> les </w:t>
      </w:r>
      <w:r w:rsidRPr="00F1660D">
        <w:rPr>
          <w:lang w:val="fr-FR"/>
        </w:rPr>
        <w:t>instruments et organismes pertinents devant travailler ensemble pour protéger</w:t>
      </w:r>
      <w:r w:rsidR="00A50629" w:rsidRPr="00F1660D">
        <w:rPr>
          <w:lang w:val="fr-FR"/>
        </w:rPr>
        <w:t xml:space="preserve"> la </w:t>
      </w:r>
      <w:r w:rsidRPr="00F1660D">
        <w:rPr>
          <w:lang w:val="fr-FR"/>
        </w:rPr>
        <w:t>santé humaine et l</w:t>
      </w:r>
      <w:r w:rsidR="00CE30FD" w:rsidRPr="00F1660D">
        <w:rPr>
          <w:lang w:val="fr-FR"/>
        </w:rPr>
        <w:t>’</w:t>
      </w:r>
      <w:r w:rsidRPr="00F1660D">
        <w:rPr>
          <w:lang w:val="fr-FR"/>
        </w:rPr>
        <w:t>environnement contre</w:t>
      </w:r>
      <w:r w:rsidR="00A50629" w:rsidRPr="00F1660D">
        <w:rPr>
          <w:lang w:val="fr-FR"/>
        </w:rPr>
        <w:t xml:space="preserve"> les </w:t>
      </w:r>
      <w:r w:rsidRPr="00F1660D">
        <w:rPr>
          <w:lang w:val="fr-FR"/>
        </w:rPr>
        <w:t>produits chimiques et déchets tout</w:t>
      </w:r>
      <w:r w:rsidR="00A50629" w:rsidRPr="00F1660D">
        <w:rPr>
          <w:lang w:val="fr-FR"/>
        </w:rPr>
        <w:t xml:space="preserve"> au </w:t>
      </w:r>
      <w:r w:rsidRPr="00F1660D">
        <w:rPr>
          <w:lang w:val="fr-FR"/>
        </w:rPr>
        <w:t>long de leur cycle de vie. Le</w:t>
      </w:r>
      <w:r w:rsidR="00733A1C" w:rsidRPr="00F1660D">
        <w:rPr>
          <w:lang w:val="fr-FR"/>
        </w:rPr>
        <w:t> </w:t>
      </w:r>
      <w:r w:rsidRPr="00F1660D">
        <w:rPr>
          <w:lang w:val="fr-FR"/>
        </w:rPr>
        <w:t>document établi par</w:t>
      </w:r>
      <w:r w:rsidR="00A50629" w:rsidRPr="00F1660D">
        <w:rPr>
          <w:lang w:val="fr-FR"/>
        </w:rPr>
        <w:t xml:space="preserve"> les </w:t>
      </w:r>
      <w:r w:rsidRPr="00F1660D">
        <w:rPr>
          <w:lang w:val="fr-FR"/>
        </w:rPr>
        <w:t>coprésidents constituait une bonne base pour l</w:t>
      </w:r>
      <w:r w:rsidR="00CE30FD" w:rsidRPr="00F1660D">
        <w:rPr>
          <w:lang w:val="fr-FR"/>
        </w:rPr>
        <w:t>’</w:t>
      </w:r>
      <w:r w:rsidRPr="00F1660D">
        <w:rPr>
          <w:lang w:val="fr-FR"/>
        </w:rPr>
        <w:t>élaboration de l</w:t>
      </w:r>
      <w:r w:rsidR="00CE30FD" w:rsidRPr="00F1660D">
        <w:rPr>
          <w:lang w:val="fr-FR"/>
        </w:rPr>
        <w:t>’</w:t>
      </w:r>
      <w:r w:rsidRPr="00F1660D">
        <w:rPr>
          <w:lang w:val="fr-FR"/>
        </w:rPr>
        <w:t>Approche stratégique 2.0 et il était nécessaire de s</w:t>
      </w:r>
      <w:r w:rsidR="00CE30FD" w:rsidRPr="00F1660D">
        <w:rPr>
          <w:lang w:val="fr-FR"/>
        </w:rPr>
        <w:t>’</w:t>
      </w:r>
      <w:r w:rsidRPr="00F1660D">
        <w:rPr>
          <w:lang w:val="fr-FR"/>
        </w:rPr>
        <w:t>attaquer plus efficacement aux menaces que</w:t>
      </w:r>
      <w:r w:rsidR="00A50629" w:rsidRPr="00F1660D">
        <w:rPr>
          <w:lang w:val="fr-FR"/>
        </w:rPr>
        <w:t xml:space="preserve"> les </w:t>
      </w:r>
      <w:r w:rsidRPr="00F1660D">
        <w:rPr>
          <w:lang w:val="fr-FR"/>
        </w:rPr>
        <w:t>substances chimiques dangereuses et celles présentes dans</w:t>
      </w:r>
      <w:r w:rsidR="00A50629" w:rsidRPr="00F1660D">
        <w:rPr>
          <w:lang w:val="fr-FR"/>
        </w:rPr>
        <w:t xml:space="preserve"> les </w:t>
      </w:r>
      <w:r w:rsidRPr="00F1660D">
        <w:rPr>
          <w:lang w:val="fr-FR"/>
        </w:rPr>
        <w:t>produits constituaient pour</w:t>
      </w:r>
      <w:r w:rsidR="00A50629" w:rsidRPr="00F1660D">
        <w:rPr>
          <w:lang w:val="fr-FR"/>
        </w:rPr>
        <w:t xml:space="preserve"> la </w:t>
      </w:r>
      <w:r w:rsidRPr="00F1660D">
        <w:rPr>
          <w:lang w:val="fr-FR"/>
        </w:rPr>
        <w:t>santé en recourant à</w:t>
      </w:r>
      <w:r w:rsidR="00A50629" w:rsidRPr="00F1660D">
        <w:rPr>
          <w:lang w:val="fr-FR"/>
        </w:rPr>
        <w:t xml:space="preserve"> la </w:t>
      </w:r>
      <w:r w:rsidRPr="00F1660D">
        <w:rPr>
          <w:lang w:val="fr-FR"/>
        </w:rPr>
        <w:t>transparence, à</w:t>
      </w:r>
      <w:r w:rsidR="00A50629" w:rsidRPr="00F1660D">
        <w:rPr>
          <w:lang w:val="fr-FR"/>
        </w:rPr>
        <w:t xml:space="preserve"> la </w:t>
      </w:r>
      <w:r w:rsidRPr="00F1660D">
        <w:rPr>
          <w:lang w:val="fr-FR"/>
        </w:rPr>
        <w:t>prévention et à</w:t>
      </w:r>
      <w:r w:rsidR="00A50629" w:rsidRPr="00F1660D">
        <w:rPr>
          <w:lang w:val="fr-FR"/>
        </w:rPr>
        <w:t xml:space="preserve"> la </w:t>
      </w:r>
      <w:r w:rsidRPr="00F1660D">
        <w:rPr>
          <w:lang w:val="fr-FR"/>
        </w:rPr>
        <w:t>précaution, et en gardant à l</w:t>
      </w:r>
      <w:r w:rsidR="00CE30FD" w:rsidRPr="00F1660D">
        <w:rPr>
          <w:lang w:val="fr-FR"/>
        </w:rPr>
        <w:t>’</w:t>
      </w:r>
      <w:r w:rsidRPr="00F1660D">
        <w:rPr>
          <w:lang w:val="fr-FR"/>
        </w:rPr>
        <w:t>esprit que l</w:t>
      </w:r>
      <w:r w:rsidR="00CE30FD" w:rsidRPr="00F1660D">
        <w:rPr>
          <w:lang w:val="fr-FR"/>
        </w:rPr>
        <w:t>’</w:t>
      </w:r>
      <w:r w:rsidRPr="00F1660D">
        <w:rPr>
          <w:lang w:val="fr-FR"/>
        </w:rPr>
        <w:t>Approche stratégique n</w:t>
      </w:r>
      <w:r w:rsidR="00CE30FD" w:rsidRPr="00F1660D">
        <w:rPr>
          <w:lang w:val="fr-FR"/>
        </w:rPr>
        <w:t>’</w:t>
      </w:r>
      <w:r w:rsidRPr="00F1660D">
        <w:rPr>
          <w:lang w:val="fr-FR"/>
        </w:rPr>
        <w:t>avait pas tenu ses</w:t>
      </w:r>
      <w:r w:rsidR="00733A1C" w:rsidRPr="00F1660D">
        <w:rPr>
          <w:lang w:val="fr-FR"/>
        </w:rPr>
        <w:t> </w:t>
      </w:r>
      <w:r w:rsidRPr="00F1660D">
        <w:rPr>
          <w:lang w:val="fr-FR"/>
        </w:rPr>
        <w:t>promesses faute de mécanismes de gouvernance coordonnés et de financements adéquats.</w:t>
      </w:r>
    </w:p>
    <w:p w14:paraId="014B9D7F" w14:textId="58DAAFBB" w:rsidR="006579B1" w:rsidRPr="00F1660D" w:rsidRDefault="00733A1C" w:rsidP="00733A1C">
      <w:pPr>
        <w:pStyle w:val="CH1"/>
        <w:rPr>
          <w:lang w:val="fr-FR"/>
        </w:rPr>
      </w:pPr>
      <w:r w:rsidRPr="00F1660D">
        <w:rPr>
          <w:lang w:val="fr-FR"/>
        </w:rPr>
        <w:tab/>
        <w:t>IV.</w:t>
      </w:r>
      <w:r w:rsidRPr="00F1660D">
        <w:rPr>
          <w:lang w:val="fr-FR"/>
        </w:rPr>
        <w:tab/>
      </w:r>
      <w:r w:rsidR="006579B1" w:rsidRPr="00F1660D">
        <w:rPr>
          <w:lang w:val="fr-FR"/>
        </w:rPr>
        <w:t>L</w:t>
      </w:r>
      <w:r w:rsidR="00CE30FD" w:rsidRPr="00F1660D">
        <w:rPr>
          <w:lang w:val="fr-FR"/>
        </w:rPr>
        <w:t>’</w:t>
      </w:r>
      <w:r w:rsidR="006579B1" w:rsidRPr="00F1660D">
        <w:rPr>
          <w:lang w:val="fr-FR"/>
        </w:rPr>
        <w:t>Approche stratégique et</w:t>
      </w:r>
      <w:r w:rsidR="00A50629" w:rsidRPr="00F1660D">
        <w:rPr>
          <w:lang w:val="fr-FR"/>
        </w:rPr>
        <w:t xml:space="preserve"> la </w:t>
      </w:r>
      <w:r w:rsidR="006579B1" w:rsidRPr="00F1660D">
        <w:rPr>
          <w:lang w:val="fr-FR"/>
        </w:rPr>
        <w:t>gestion rationnelle</w:t>
      </w:r>
      <w:r w:rsidR="00A50629" w:rsidRPr="00F1660D">
        <w:rPr>
          <w:lang w:val="fr-FR"/>
        </w:rPr>
        <w:t xml:space="preserve"> des </w:t>
      </w:r>
      <w:r w:rsidR="006579B1" w:rsidRPr="00F1660D">
        <w:rPr>
          <w:lang w:val="fr-FR"/>
        </w:rPr>
        <w:t>produits chimiques et</w:t>
      </w:r>
      <w:r w:rsidR="00A50629" w:rsidRPr="00F1660D">
        <w:rPr>
          <w:lang w:val="fr-FR"/>
        </w:rPr>
        <w:t xml:space="preserve"> des </w:t>
      </w:r>
      <w:r w:rsidR="006579B1" w:rsidRPr="00F1660D">
        <w:rPr>
          <w:lang w:val="fr-FR"/>
        </w:rPr>
        <w:t>déchets au-delà de 2020 </w:t>
      </w:r>
    </w:p>
    <w:p w14:paraId="191D324B" w14:textId="13AC1479" w:rsidR="006579B1" w:rsidRPr="00F1660D" w:rsidRDefault="00733A1C" w:rsidP="00733A1C">
      <w:pPr>
        <w:pStyle w:val="CH2"/>
        <w:rPr>
          <w:lang w:val="fr-FR"/>
        </w:rPr>
      </w:pPr>
      <w:r w:rsidRPr="00F1660D">
        <w:rPr>
          <w:lang w:val="fr-FR"/>
        </w:rPr>
        <w:tab/>
        <w:t>A.</w:t>
      </w:r>
      <w:r w:rsidRPr="00F1660D">
        <w:rPr>
          <w:lang w:val="fr-FR"/>
        </w:rPr>
        <w:tab/>
      </w:r>
      <w:r w:rsidR="006579B1" w:rsidRPr="00F1660D">
        <w:rPr>
          <w:lang w:val="fr-FR"/>
        </w:rPr>
        <w:t>Évaluation indépendante de l</w:t>
      </w:r>
      <w:r w:rsidR="00CE30FD" w:rsidRPr="00F1660D">
        <w:rPr>
          <w:lang w:val="fr-FR"/>
        </w:rPr>
        <w:t>’</w:t>
      </w:r>
      <w:r w:rsidR="006579B1" w:rsidRPr="00F1660D">
        <w:rPr>
          <w:lang w:val="fr-FR"/>
        </w:rPr>
        <w:t xml:space="preserve">Approche stratégique pour </w:t>
      </w:r>
      <w:r w:rsidR="00831721" w:rsidRPr="00F1660D">
        <w:rPr>
          <w:lang w:val="fr-FR"/>
        </w:rPr>
        <w:br/>
      </w:r>
      <w:r w:rsidR="006579B1" w:rsidRPr="00F1660D">
        <w:rPr>
          <w:lang w:val="fr-FR"/>
        </w:rPr>
        <w:t>la</w:t>
      </w:r>
      <w:r w:rsidR="00831721" w:rsidRPr="00F1660D">
        <w:rPr>
          <w:lang w:val="fr-FR"/>
        </w:rPr>
        <w:t> </w:t>
      </w:r>
      <w:r w:rsidR="006579B1" w:rsidRPr="00F1660D">
        <w:rPr>
          <w:lang w:val="fr-FR"/>
        </w:rPr>
        <w:t>période 2006–2015 </w:t>
      </w:r>
    </w:p>
    <w:p w14:paraId="21575EDD" w14:textId="588FA26A" w:rsidR="00B90F68" w:rsidRPr="00F1660D" w:rsidRDefault="00B90F68" w:rsidP="00733A1C">
      <w:pPr>
        <w:pStyle w:val="Normalnumber"/>
        <w:rPr>
          <w:lang w:val="fr-FR"/>
        </w:rPr>
      </w:pPr>
      <w:r w:rsidRPr="00F1660D">
        <w:rPr>
          <w:lang w:val="fr-FR"/>
        </w:rPr>
        <w:t>Présentant ce sous-point,</w:t>
      </w:r>
      <w:r w:rsidR="00A50629" w:rsidRPr="00F1660D">
        <w:rPr>
          <w:lang w:val="fr-FR"/>
        </w:rPr>
        <w:t xml:space="preserve"> la </w:t>
      </w:r>
      <w:r w:rsidRPr="00F1660D">
        <w:rPr>
          <w:lang w:val="fr-FR"/>
        </w:rPr>
        <w:t xml:space="preserve">Présidente </w:t>
      </w:r>
      <w:r w:rsidR="007320A4" w:rsidRPr="00F1660D">
        <w:rPr>
          <w:lang w:val="fr-FR"/>
        </w:rPr>
        <w:t>a rappelé que, dans sa décision </w:t>
      </w:r>
      <w:r w:rsidRPr="00F1660D">
        <w:rPr>
          <w:lang w:val="fr-FR"/>
        </w:rPr>
        <w:t>IV/4,</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a</w:t>
      </w:r>
      <w:r w:rsidR="005858A5" w:rsidRPr="00F1660D">
        <w:rPr>
          <w:lang w:val="fr-FR"/>
        </w:rPr>
        <w:t>vait</w:t>
      </w:r>
      <w:r w:rsidRPr="00F1660D">
        <w:rPr>
          <w:lang w:val="fr-FR"/>
        </w:rPr>
        <w:t xml:space="preserve"> défini</w:t>
      </w:r>
      <w:r w:rsidR="00A50629" w:rsidRPr="00F1660D">
        <w:rPr>
          <w:lang w:val="fr-FR"/>
        </w:rPr>
        <w:t xml:space="preserve"> le </w:t>
      </w:r>
      <w:r w:rsidRPr="00F1660D">
        <w:rPr>
          <w:lang w:val="fr-FR"/>
        </w:rPr>
        <w:t>cadre régissant l</w:t>
      </w:r>
      <w:r w:rsidR="00CE30FD" w:rsidRPr="00F1660D">
        <w:rPr>
          <w:lang w:val="fr-FR"/>
        </w:rPr>
        <w:t>’</w:t>
      </w:r>
      <w:r w:rsidRPr="00F1660D">
        <w:rPr>
          <w:lang w:val="fr-FR"/>
        </w:rPr>
        <w:t>évaluation indépendante de l</w:t>
      </w:r>
      <w:r w:rsidR="00CE30FD" w:rsidRPr="00F1660D">
        <w:rPr>
          <w:lang w:val="fr-FR"/>
        </w:rPr>
        <w:t>’</w:t>
      </w:r>
      <w:r w:rsidRPr="00F1660D">
        <w:rPr>
          <w:lang w:val="fr-FR"/>
        </w:rPr>
        <w:t>Approche stratégique pour</w:t>
      </w:r>
      <w:r w:rsidR="00A50629" w:rsidRPr="00F1660D">
        <w:rPr>
          <w:lang w:val="fr-FR"/>
        </w:rPr>
        <w:t xml:space="preserve"> la </w:t>
      </w:r>
      <w:r w:rsidRPr="00F1660D">
        <w:rPr>
          <w:lang w:val="fr-FR"/>
        </w:rPr>
        <w:t>période 2006</w:t>
      </w:r>
      <w:r w:rsidR="003647E1" w:rsidRPr="00F1660D">
        <w:rPr>
          <w:b/>
          <w:lang w:val="fr-FR"/>
        </w:rPr>
        <w:t>–</w:t>
      </w:r>
      <w:r w:rsidRPr="00F1660D">
        <w:rPr>
          <w:lang w:val="fr-FR"/>
        </w:rPr>
        <w:t>2015 et a</w:t>
      </w:r>
      <w:r w:rsidR="005858A5" w:rsidRPr="00F1660D">
        <w:rPr>
          <w:lang w:val="fr-FR"/>
        </w:rPr>
        <w:t>vait</w:t>
      </w:r>
      <w:r w:rsidRPr="00F1660D">
        <w:rPr>
          <w:lang w:val="fr-FR"/>
        </w:rPr>
        <w:t xml:space="preserve"> chargé</w:t>
      </w:r>
      <w:r w:rsidR="00A50629" w:rsidRPr="00F1660D">
        <w:rPr>
          <w:lang w:val="fr-FR"/>
        </w:rPr>
        <w:t xml:space="preserve"> le </w:t>
      </w:r>
      <w:r w:rsidRPr="00F1660D">
        <w:rPr>
          <w:lang w:val="fr-FR"/>
        </w:rPr>
        <w:t>Groupe de travail de se pencher sur</w:t>
      </w:r>
      <w:r w:rsidR="00A50629" w:rsidRPr="00F1660D">
        <w:rPr>
          <w:lang w:val="fr-FR"/>
        </w:rPr>
        <w:t xml:space="preserve"> les </w:t>
      </w:r>
      <w:r w:rsidRPr="00F1660D">
        <w:rPr>
          <w:lang w:val="fr-FR"/>
        </w:rPr>
        <w:t>conclusions de l</w:t>
      </w:r>
      <w:r w:rsidR="00CE30FD" w:rsidRPr="00F1660D">
        <w:rPr>
          <w:lang w:val="fr-FR"/>
        </w:rPr>
        <w:t>’</w:t>
      </w:r>
      <w:r w:rsidRPr="00F1660D">
        <w:rPr>
          <w:lang w:val="fr-FR"/>
        </w:rPr>
        <w:t xml:space="preserve">évaluation indépendante </w:t>
      </w:r>
      <w:r w:rsidR="005858A5" w:rsidRPr="00F1660D">
        <w:rPr>
          <w:lang w:val="fr-FR"/>
        </w:rPr>
        <w:t>et de</w:t>
      </w:r>
      <w:r w:rsidR="00A50629" w:rsidRPr="00F1660D">
        <w:rPr>
          <w:lang w:val="fr-FR"/>
        </w:rPr>
        <w:t xml:space="preserve"> les </w:t>
      </w:r>
      <w:r w:rsidR="005858A5" w:rsidRPr="00F1660D">
        <w:rPr>
          <w:lang w:val="fr-FR"/>
        </w:rPr>
        <w:t xml:space="preserve">lui soumettre </w:t>
      </w:r>
      <w:r w:rsidRPr="00F1660D">
        <w:rPr>
          <w:lang w:val="fr-FR"/>
        </w:rPr>
        <w:t>pour qu</w:t>
      </w:r>
      <w:r w:rsidR="00CE30FD" w:rsidRPr="00F1660D">
        <w:rPr>
          <w:lang w:val="fr-FR"/>
        </w:rPr>
        <w:t>’</w:t>
      </w:r>
      <w:r w:rsidRPr="00F1660D">
        <w:rPr>
          <w:lang w:val="fr-FR"/>
        </w:rPr>
        <w:t>elle</w:t>
      </w:r>
      <w:r w:rsidR="00A50629" w:rsidRPr="00F1660D">
        <w:rPr>
          <w:lang w:val="fr-FR"/>
        </w:rPr>
        <w:t xml:space="preserve"> les </w:t>
      </w:r>
      <w:r w:rsidRPr="00F1660D">
        <w:rPr>
          <w:lang w:val="fr-FR"/>
        </w:rPr>
        <w:t>examine à sa cinquième session. La Présidente a déploré qu</w:t>
      </w:r>
      <w:r w:rsidR="00CE30FD" w:rsidRPr="00F1660D">
        <w:rPr>
          <w:lang w:val="fr-FR"/>
        </w:rPr>
        <w:t>’</w:t>
      </w:r>
      <w:r w:rsidRPr="00F1660D">
        <w:rPr>
          <w:lang w:val="fr-FR"/>
        </w:rPr>
        <w:t>un retard important ait repoussé</w:t>
      </w:r>
      <w:r w:rsidR="00A50629" w:rsidRPr="00F1660D">
        <w:rPr>
          <w:lang w:val="fr-FR"/>
        </w:rPr>
        <w:t xml:space="preserve"> la </w:t>
      </w:r>
      <w:r w:rsidRPr="00F1660D">
        <w:rPr>
          <w:lang w:val="fr-FR"/>
        </w:rPr>
        <w:t>mise</w:t>
      </w:r>
      <w:r w:rsidR="00A50629" w:rsidRPr="00F1660D">
        <w:rPr>
          <w:lang w:val="fr-FR"/>
        </w:rPr>
        <w:t xml:space="preserve"> au </w:t>
      </w:r>
      <w:r w:rsidRPr="00F1660D">
        <w:rPr>
          <w:lang w:val="fr-FR"/>
        </w:rPr>
        <w:t>point définitive de l</w:t>
      </w:r>
      <w:r w:rsidR="00CE30FD" w:rsidRPr="00F1660D">
        <w:rPr>
          <w:lang w:val="fr-FR"/>
        </w:rPr>
        <w:t>’</w:t>
      </w:r>
      <w:r w:rsidRPr="00F1660D">
        <w:rPr>
          <w:lang w:val="fr-FR"/>
        </w:rPr>
        <w:t>évaluation, dont</w:t>
      </w:r>
      <w:r w:rsidR="00A50629" w:rsidRPr="00F1660D">
        <w:rPr>
          <w:lang w:val="fr-FR"/>
        </w:rPr>
        <w:t xml:space="preserve"> la </w:t>
      </w:r>
      <w:r w:rsidRPr="00F1660D">
        <w:rPr>
          <w:lang w:val="fr-FR"/>
        </w:rPr>
        <w:t>version intégrale n</w:t>
      </w:r>
      <w:r w:rsidR="00CE30FD" w:rsidRPr="00F1660D">
        <w:rPr>
          <w:lang w:val="fr-FR"/>
        </w:rPr>
        <w:t>’</w:t>
      </w:r>
      <w:r w:rsidR="005858A5" w:rsidRPr="00F1660D">
        <w:rPr>
          <w:lang w:val="fr-FR"/>
        </w:rPr>
        <w:t>était</w:t>
      </w:r>
      <w:r w:rsidRPr="00F1660D">
        <w:rPr>
          <w:lang w:val="fr-FR"/>
        </w:rPr>
        <w:t xml:space="preserve"> pas encore disponible. Cependant, une version préliminaire du résumé </w:t>
      </w:r>
      <w:r w:rsidR="00DF577B" w:rsidRPr="00F1660D">
        <w:rPr>
          <w:lang w:val="fr-FR"/>
        </w:rPr>
        <w:t xml:space="preserve">analytique </w:t>
      </w:r>
      <w:r w:rsidRPr="00F1660D">
        <w:rPr>
          <w:lang w:val="fr-FR"/>
        </w:rPr>
        <w:t>de l</w:t>
      </w:r>
      <w:r w:rsidR="00CE30FD" w:rsidRPr="00F1660D">
        <w:rPr>
          <w:lang w:val="fr-FR"/>
        </w:rPr>
        <w:t>’</w:t>
      </w:r>
      <w:r w:rsidRPr="00F1660D">
        <w:rPr>
          <w:lang w:val="fr-FR"/>
        </w:rPr>
        <w:t>évaluation avait été transmise</w:t>
      </w:r>
      <w:r w:rsidR="00A50629" w:rsidRPr="00F1660D">
        <w:rPr>
          <w:lang w:val="fr-FR"/>
        </w:rPr>
        <w:t xml:space="preserve"> au </w:t>
      </w:r>
      <w:r w:rsidRPr="00F1660D">
        <w:rPr>
          <w:lang w:val="fr-FR"/>
        </w:rPr>
        <w:t>Groupe de travail</w:t>
      </w:r>
      <w:r w:rsidR="00A50629" w:rsidRPr="00F1660D">
        <w:rPr>
          <w:lang w:val="fr-FR"/>
        </w:rPr>
        <w:t xml:space="preserve"> le </w:t>
      </w:r>
      <w:r w:rsidRPr="00F1660D">
        <w:rPr>
          <w:lang w:val="fr-FR"/>
        </w:rPr>
        <w:t>jour précédent (SAICM/OEWG.3/3) et l</w:t>
      </w:r>
      <w:r w:rsidR="00CE30FD" w:rsidRPr="00F1660D">
        <w:rPr>
          <w:lang w:val="fr-FR"/>
        </w:rPr>
        <w:t>’</w:t>
      </w:r>
      <w:r w:rsidRPr="00F1660D">
        <w:rPr>
          <w:lang w:val="fr-FR"/>
        </w:rPr>
        <w:t>évaluateur indépendant a</w:t>
      </w:r>
      <w:r w:rsidR="005858A5" w:rsidRPr="00F1660D">
        <w:rPr>
          <w:lang w:val="fr-FR"/>
        </w:rPr>
        <w:t>vait</w:t>
      </w:r>
      <w:r w:rsidRPr="00F1660D">
        <w:rPr>
          <w:lang w:val="fr-FR"/>
        </w:rPr>
        <w:t xml:space="preserve"> assuré</w:t>
      </w:r>
      <w:r w:rsidR="00A50629" w:rsidRPr="00F1660D">
        <w:rPr>
          <w:lang w:val="fr-FR"/>
        </w:rPr>
        <w:t xml:space="preserve"> le </w:t>
      </w:r>
      <w:r w:rsidRPr="00F1660D">
        <w:rPr>
          <w:lang w:val="fr-FR"/>
        </w:rPr>
        <w:t>secrétariat que</w:t>
      </w:r>
      <w:r w:rsidR="00A50629" w:rsidRPr="00F1660D">
        <w:rPr>
          <w:lang w:val="fr-FR"/>
        </w:rPr>
        <w:t xml:space="preserve"> les </w:t>
      </w:r>
      <w:r w:rsidRPr="00F1660D">
        <w:rPr>
          <w:lang w:val="fr-FR"/>
        </w:rPr>
        <w:t>versions finales du rapport d</w:t>
      </w:r>
      <w:r w:rsidR="00CE30FD" w:rsidRPr="00F1660D">
        <w:rPr>
          <w:lang w:val="fr-FR"/>
        </w:rPr>
        <w:t>’</w:t>
      </w:r>
      <w:r w:rsidRPr="00F1660D">
        <w:rPr>
          <w:lang w:val="fr-FR"/>
        </w:rPr>
        <w:t>évaluation et de son résumé seraient achevées d</w:t>
      </w:r>
      <w:r w:rsidR="00CE30FD" w:rsidRPr="00F1660D">
        <w:rPr>
          <w:lang w:val="fr-FR"/>
        </w:rPr>
        <w:t>’</w:t>
      </w:r>
      <w:r w:rsidRPr="00F1660D">
        <w:rPr>
          <w:lang w:val="fr-FR"/>
        </w:rPr>
        <w:t>ici à</w:t>
      </w:r>
      <w:r w:rsidR="00A50629" w:rsidRPr="00F1660D">
        <w:rPr>
          <w:lang w:val="fr-FR"/>
        </w:rPr>
        <w:t xml:space="preserve"> la </w:t>
      </w:r>
      <w:r w:rsidRPr="00F1660D">
        <w:rPr>
          <w:lang w:val="fr-FR"/>
        </w:rPr>
        <w:t>fin avril</w:t>
      </w:r>
      <w:r w:rsidR="00733A1C" w:rsidRPr="00F1660D">
        <w:rPr>
          <w:lang w:val="fr-FR"/>
        </w:rPr>
        <w:t> </w:t>
      </w:r>
      <w:r w:rsidRPr="00F1660D">
        <w:rPr>
          <w:lang w:val="fr-FR"/>
        </w:rPr>
        <w:t>2019. En outre, l</w:t>
      </w:r>
      <w:r w:rsidR="00CE30FD" w:rsidRPr="00F1660D">
        <w:rPr>
          <w:lang w:val="fr-FR"/>
        </w:rPr>
        <w:t>’</w:t>
      </w:r>
      <w:r w:rsidRPr="00F1660D">
        <w:rPr>
          <w:lang w:val="fr-FR"/>
        </w:rPr>
        <w:t>évaluateur indépendant a</w:t>
      </w:r>
      <w:r w:rsidR="005858A5" w:rsidRPr="00F1660D">
        <w:rPr>
          <w:lang w:val="fr-FR"/>
        </w:rPr>
        <w:t>vait</w:t>
      </w:r>
      <w:r w:rsidRPr="00F1660D">
        <w:rPr>
          <w:lang w:val="fr-FR"/>
        </w:rPr>
        <w:t xml:space="preserve"> présenté</w:t>
      </w:r>
      <w:r w:rsidR="00A50629" w:rsidRPr="00F1660D">
        <w:rPr>
          <w:lang w:val="fr-FR"/>
        </w:rPr>
        <w:t xml:space="preserve"> le </w:t>
      </w:r>
      <w:r w:rsidRPr="00F1660D">
        <w:rPr>
          <w:lang w:val="fr-FR"/>
        </w:rPr>
        <w:t>processus d</w:t>
      </w:r>
      <w:r w:rsidR="00CE30FD" w:rsidRPr="00F1660D">
        <w:rPr>
          <w:lang w:val="fr-FR"/>
        </w:rPr>
        <w:t>’</w:t>
      </w:r>
      <w:r w:rsidRPr="00F1660D">
        <w:rPr>
          <w:lang w:val="fr-FR"/>
        </w:rPr>
        <w:t>évaluation et</w:t>
      </w:r>
      <w:r w:rsidR="00A50629" w:rsidRPr="00F1660D">
        <w:rPr>
          <w:lang w:val="fr-FR"/>
        </w:rPr>
        <w:t xml:space="preserve"> les </w:t>
      </w:r>
      <w:r w:rsidRPr="00F1660D">
        <w:rPr>
          <w:lang w:val="fr-FR"/>
        </w:rPr>
        <w:t>résultats provisoires lors de réunions précédentes, ce qui avait donné lieu à un examen approfondi de ces</w:t>
      </w:r>
      <w:r w:rsidR="00733A1C" w:rsidRPr="00F1660D">
        <w:rPr>
          <w:lang w:val="fr-FR"/>
        </w:rPr>
        <w:t> </w:t>
      </w:r>
      <w:r w:rsidRPr="00F1660D">
        <w:rPr>
          <w:lang w:val="fr-FR"/>
        </w:rPr>
        <w:t>résultats par</w:t>
      </w:r>
      <w:r w:rsidR="00A50629" w:rsidRPr="00F1660D">
        <w:rPr>
          <w:lang w:val="fr-FR"/>
        </w:rPr>
        <w:t xml:space="preserve"> le </w:t>
      </w:r>
      <w:r w:rsidRPr="00F1660D">
        <w:rPr>
          <w:lang w:val="fr-FR"/>
        </w:rPr>
        <w:t xml:space="preserve">processus intersessions à sa deuxième réunion. </w:t>
      </w:r>
    </w:p>
    <w:p w14:paraId="2FDEFAC2" w14:textId="4FCC0E77" w:rsidR="00B90F68" w:rsidRPr="00F1660D" w:rsidRDefault="00B90F68" w:rsidP="00733A1C">
      <w:pPr>
        <w:pStyle w:val="Normalnumber"/>
        <w:rPr>
          <w:lang w:val="fr-FR"/>
        </w:rPr>
      </w:pPr>
      <w:r w:rsidRPr="00F1660D">
        <w:rPr>
          <w:lang w:val="fr-FR"/>
        </w:rPr>
        <w:t>Le représentant du secrétariat a attiré l</w:t>
      </w:r>
      <w:r w:rsidR="00CE30FD" w:rsidRPr="00F1660D">
        <w:rPr>
          <w:lang w:val="fr-FR"/>
        </w:rPr>
        <w:t>’</w:t>
      </w:r>
      <w:r w:rsidRPr="00F1660D">
        <w:rPr>
          <w:lang w:val="fr-FR"/>
        </w:rPr>
        <w:t>attention</w:t>
      </w:r>
      <w:r w:rsidR="00A50629" w:rsidRPr="00F1660D">
        <w:rPr>
          <w:lang w:val="fr-FR"/>
        </w:rPr>
        <w:t xml:space="preserve"> des </w:t>
      </w:r>
      <w:r w:rsidRPr="00F1660D">
        <w:rPr>
          <w:lang w:val="fr-FR"/>
        </w:rPr>
        <w:t>participants sur</w:t>
      </w:r>
      <w:r w:rsidR="00A50629" w:rsidRPr="00F1660D">
        <w:rPr>
          <w:lang w:val="fr-FR"/>
        </w:rPr>
        <w:t xml:space="preserve"> la </w:t>
      </w:r>
      <w:r w:rsidRPr="00F1660D">
        <w:rPr>
          <w:lang w:val="fr-FR"/>
        </w:rPr>
        <w:t>première page de</w:t>
      </w:r>
      <w:r w:rsidR="00A50629" w:rsidRPr="00F1660D">
        <w:rPr>
          <w:lang w:val="fr-FR"/>
        </w:rPr>
        <w:t xml:space="preserve"> la </w:t>
      </w:r>
      <w:r w:rsidRPr="00F1660D">
        <w:rPr>
          <w:lang w:val="fr-FR"/>
        </w:rPr>
        <w:t xml:space="preserve">version préliminaire du résumé </w:t>
      </w:r>
      <w:r w:rsidR="007501E8" w:rsidRPr="00F1660D">
        <w:rPr>
          <w:lang w:val="fr-FR"/>
        </w:rPr>
        <w:t xml:space="preserve">analytique </w:t>
      </w:r>
      <w:r w:rsidRPr="00F1660D">
        <w:rPr>
          <w:lang w:val="fr-FR"/>
        </w:rPr>
        <w:t>et a lu</w:t>
      </w:r>
      <w:r w:rsidR="00A50629" w:rsidRPr="00F1660D">
        <w:rPr>
          <w:lang w:val="fr-FR"/>
        </w:rPr>
        <w:t xml:space="preserve"> le </w:t>
      </w:r>
      <w:r w:rsidRPr="00F1660D">
        <w:rPr>
          <w:lang w:val="fr-FR"/>
        </w:rPr>
        <w:t>texte rédigé par l</w:t>
      </w:r>
      <w:r w:rsidR="00CE30FD" w:rsidRPr="00F1660D">
        <w:rPr>
          <w:lang w:val="fr-FR"/>
        </w:rPr>
        <w:t>’</w:t>
      </w:r>
      <w:r w:rsidRPr="00F1660D">
        <w:rPr>
          <w:lang w:val="fr-FR"/>
        </w:rPr>
        <w:t>évaluateur indépendant qui</w:t>
      </w:r>
      <w:r w:rsidR="00A50629" w:rsidRPr="00F1660D">
        <w:rPr>
          <w:lang w:val="fr-FR"/>
        </w:rPr>
        <w:t xml:space="preserve"> s’y </w:t>
      </w:r>
      <w:r w:rsidR="005858A5" w:rsidRPr="00F1660D">
        <w:rPr>
          <w:lang w:val="fr-FR"/>
        </w:rPr>
        <w:t>trouvait</w:t>
      </w:r>
      <w:r w:rsidRPr="00F1660D">
        <w:rPr>
          <w:lang w:val="fr-FR"/>
        </w:rPr>
        <w:t xml:space="preserve">. </w:t>
      </w:r>
    </w:p>
    <w:p w14:paraId="1846C057" w14:textId="218A0ACB" w:rsidR="00B90F68" w:rsidRPr="00F1660D" w:rsidRDefault="00B90F68" w:rsidP="00733A1C">
      <w:pPr>
        <w:pStyle w:val="Normalnumber"/>
        <w:rPr>
          <w:lang w:val="fr-FR"/>
        </w:rPr>
      </w:pPr>
      <w:r w:rsidRPr="00F1660D">
        <w:rPr>
          <w:lang w:val="fr-FR"/>
        </w:rPr>
        <w:t>Le Groupe de travail a ensuite regardé une présentation vidéo de l</w:t>
      </w:r>
      <w:r w:rsidR="00CE30FD" w:rsidRPr="00F1660D">
        <w:rPr>
          <w:lang w:val="fr-FR"/>
        </w:rPr>
        <w:t>’</w:t>
      </w:r>
      <w:r w:rsidRPr="00F1660D">
        <w:rPr>
          <w:lang w:val="fr-FR"/>
        </w:rPr>
        <w:t>évaluation préparée par l</w:t>
      </w:r>
      <w:r w:rsidR="00CE30FD" w:rsidRPr="00F1660D">
        <w:rPr>
          <w:lang w:val="fr-FR"/>
        </w:rPr>
        <w:t>’</w:t>
      </w:r>
      <w:r w:rsidRPr="00F1660D">
        <w:rPr>
          <w:lang w:val="fr-FR"/>
        </w:rPr>
        <w:t>évaluateur</w:t>
      </w:r>
      <w:r w:rsidR="005858A5" w:rsidRPr="00F1660D">
        <w:rPr>
          <w:lang w:val="fr-FR"/>
        </w:rPr>
        <w:t xml:space="preserve"> indépendant, dans laquelle étaient</w:t>
      </w:r>
      <w:r w:rsidRPr="00F1660D">
        <w:rPr>
          <w:lang w:val="fr-FR"/>
        </w:rPr>
        <w:t xml:space="preserve"> décrits</w:t>
      </w:r>
      <w:r w:rsidR="00A50629" w:rsidRPr="00F1660D">
        <w:rPr>
          <w:lang w:val="fr-FR"/>
        </w:rPr>
        <w:t xml:space="preserve"> le </w:t>
      </w:r>
      <w:r w:rsidRPr="00F1660D">
        <w:rPr>
          <w:lang w:val="fr-FR"/>
        </w:rPr>
        <w:t>contexte,</w:t>
      </w:r>
      <w:r w:rsidR="00A50629" w:rsidRPr="00F1660D">
        <w:rPr>
          <w:lang w:val="fr-FR"/>
        </w:rPr>
        <w:t xml:space="preserve"> la </w:t>
      </w:r>
      <w:r w:rsidRPr="00F1660D">
        <w:rPr>
          <w:lang w:val="fr-FR"/>
        </w:rPr>
        <w:t>méthode et</w:t>
      </w:r>
      <w:r w:rsidR="00A50629" w:rsidRPr="00F1660D">
        <w:rPr>
          <w:lang w:val="fr-FR"/>
        </w:rPr>
        <w:t xml:space="preserve"> les </w:t>
      </w:r>
      <w:r w:rsidRPr="00F1660D">
        <w:rPr>
          <w:lang w:val="fr-FR"/>
        </w:rPr>
        <w:t>principales conclusions de l</w:t>
      </w:r>
      <w:r w:rsidR="00CE30FD" w:rsidRPr="00F1660D">
        <w:rPr>
          <w:lang w:val="fr-FR"/>
        </w:rPr>
        <w:t>’</w:t>
      </w:r>
      <w:r w:rsidRPr="00F1660D">
        <w:rPr>
          <w:lang w:val="fr-FR"/>
        </w:rPr>
        <w:t>évaluation</w:t>
      </w:r>
      <w:r w:rsidR="00A052AF" w:rsidRPr="00F1660D">
        <w:rPr>
          <w:lang w:val="fr-FR"/>
        </w:rPr>
        <w:t xml:space="preserve"> présentées dans</w:t>
      </w:r>
      <w:r w:rsidR="00A50629" w:rsidRPr="00F1660D">
        <w:rPr>
          <w:lang w:val="fr-FR"/>
        </w:rPr>
        <w:t xml:space="preserve"> le </w:t>
      </w:r>
      <w:r w:rsidR="00A052AF" w:rsidRPr="00F1660D">
        <w:rPr>
          <w:lang w:val="fr-FR"/>
        </w:rPr>
        <w:t>document SAICM/OEWG.3/3.</w:t>
      </w:r>
    </w:p>
    <w:p w14:paraId="5974B077" w14:textId="5400BA23" w:rsidR="00B90F68" w:rsidRPr="00F1660D" w:rsidRDefault="00B90F68" w:rsidP="00733A1C">
      <w:pPr>
        <w:pStyle w:val="Normalnumber"/>
        <w:rPr>
          <w:lang w:val="fr-FR"/>
        </w:rPr>
      </w:pPr>
      <w:r w:rsidRPr="00F1660D">
        <w:rPr>
          <w:lang w:val="fr-FR"/>
        </w:rPr>
        <w:t>Au cours</w:t>
      </w:r>
      <w:r w:rsidR="00A50629" w:rsidRPr="00F1660D">
        <w:rPr>
          <w:lang w:val="fr-FR"/>
        </w:rPr>
        <w:t xml:space="preserve"> d</w:t>
      </w:r>
      <w:r w:rsidR="007501E8" w:rsidRPr="00F1660D">
        <w:rPr>
          <w:lang w:val="fr-FR"/>
        </w:rPr>
        <w:t>u</w:t>
      </w:r>
      <w:r w:rsidR="00A50629" w:rsidRPr="00F1660D">
        <w:rPr>
          <w:lang w:val="fr-FR"/>
        </w:rPr>
        <w:t> </w:t>
      </w:r>
      <w:r w:rsidRPr="00F1660D">
        <w:rPr>
          <w:lang w:val="fr-FR"/>
        </w:rPr>
        <w:t xml:space="preserve">débat qui </w:t>
      </w:r>
      <w:r w:rsidR="007501E8" w:rsidRPr="00F1660D">
        <w:rPr>
          <w:lang w:val="fr-FR"/>
        </w:rPr>
        <w:t xml:space="preserve">a </w:t>
      </w:r>
      <w:r w:rsidRPr="00F1660D">
        <w:rPr>
          <w:lang w:val="fr-FR"/>
        </w:rPr>
        <w:t>suivi,</w:t>
      </w:r>
      <w:r w:rsidR="00A50629" w:rsidRPr="00F1660D">
        <w:rPr>
          <w:lang w:val="fr-FR"/>
        </w:rPr>
        <w:t xml:space="preserve"> des </w:t>
      </w:r>
      <w:r w:rsidRPr="00F1660D">
        <w:rPr>
          <w:lang w:val="fr-FR"/>
        </w:rPr>
        <w:t>représentants ont remercié l</w:t>
      </w:r>
      <w:r w:rsidR="00CE30FD" w:rsidRPr="00F1660D">
        <w:rPr>
          <w:lang w:val="fr-FR"/>
        </w:rPr>
        <w:t>’</w:t>
      </w:r>
      <w:r w:rsidRPr="00F1660D">
        <w:rPr>
          <w:lang w:val="fr-FR"/>
        </w:rPr>
        <w:t>évaluateur indépendant pour son travail, son exposé et</w:t>
      </w:r>
      <w:r w:rsidR="00A50629" w:rsidRPr="00F1660D">
        <w:rPr>
          <w:lang w:val="fr-FR"/>
        </w:rPr>
        <w:t xml:space="preserve"> le </w:t>
      </w:r>
      <w:r w:rsidRPr="00F1660D">
        <w:rPr>
          <w:lang w:val="fr-FR"/>
        </w:rPr>
        <w:t>résumé</w:t>
      </w:r>
      <w:r w:rsidR="007501E8" w:rsidRPr="00F1660D">
        <w:rPr>
          <w:lang w:val="fr-FR"/>
        </w:rPr>
        <w:t xml:space="preserve"> analytique</w:t>
      </w:r>
      <w:r w:rsidRPr="00F1660D">
        <w:rPr>
          <w:lang w:val="fr-FR"/>
        </w:rPr>
        <w:t>, mais ont déploré</w:t>
      </w:r>
      <w:r w:rsidR="00A50629" w:rsidRPr="00F1660D">
        <w:rPr>
          <w:lang w:val="fr-FR"/>
        </w:rPr>
        <w:t xml:space="preserve"> la </w:t>
      </w:r>
      <w:r w:rsidRPr="00F1660D">
        <w:rPr>
          <w:lang w:val="fr-FR"/>
        </w:rPr>
        <w:t>présentation très tardive de ce dernier, qui a</w:t>
      </w:r>
      <w:r w:rsidR="00E108A9" w:rsidRPr="00F1660D">
        <w:rPr>
          <w:lang w:val="fr-FR"/>
        </w:rPr>
        <w:t>vait</w:t>
      </w:r>
      <w:r w:rsidRPr="00F1660D">
        <w:rPr>
          <w:lang w:val="fr-FR"/>
        </w:rPr>
        <w:t xml:space="preserve"> rendu son examen approfondi impossible, ainsi que</w:t>
      </w:r>
      <w:r w:rsidR="00A50629" w:rsidRPr="00F1660D">
        <w:rPr>
          <w:lang w:val="fr-FR"/>
        </w:rPr>
        <w:t xml:space="preserve"> le </w:t>
      </w:r>
      <w:r w:rsidRPr="00F1660D">
        <w:rPr>
          <w:lang w:val="fr-FR"/>
        </w:rPr>
        <w:t>fait que</w:t>
      </w:r>
      <w:r w:rsidR="00A50629" w:rsidRPr="00F1660D">
        <w:rPr>
          <w:lang w:val="fr-FR"/>
        </w:rPr>
        <w:t xml:space="preserve"> le </w:t>
      </w:r>
      <w:r w:rsidRPr="00F1660D">
        <w:rPr>
          <w:lang w:val="fr-FR"/>
        </w:rPr>
        <w:t>rapport d</w:t>
      </w:r>
      <w:r w:rsidR="00CE30FD" w:rsidRPr="00F1660D">
        <w:rPr>
          <w:lang w:val="fr-FR"/>
        </w:rPr>
        <w:t>’</w:t>
      </w:r>
      <w:r w:rsidRPr="00F1660D">
        <w:rPr>
          <w:lang w:val="fr-FR"/>
        </w:rPr>
        <w:t>évaluation i</w:t>
      </w:r>
      <w:r w:rsidR="00E108A9" w:rsidRPr="00F1660D">
        <w:rPr>
          <w:lang w:val="fr-FR"/>
        </w:rPr>
        <w:t>ntégral, à propos duquel ils avaient</w:t>
      </w:r>
      <w:r w:rsidRPr="00F1660D">
        <w:rPr>
          <w:lang w:val="fr-FR"/>
        </w:rPr>
        <w:t xml:space="preserve"> formulé</w:t>
      </w:r>
      <w:r w:rsidR="00A50629" w:rsidRPr="00F1660D">
        <w:rPr>
          <w:lang w:val="fr-FR"/>
        </w:rPr>
        <w:t xml:space="preserve"> des </w:t>
      </w:r>
      <w:r w:rsidRPr="00F1660D">
        <w:rPr>
          <w:lang w:val="fr-FR"/>
        </w:rPr>
        <w:t>observations, n</w:t>
      </w:r>
      <w:r w:rsidR="00CE30FD" w:rsidRPr="00F1660D">
        <w:rPr>
          <w:lang w:val="fr-FR"/>
        </w:rPr>
        <w:t>’</w:t>
      </w:r>
      <w:r w:rsidRPr="00F1660D">
        <w:rPr>
          <w:lang w:val="fr-FR"/>
        </w:rPr>
        <w:t>a</w:t>
      </w:r>
      <w:r w:rsidR="00E108A9" w:rsidRPr="00F1660D">
        <w:rPr>
          <w:lang w:val="fr-FR"/>
        </w:rPr>
        <w:t>vait</w:t>
      </w:r>
      <w:r w:rsidRPr="00F1660D">
        <w:rPr>
          <w:lang w:val="fr-FR"/>
        </w:rPr>
        <w:t xml:space="preserve"> pas été présenté</w:t>
      </w:r>
      <w:r w:rsidR="00A50629" w:rsidRPr="00F1660D">
        <w:rPr>
          <w:lang w:val="fr-FR"/>
        </w:rPr>
        <w:t xml:space="preserve"> au </w:t>
      </w:r>
      <w:r w:rsidRPr="00F1660D">
        <w:rPr>
          <w:lang w:val="fr-FR"/>
        </w:rPr>
        <w:t>Groupe de travail pour examen à</w:t>
      </w:r>
      <w:r w:rsidR="00A50629" w:rsidRPr="00F1660D">
        <w:rPr>
          <w:lang w:val="fr-FR"/>
        </w:rPr>
        <w:t xml:space="preserve"> la </w:t>
      </w:r>
      <w:r w:rsidRPr="00F1660D">
        <w:rPr>
          <w:lang w:val="fr-FR"/>
        </w:rPr>
        <w:t>réunion</w:t>
      </w:r>
      <w:r w:rsidR="007501E8" w:rsidRPr="00F1660D">
        <w:rPr>
          <w:lang w:val="fr-FR"/>
        </w:rPr>
        <w:t xml:space="preserve"> en cours</w:t>
      </w:r>
      <w:r w:rsidRPr="00F1660D">
        <w:rPr>
          <w:lang w:val="fr-FR"/>
        </w:rPr>
        <w:t>.</w:t>
      </w:r>
    </w:p>
    <w:p w14:paraId="6CA2B253" w14:textId="2E23E612" w:rsidR="00B90F68" w:rsidRPr="00F1660D" w:rsidRDefault="00B90F68" w:rsidP="00733A1C">
      <w:pPr>
        <w:pStyle w:val="Normalnumber"/>
        <w:rPr>
          <w:lang w:val="fr-FR"/>
        </w:rPr>
      </w:pPr>
      <w:r w:rsidRPr="00F1660D">
        <w:rPr>
          <w:lang w:val="fr-FR"/>
        </w:rPr>
        <w:t>Un représentant, s</w:t>
      </w:r>
      <w:r w:rsidR="00CE30FD" w:rsidRPr="00F1660D">
        <w:rPr>
          <w:lang w:val="fr-FR"/>
        </w:rPr>
        <w:t>’</w:t>
      </w:r>
      <w:r w:rsidRPr="00F1660D">
        <w:rPr>
          <w:lang w:val="fr-FR"/>
        </w:rPr>
        <w:t>exprimant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a déclaré que l</w:t>
      </w:r>
      <w:r w:rsidR="00CE30FD" w:rsidRPr="00F1660D">
        <w:rPr>
          <w:lang w:val="fr-FR"/>
        </w:rPr>
        <w:t>’</w:t>
      </w:r>
      <w:r w:rsidRPr="00F1660D">
        <w:rPr>
          <w:lang w:val="fr-FR"/>
        </w:rPr>
        <w:t>Approche stratégique a</w:t>
      </w:r>
      <w:r w:rsidR="00E108A9" w:rsidRPr="00F1660D">
        <w:rPr>
          <w:lang w:val="fr-FR"/>
        </w:rPr>
        <w:t>vait</w:t>
      </w:r>
      <w:r w:rsidRPr="00F1660D">
        <w:rPr>
          <w:lang w:val="fr-FR"/>
        </w:rPr>
        <w:t xml:space="preserve"> été extrêmement utile en permettant aux parties prenantes intéressées de divers secteurs d</w:t>
      </w:r>
      <w:r w:rsidR="00CE30FD" w:rsidRPr="00F1660D">
        <w:rPr>
          <w:lang w:val="fr-FR"/>
        </w:rPr>
        <w:t>’</w:t>
      </w:r>
      <w:r w:rsidRPr="00F1660D">
        <w:rPr>
          <w:lang w:val="fr-FR"/>
        </w:rPr>
        <w:t>aborder de façon constructive</w:t>
      </w:r>
      <w:r w:rsidR="00A50629" w:rsidRPr="00F1660D">
        <w:rPr>
          <w:lang w:val="fr-FR"/>
        </w:rPr>
        <w:t xml:space="preserve"> la </w:t>
      </w:r>
      <w:r w:rsidRPr="00F1660D">
        <w:rPr>
          <w:lang w:val="fr-FR"/>
        </w:rPr>
        <w:t>question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A50629" w:rsidRPr="00F1660D">
        <w:rPr>
          <w:lang w:val="fr-FR"/>
        </w:rPr>
        <w:t xml:space="preserve"> y </w:t>
      </w:r>
      <w:r w:rsidRPr="00F1660D">
        <w:rPr>
          <w:lang w:val="fr-FR"/>
        </w:rPr>
        <w:t>compris s</w:t>
      </w:r>
      <w:r w:rsidR="00CE30FD" w:rsidRPr="00F1660D">
        <w:rPr>
          <w:lang w:val="fr-FR"/>
        </w:rPr>
        <w:t>’</w:t>
      </w:r>
      <w:r w:rsidRPr="00F1660D">
        <w:rPr>
          <w:lang w:val="fr-FR"/>
        </w:rPr>
        <w:t>agissant</w:t>
      </w:r>
      <w:r w:rsidR="00A50629" w:rsidRPr="00F1660D">
        <w:rPr>
          <w:lang w:val="fr-FR"/>
        </w:rPr>
        <w:t xml:space="preserve"> des </w:t>
      </w:r>
      <w:r w:rsidRPr="00F1660D">
        <w:rPr>
          <w:lang w:val="fr-FR"/>
        </w:rPr>
        <w:t xml:space="preserve">nouvelles questions </w:t>
      </w:r>
      <w:r w:rsidR="00E108A9" w:rsidRPr="00F1660D">
        <w:rPr>
          <w:lang w:val="fr-FR"/>
        </w:rPr>
        <w:t>de politique générale</w:t>
      </w:r>
      <w:r w:rsidRPr="00F1660D">
        <w:rPr>
          <w:lang w:val="fr-FR"/>
        </w:rPr>
        <w:t xml:space="preserve"> ou d</w:t>
      </w:r>
      <w:r w:rsidR="00CE30FD" w:rsidRPr="00F1660D">
        <w:rPr>
          <w:lang w:val="fr-FR"/>
        </w:rPr>
        <w:t>’</w:t>
      </w:r>
      <w:r w:rsidRPr="00F1660D">
        <w:rPr>
          <w:lang w:val="fr-FR"/>
        </w:rPr>
        <w:t>autres sujets de préoc</w:t>
      </w:r>
      <w:r w:rsidR="00E108A9" w:rsidRPr="00F1660D">
        <w:rPr>
          <w:lang w:val="fr-FR"/>
        </w:rPr>
        <w:t>cupation, et que ses travaux avaient</w:t>
      </w:r>
      <w:r w:rsidRPr="00F1660D">
        <w:rPr>
          <w:lang w:val="fr-FR"/>
        </w:rPr>
        <w:t xml:space="preserve"> contribué à améliorer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dans divers pays. Cependant, l</w:t>
      </w:r>
      <w:r w:rsidR="00CE30FD" w:rsidRPr="00F1660D">
        <w:rPr>
          <w:lang w:val="fr-FR"/>
        </w:rPr>
        <w:t>’</w:t>
      </w:r>
      <w:r w:rsidRPr="00F1660D">
        <w:rPr>
          <w:lang w:val="fr-FR"/>
        </w:rPr>
        <w:t>Approche stratégique n</w:t>
      </w:r>
      <w:r w:rsidR="00CE30FD" w:rsidRPr="00F1660D">
        <w:rPr>
          <w:lang w:val="fr-FR"/>
        </w:rPr>
        <w:t>’</w:t>
      </w:r>
      <w:r w:rsidRPr="00F1660D">
        <w:rPr>
          <w:lang w:val="fr-FR"/>
        </w:rPr>
        <w:t>atteindra</w:t>
      </w:r>
      <w:r w:rsidR="00E108A9" w:rsidRPr="00F1660D">
        <w:rPr>
          <w:lang w:val="fr-FR"/>
        </w:rPr>
        <w:t>it</w:t>
      </w:r>
      <w:r w:rsidRPr="00F1660D">
        <w:rPr>
          <w:lang w:val="fr-FR"/>
        </w:rPr>
        <w:t xml:space="preserve"> pas son objectif fixé pour 2020, un résultat en grande partie dû</w:t>
      </w:r>
      <w:r w:rsidR="00A50629" w:rsidRPr="00F1660D">
        <w:rPr>
          <w:lang w:val="fr-FR"/>
        </w:rPr>
        <w:t xml:space="preserve"> au </w:t>
      </w:r>
      <w:r w:rsidRPr="00F1660D">
        <w:rPr>
          <w:lang w:val="fr-FR"/>
        </w:rPr>
        <w:t>fait qu</w:t>
      </w:r>
      <w:r w:rsidR="00CE30FD" w:rsidRPr="00F1660D">
        <w:rPr>
          <w:lang w:val="fr-FR"/>
        </w:rPr>
        <w:t>’</w:t>
      </w:r>
      <w:r w:rsidRPr="00F1660D">
        <w:rPr>
          <w:lang w:val="fr-FR"/>
        </w:rPr>
        <w:t>elle n</w:t>
      </w:r>
      <w:r w:rsidR="00CE30FD" w:rsidRPr="00F1660D">
        <w:rPr>
          <w:lang w:val="fr-FR"/>
        </w:rPr>
        <w:t>’</w:t>
      </w:r>
      <w:r w:rsidRPr="00F1660D">
        <w:rPr>
          <w:lang w:val="fr-FR"/>
        </w:rPr>
        <w:t>a</w:t>
      </w:r>
      <w:r w:rsidR="00A9371F" w:rsidRPr="00F1660D">
        <w:rPr>
          <w:lang w:val="fr-FR"/>
        </w:rPr>
        <w:t>vait</w:t>
      </w:r>
      <w:r w:rsidRPr="00F1660D">
        <w:rPr>
          <w:lang w:val="fr-FR"/>
        </w:rPr>
        <w:t xml:space="preserve"> pas suffisamment attiré l</w:t>
      </w:r>
      <w:r w:rsidR="00CE30FD" w:rsidRPr="00F1660D">
        <w:rPr>
          <w:lang w:val="fr-FR"/>
        </w:rPr>
        <w:t>’</w:t>
      </w:r>
      <w:r w:rsidRPr="00F1660D">
        <w:rPr>
          <w:lang w:val="fr-FR"/>
        </w:rPr>
        <w:t>attention de</w:t>
      </w:r>
      <w:r w:rsidR="00A50629" w:rsidRPr="00F1660D">
        <w:rPr>
          <w:lang w:val="fr-FR"/>
        </w:rPr>
        <w:t xml:space="preserve"> la </w:t>
      </w:r>
      <w:r w:rsidRPr="00F1660D">
        <w:rPr>
          <w:lang w:val="fr-FR"/>
        </w:rPr>
        <w:t>classe politique et du public sur</w:t>
      </w:r>
      <w:r w:rsidR="00A50629" w:rsidRPr="00F1660D">
        <w:rPr>
          <w:lang w:val="fr-FR"/>
        </w:rPr>
        <w:t xml:space="preserve"> la </w:t>
      </w:r>
      <w:r w:rsidRPr="00F1660D">
        <w:rPr>
          <w:lang w:val="fr-FR"/>
        </w:rPr>
        <w:t>question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w:t>
      </w:r>
      <w:r w:rsidR="00A9371F" w:rsidRPr="00F1660D">
        <w:rPr>
          <w:lang w:val="fr-FR"/>
        </w:rPr>
        <w:t>chets. Par ailleurs, on constatait</w:t>
      </w:r>
      <w:r w:rsidRPr="00F1660D">
        <w:rPr>
          <w:lang w:val="fr-FR"/>
        </w:rPr>
        <w:t xml:space="preserve"> un décrochage progressif</w:t>
      </w:r>
      <w:r w:rsidR="00A50629" w:rsidRPr="00F1660D">
        <w:rPr>
          <w:lang w:val="fr-FR"/>
        </w:rPr>
        <w:t xml:space="preserve"> des </w:t>
      </w:r>
      <w:r w:rsidRPr="00F1660D">
        <w:rPr>
          <w:lang w:val="fr-FR"/>
        </w:rPr>
        <w:t>organisations intéressées et un</w:t>
      </w:r>
      <w:r w:rsidR="00733A1C" w:rsidRPr="00F1660D">
        <w:rPr>
          <w:lang w:val="fr-FR"/>
        </w:rPr>
        <w:t> </w:t>
      </w:r>
      <w:r w:rsidRPr="00F1660D">
        <w:rPr>
          <w:lang w:val="fr-FR"/>
        </w:rPr>
        <w:t>manque de participation de certains secteurs</w:t>
      </w:r>
      <w:r w:rsidR="007501E8" w:rsidRPr="00F1660D">
        <w:rPr>
          <w:lang w:val="fr-FR"/>
        </w:rPr>
        <w:t>, notamment l’indust</w:t>
      </w:r>
      <w:r w:rsidRPr="00F1660D">
        <w:rPr>
          <w:lang w:val="fr-FR"/>
        </w:rPr>
        <w:t>rie.</w:t>
      </w:r>
    </w:p>
    <w:p w14:paraId="38A005FA" w14:textId="52A36E86" w:rsidR="00B90F68" w:rsidRPr="00F1660D" w:rsidRDefault="00B90F68" w:rsidP="00733A1C">
      <w:pPr>
        <w:pStyle w:val="Normalnumber"/>
        <w:rPr>
          <w:lang w:val="fr-FR"/>
        </w:rPr>
      </w:pPr>
      <w:r w:rsidRPr="00F1660D">
        <w:rPr>
          <w:lang w:val="fr-FR"/>
        </w:rPr>
        <w:t>Un autre représentant, s</w:t>
      </w:r>
      <w:r w:rsidR="00CE30FD" w:rsidRPr="00F1660D">
        <w:rPr>
          <w:lang w:val="fr-FR"/>
        </w:rPr>
        <w:t>’</w:t>
      </w:r>
      <w:r w:rsidRPr="00F1660D">
        <w:rPr>
          <w:lang w:val="fr-FR"/>
        </w:rPr>
        <w:t>exprimant également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w:t>
      </w:r>
      <w:r w:rsidR="00A9371F" w:rsidRPr="00F1660D">
        <w:rPr>
          <w:lang w:val="fr-FR"/>
        </w:rPr>
        <w:t xml:space="preserve"> a indiqué que</w:t>
      </w:r>
      <w:r w:rsidR="00A50629" w:rsidRPr="00F1660D">
        <w:rPr>
          <w:lang w:val="fr-FR"/>
        </w:rPr>
        <w:t xml:space="preserve"> le </w:t>
      </w:r>
      <w:r w:rsidR="00A9371F" w:rsidRPr="00F1660D">
        <w:rPr>
          <w:lang w:val="fr-FR"/>
        </w:rPr>
        <w:t xml:space="preserve">résumé </w:t>
      </w:r>
      <w:r w:rsidR="007501E8" w:rsidRPr="00F1660D">
        <w:rPr>
          <w:lang w:val="fr-FR"/>
        </w:rPr>
        <w:t xml:space="preserve">analytique </w:t>
      </w:r>
      <w:r w:rsidR="00A9371F" w:rsidRPr="00F1660D">
        <w:rPr>
          <w:lang w:val="fr-FR"/>
        </w:rPr>
        <w:t>reflétait</w:t>
      </w:r>
      <w:r w:rsidRPr="00F1660D">
        <w:rPr>
          <w:lang w:val="fr-FR"/>
        </w:rPr>
        <w:t xml:space="preserve"> bien ce qui se pass</w:t>
      </w:r>
      <w:r w:rsidR="00A9371F" w:rsidRPr="00F1660D">
        <w:rPr>
          <w:lang w:val="fr-FR"/>
        </w:rPr>
        <w:t>ait</w:t>
      </w:r>
      <w:r w:rsidRPr="00F1660D">
        <w:rPr>
          <w:lang w:val="fr-FR"/>
        </w:rPr>
        <w:t xml:space="preserve"> sur</w:t>
      </w:r>
      <w:r w:rsidR="00A50629" w:rsidRPr="00F1660D">
        <w:rPr>
          <w:lang w:val="fr-FR"/>
        </w:rPr>
        <w:t xml:space="preserve"> le </w:t>
      </w:r>
      <w:r w:rsidRPr="00F1660D">
        <w:rPr>
          <w:lang w:val="fr-FR"/>
        </w:rPr>
        <w:t>terrain et a approuvé</w:t>
      </w:r>
      <w:r w:rsidR="00A50629" w:rsidRPr="00F1660D">
        <w:rPr>
          <w:lang w:val="fr-FR"/>
        </w:rPr>
        <w:t xml:space="preserve"> les </w:t>
      </w:r>
      <w:r w:rsidRPr="00F1660D">
        <w:rPr>
          <w:lang w:val="fr-FR"/>
        </w:rPr>
        <w:t>conclusions présentées dans</w:t>
      </w:r>
      <w:r w:rsidR="00A50629" w:rsidRPr="00F1660D">
        <w:rPr>
          <w:lang w:val="fr-FR"/>
        </w:rPr>
        <w:t xml:space="preserve"> le </w:t>
      </w:r>
      <w:r w:rsidRPr="00F1660D">
        <w:rPr>
          <w:lang w:val="fr-FR"/>
        </w:rPr>
        <w:t>document, notamment celles relatives, s</w:t>
      </w:r>
      <w:r w:rsidR="00CE30FD" w:rsidRPr="00F1660D">
        <w:rPr>
          <w:lang w:val="fr-FR"/>
        </w:rPr>
        <w:t>’</w:t>
      </w:r>
      <w:r w:rsidRPr="00F1660D">
        <w:rPr>
          <w:lang w:val="fr-FR"/>
        </w:rPr>
        <w:t>agissant de l</w:t>
      </w:r>
      <w:r w:rsidR="00CE30FD" w:rsidRPr="00F1660D">
        <w:rPr>
          <w:lang w:val="fr-FR"/>
        </w:rPr>
        <w:t>’</w:t>
      </w:r>
      <w:r w:rsidRPr="00F1660D">
        <w:rPr>
          <w:lang w:val="fr-FR"/>
        </w:rPr>
        <w:t>après-2020, à</w:t>
      </w:r>
      <w:r w:rsidR="00A50629" w:rsidRPr="00F1660D">
        <w:rPr>
          <w:lang w:val="fr-FR"/>
        </w:rPr>
        <w:t xml:space="preserve"> la </w:t>
      </w:r>
      <w:r w:rsidRPr="00F1660D">
        <w:rPr>
          <w:lang w:val="fr-FR"/>
        </w:rPr>
        <w:t>nécessité de maintenir</w:t>
      </w:r>
      <w:r w:rsidR="00A50629" w:rsidRPr="00F1660D">
        <w:rPr>
          <w:lang w:val="fr-FR"/>
        </w:rPr>
        <w:t xml:space="preserve"> la </w:t>
      </w:r>
      <w:r w:rsidRPr="00F1660D">
        <w:rPr>
          <w:lang w:val="fr-FR"/>
        </w:rPr>
        <w:t>nature ambitieuse et inclusive de l</w:t>
      </w:r>
      <w:r w:rsidR="00CE30FD" w:rsidRPr="00F1660D">
        <w:rPr>
          <w:lang w:val="fr-FR"/>
        </w:rPr>
        <w:t>’</w:t>
      </w:r>
      <w:r w:rsidRPr="00F1660D">
        <w:rPr>
          <w:lang w:val="fr-FR"/>
        </w:rPr>
        <w:t>Approche stratégique et de veiller à</w:t>
      </w:r>
      <w:r w:rsidR="00A50629" w:rsidRPr="00F1660D">
        <w:rPr>
          <w:lang w:val="fr-FR"/>
        </w:rPr>
        <w:t xml:space="preserve"> des </w:t>
      </w:r>
      <w:r w:rsidRPr="00F1660D">
        <w:rPr>
          <w:lang w:val="fr-FR"/>
        </w:rPr>
        <w:t>niveaux de financement suffisants,</w:t>
      </w:r>
      <w:r w:rsidR="00A50629" w:rsidRPr="00F1660D">
        <w:rPr>
          <w:lang w:val="fr-FR"/>
        </w:rPr>
        <w:t xml:space="preserve"> au </w:t>
      </w:r>
      <w:r w:rsidRPr="00F1660D">
        <w:rPr>
          <w:lang w:val="fr-FR"/>
        </w:rPr>
        <w:t>renforcement</w:t>
      </w:r>
      <w:r w:rsidR="00A50629" w:rsidRPr="00F1660D">
        <w:rPr>
          <w:lang w:val="fr-FR"/>
        </w:rPr>
        <w:t xml:space="preserve"> des </w:t>
      </w:r>
      <w:r w:rsidRPr="00F1660D">
        <w:rPr>
          <w:lang w:val="fr-FR"/>
        </w:rPr>
        <w:t>capacités et à une meilleure représentation</w:t>
      </w:r>
      <w:r w:rsidR="00A50629" w:rsidRPr="00F1660D">
        <w:rPr>
          <w:lang w:val="fr-FR"/>
        </w:rPr>
        <w:t xml:space="preserve"> des </w:t>
      </w:r>
      <w:r w:rsidRPr="00F1660D">
        <w:rPr>
          <w:lang w:val="fr-FR"/>
        </w:rPr>
        <w:t>secteurs de</w:t>
      </w:r>
      <w:r w:rsidR="00A50629" w:rsidRPr="00F1660D">
        <w:rPr>
          <w:lang w:val="fr-FR"/>
        </w:rPr>
        <w:t xml:space="preserve"> la </w:t>
      </w:r>
      <w:r w:rsidRPr="00F1660D">
        <w:rPr>
          <w:lang w:val="fr-FR"/>
        </w:rPr>
        <w:t>santé, de</w:t>
      </w:r>
      <w:r w:rsidR="00733A1C" w:rsidRPr="00F1660D">
        <w:rPr>
          <w:lang w:val="fr-FR"/>
        </w:rPr>
        <w:t> </w:t>
      </w:r>
      <w:r w:rsidRPr="00F1660D">
        <w:rPr>
          <w:lang w:val="fr-FR"/>
        </w:rPr>
        <w:t>l</w:t>
      </w:r>
      <w:r w:rsidR="00CE30FD" w:rsidRPr="00F1660D">
        <w:rPr>
          <w:lang w:val="fr-FR"/>
        </w:rPr>
        <w:t>’</w:t>
      </w:r>
      <w:r w:rsidRPr="00F1660D">
        <w:rPr>
          <w:lang w:val="fr-FR"/>
        </w:rPr>
        <w:t>agriculture, de</w:t>
      </w:r>
      <w:r w:rsidR="00A50629" w:rsidRPr="00F1660D">
        <w:rPr>
          <w:lang w:val="fr-FR"/>
        </w:rPr>
        <w:t xml:space="preserve"> la </w:t>
      </w:r>
      <w:r w:rsidRPr="00F1660D">
        <w:rPr>
          <w:lang w:val="fr-FR"/>
        </w:rPr>
        <w:t>finance et de l</w:t>
      </w:r>
      <w:r w:rsidR="00CE30FD" w:rsidRPr="00F1660D">
        <w:rPr>
          <w:lang w:val="fr-FR"/>
        </w:rPr>
        <w:t>’</w:t>
      </w:r>
      <w:r w:rsidRPr="00F1660D">
        <w:rPr>
          <w:lang w:val="fr-FR"/>
        </w:rPr>
        <w:t>industrie ; à</w:t>
      </w:r>
      <w:r w:rsidR="00A50629" w:rsidRPr="00F1660D">
        <w:rPr>
          <w:lang w:val="fr-FR"/>
        </w:rPr>
        <w:t xml:space="preserve"> la </w:t>
      </w:r>
      <w:r w:rsidRPr="00F1660D">
        <w:rPr>
          <w:lang w:val="fr-FR"/>
        </w:rPr>
        <w:t>nécessité pour</w:t>
      </w:r>
      <w:r w:rsidR="00A50629" w:rsidRPr="00F1660D">
        <w:rPr>
          <w:lang w:val="fr-FR"/>
        </w:rPr>
        <w:t xml:space="preserve"> les </w:t>
      </w:r>
      <w:r w:rsidRPr="00F1660D">
        <w:rPr>
          <w:lang w:val="fr-FR"/>
        </w:rPr>
        <w:t>gouvernements de faire preuve de volonté politique pour légiférer et appliquer</w:t>
      </w:r>
      <w:r w:rsidR="00A50629" w:rsidRPr="00F1660D">
        <w:rPr>
          <w:lang w:val="fr-FR"/>
        </w:rPr>
        <w:t xml:space="preserve"> les </w:t>
      </w:r>
      <w:r w:rsidRPr="00F1660D">
        <w:rPr>
          <w:lang w:val="fr-FR"/>
        </w:rPr>
        <w:t>lois en matière de gestion rationnelle</w:t>
      </w:r>
      <w:r w:rsidR="00A50629" w:rsidRPr="00F1660D">
        <w:rPr>
          <w:lang w:val="fr-FR"/>
        </w:rPr>
        <w:t xml:space="preserve"> des </w:t>
      </w:r>
      <w:r w:rsidRPr="00F1660D">
        <w:rPr>
          <w:lang w:val="fr-FR"/>
        </w:rPr>
        <w:t>produits chimiques ; et aux mesures indispensables pour réduire</w:t>
      </w:r>
      <w:r w:rsidR="00A50629" w:rsidRPr="00F1660D">
        <w:rPr>
          <w:lang w:val="fr-FR"/>
        </w:rPr>
        <w:t xml:space="preserve"> les </w:t>
      </w:r>
      <w:r w:rsidRPr="00F1660D">
        <w:rPr>
          <w:lang w:val="fr-FR"/>
        </w:rPr>
        <w:t>inégalités entre</w:t>
      </w:r>
      <w:r w:rsidR="00A50629" w:rsidRPr="00F1660D">
        <w:rPr>
          <w:lang w:val="fr-FR"/>
        </w:rPr>
        <w:t xml:space="preserve"> les </w:t>
      </w:r>
      <w:r w:rsidRPr="00F1660D">
        <w:rPr>
          <w:lang w:val="fr-FR"/>
        </w:rPr>
        <w:t>pays et en leur sein.</w:t>
      </w:r>
    </w:p>
    <w:p w14:paraId="6E1209FB" w14:textId="1CBFAF66" w:rsidR="00B90F68" w:rsidRPr="00F1660D" w:rsidRDefault="00B90F68" w:rsidP="00733A1C">
      <w:pPr>
        <w:pStyle w:val="Normalnumber"/>
        <w:rPr>
          <w:lang w:val="fr-FR"/>
        </w:rPr>
      </w:pPr>
      <w:r w:rsidRPr="00F1660D">
        <w:rPr>
          <w:lang w:val="fr-FR"/>
        </w:rPr>
        <w:t>Un représentant a souligné qu</w:t>
      </w:r>
      <w:r w:rsidR="00CE30FD" w:rsidRPr="00F1660D">
        <w:rPr>
          <w:lang w:val="fr-FR"/>
        </w:rPr>
        <w:t>’</w:t>
      </w:r>
      <w:r w:rsidR="00A9371F" w:rsidRPr="00F1660D">
        <w:rPr>
          <w:lang w:val="fr-FR"/>
        </w:rPr>
        <w:t>un certain nombre de</w:t>
      </w:r>
      <w:r w:rsidRPr="00F1660D">
        <w:rPr>
          <w:lang w:val="fr-FR"/>
        </w:rPr>
        <w:t xml:space="preserve"> conclusions du rapport d</w:t>
      </w:r>
      <w:r w:rsidR="00CE30FD" w:rsidRPr="00F1660D">
        <w:rPr>
          <w:lang w:val="fr-FR"/>
        </w:rPr>
        <w:t>’</w:t>
      </w:r>
      <w:r w:rsidR="00A9371F" w:rsidRPr="00F1660D">
        <w:rPr>
          <w:lang w:val="fr-FR"/>
        </w:rPr>
        <w:t>évaluation indiquai</w:t>
      </w:r>
      <w:r w:rsidR="00C16B99" w:rsidRPr="00F1660D">
        <w:rPr>
          <w:lang w:val="fr-FR"/>
        </w:rPr>
        <w:t>en</w:t>
      </w:r>
      <w:r w:rsidR="00A9371F" w:rsidRPr="00F1660D">
        <w:rPr>
          <w:lang w:val="fr-FR"/>
        </w:rPr>
        <w:t>t</w:t>
      </w:r>
      <w:r w:rsidRPr="00F1660D">
        <w:rPr>
          <w:lang w:val="fr-FR"/>
        </w:rPr>
        <w:t xml:space="preserve"> que l</w:t>
      </w:r>
      <w:r w:rsidR="00CE30FD" w:rsidRPr="00F1660D">
        <w:rPr>
          <w:lang w:val="fr-FR"/>
        </w:rPr>
        <w:t>’</w:t>
      </w:r>
      <w:r w:rsidRPr="00F1660D">
        <w:rPr>
          <w:lang w:val="fr-FR"/>
        </w:rPr>
        <w:t>Approche stratégique au-delà de 2020 devrait s</w:t>
      </w:r>
      <w:r w:rsidR="00CE30FD" w:rsidRPr="00F1660D">
        <w:rPr>
          <w:lang w:val="fr-FR"/>
        </w:rPr>
        <w:t>’</w:t>
      </w:r>
      <w:r w:rsidRPr="00F1660D">
        <w:rPr>
          <w:lang w:val="fr-FR"/>
        </w:rPr>
        <w:t>intéresser à</w:t>
      </w:r>
      <w:r w:rsidR="00A50629" w:rsidRPr="00F1660D">
        <w:rPr>
          <w:lang w:val="fr-FR"/>
        </w:rPr>
        <w:t xml:space="preserve"> la </w:t>
      </w:r>
      <w:r w:rsidRPr="00F1660D">
        <w:rPr>
          <w:lang w:val="fr-FR"/>
        </w:rPr>
        <w:t>mise en œuvre</w:t>
      </w:r>
      <w:r w:rsidR="00A50629" w:rsidRPr="00F1660D">
        <w:rPr>
          <w:lang w:val="fr-FR"/>
        </w:rPr>
        <w:t xml:space="preserve"> au </w:t>
      </w:r>
      <w:r w:rsidRPr="00F1660D">
        <w:rPr>
          <w:lang w:val="fr-FR"/>
        </w:rPr>
        <w:t>niveau national de</w:t>
      </w:r>
      <w:r w:rsidR="00A50629" w:rsidRPr="00F1660D">
        <w:rPr>
          <w:lang w:val="fr-FR"/>
        </w:rPr>
        <w:t xml:space="preserve"> la </w:t>
      </w:r>
      <w:r w:rsidRPr="00F1660D">
        <w:rPr>
          <w:lang w:val="fr-FR"/>
        </w:rPr>
        <w:t>gestion de base</w:t>
      </w:r>
      <w:r w:rsidR="00A50629" w:rsidRPr="00F1660D">
        <w:rPr>
          <w:lang w:val="fr-FR"/>
        </w:rPr>
        <w:t xml:space="preserve"> des </w:t>
      </w:r>
      <w:r w:rsidRPr="00F1660D">
        <w:rPr>
          <w:lang w:val="fr-FR"/>
        </w:rPr>
        <w:t>produits chimiques.</w:t>
      </w:r>
    </w:p>
    <w:p w14:paraId="4515CAEF" w14:textId="26EF77C9" w:rsidR="00B90F68" w:rsidRPr="00F1660D" w:rsidRDefault="00B90F68" w:rsidP="00733A1C">
      <w:pPr>
        <w:pStyle w:val="Normalnumber"/>
        <w:rPr>
          <w:lang w:val="fr-FR"/>
        </w:rPr>
      </w:pPr>
      <w:r w:rsidRPr="00F1660D">
        <w:rPr>
          <w:lang w:val="fr-FR"/>
        </w:rPr>
        <w:t xml:space="preserve">Une autre représentante a déclaré que certaines conclusions clefs du résumé </w:t>
      </w:r>
      <w:r w:rsidR="007501E8" w:rsidRPr="00F1660D">
        <w:rPr>
          <w:lang w:val="fr-FR"/>
        </w:rPr>
        <w:t xml:space="preserve">analytique </w:t>
      </w:r>
      <w:r w:rsidRPr="00F1660D">
        <w:rPr>
          <w:lang w:val="fr-FR"/>
        </w:rPr>
        <w:t>devraient orienter</w:t>
      </w:r>
      <w:r w:rsidR="00A50629" w:rsidRPr="00F1660D">
        <w:rPr>
          <w:lang w:val="fr-FR"/>
        </w:rPr>
        <w:t xml:space="preserve"> les </w:t>
      </w:r>
      <w:r w:rsidRPr="00F1660D">
        <w:rPr>
          <w:lang w:val="fr-FR"/>
        </w:rPr>
        <w:t>activités</w:t>
      </w:r>
      <w:r w:rsidR="00A50629" w:rsidRPr="00F1660D">
        <w:rPr>
          <w:lang w:val="fr-FR"/>
        </w:rPr>
        <w:t xml:space="preserve"> des </w:t>
      </w:r>
      <w:r w:rsidRPr="00F1660D">
        <w:rPr>
          <w:lang w:val="fr-FR"/>
        </w:rPr>
        <w:t>parties prenantes de l</w:t>
      </w:r>
      <w:r w:rsidR="00CE30FD" w:rsidRPr="00F1660D">
        <w:rPr>
          <w:lang w:val="fr-FR"/>
        </w:rPr>
        <w:t>’</w:t>
      </w:r>
      <w:r w:rsidRPr="00F1660D">
        <w:rPr>
          <w:lang w:val="fr-FR"/>
        </w:rPr>
        <w:t>Approche stratégique au-delà de 2020,</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suivantes :</w:t>
      </w:r>
      <w:r w:rsidR="00A50629" w:rsidRPr="00F1660D">
        <w:rPr>
          <w:lang w:val="fr-FR"/>
        </w:rPr>
        <w:t xml:space="preserve"> la </w:t>
      </w:r>
      <w:r w:rsidRPr="00F1660D">
        <w:rPr>
          <w:lang w:val="fr-FR"/>
        </w:rPr>
        <w:t>nature multisectorielle et multipartite de l</w:t>
      </w:r>
      <w:r w:rsidR="00CE30FD" w:rsidRPr="00F1660D">
        <w:rPr>
          <w:lang w:val="fr-FR"/>
        </w:rPr>
        <w:t>’</w:t>
      </w:r>
      <w:r w:rsidR="00A9371F" w:rsidRPr="00F1660D">
        <w:rPr>
          <w:lang w:val="fr-FR"/>
        </w:rPr>
        <w:t>Approche constituait</w:t>
      </w:r>
      <w:r w:rsidRPr="00F1660D">
        <w:rPr>
          <w:lang w:val="fr-FR"/>
        </w:rPr>
        <w:t xml:space="preserve"> l</w:t>
      </w:r>
      <w:r w:rsidR="00CE30FD" w:rsidRPr="00F1660D">
        <w:rPr>
          <w:lang w:val="fr-FR"/>
        </w:rPr>
        <w:t>’</w:t>
      </w:r>
      <w:r w:rsidR="00A9371F" w:rsidRPr="00F1660D">
        <w:rPr>
          <w:lang w:val="fr-FR"/>
        </w:rPr>
        <w:t xml:space="preserve">une de ses forces et devait </w:t>
      </w:r>
      <w:r w:rsidRPr="00F1660D">
        <w:rPr>
          <w:lang w:val="fr-FR"/>
        </w:rPr>
        <w:t>être renforcée ;</w:t>
      </w:r>
      <w:r w:rsidR="00A50629" w:rsidRPr="00F1660D">
        <w:rPr>
          <w:lang w:val="fr-FR"/>
        </w:rPr>
        <w:t xml:space="preserve"> le </w:t>
      </w:r>
      <w:r w:rsidRPr="00F1660D">
        <w:rPr>
          <w:lang w:val="fr-FR"/>
        </w:rPr>
        <w:t>succès de l</w:t>
      </w:r>
      <w:r w:rsidR="00CE30FD" w:rsidRPr="00F1660D">
        <w:rPr>
          <w:lang w:val="fr-FR"/>
        </w:rPr>
        <w:t>’</w:t>
      </w:r>
      <w:r w:rsidR="00A9371F" w:rsidRPr="00F1660D">
        <w:rPr>
          <w:lang w:val="fr-FR"/>
        </w:rPr>
        <w:t>Approche reposait</w:t>
      </w:r>
      <w:r w:rsidRPr="00F1660D">
        <w:rPr>
          <w:lang w:val="fr-FR"/>
        </w:rPr>
        <w:t xml:space="preserve"> en définitive sur</w:t>
      </w:r>
      <w:r w:rsidR="00A50629" w:rsidRPr="00F1660D">
        <w:rPr>
          <w:lang w:val="fr-FR"/>
        </w:rPr>
        <w:t xml:space="preserve"> la </w:t>
      </w:r>
      <w:r w:rsidRPr="00F1660D">
        <w:rPr>
          <w:lang w:val="fr-FR"/>
        </w:rPr>
        <w:t>volonté</w:t>
      </w:r>
      <w:r w:rsidR="00A50629" w:rsidRPr="00F1660D">
        <w:rPr>
          <w:lang w:val="fr-FR"/>
        </w:rPr>
        <w:t xml:space="preserve"> des </w:t>
      </w:r>
      <w:r w:rsidRPr="00F1660D">
        <w:rPr>
          <w:lang w:val="fr-FR"/>
        </w:rPr>
        <w:t>gouvernements de légiférer en faveur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 d</w:t>
      </w:r>
      <w:r w:rsidR="00CE30FD" w:rsidRPr="00F1660D">
        <w:rPr>
          <w:lang w:val="fr-FR"/>
        </w:rPr>
        <w:t>’</w:t>
      </w:r>
      <w:r w:rsidRPr="00F1660D">
        <w:rPr>
          <w:lang w:val="fr-FR"/>
        </w:rPr>
        <w:t>appliquer ces lois ;</w:t>
      </w:r>
      <w:r w:rsidR="00A50629" w:rsidRPr="00F1660D">
        <w:rPr>
          <w:lang w:val="fr-FR"/>
        </w:rPr>
        <w:t xml:space="preserve"> des </w:t>
      </w:r>
      <w:r w:rsidRPr="00F1660D">
        <w:rPr>
          <w:lang w:val="fr-FR"/>
        </w:rPr>
        <w:t>pro</w:t>
      </w:r>
      <w:r w:rsidR="00A9371F" w:rsidRPr="00F1660D">
        <w:rPr>
          <w:lang w:val="fr-FR"/>
        </w:rPr>
        <w:t>grès étaient constatés mais il fallait</w:t>
      </w:r>
      <w:r w:rsidRPr="00F1660D">
        <w:rPr>
          <w:lang w:val="fr-FR"/>
        </w:rPr>
        <w:t xml:space="preserve"> renforcer</w:t>
      </w:r>
      <w:r w:rsidR="00A50629" w:rsidRPr="00F1660D">
        <w:rPr>
          <w:lang w:val="fr-FR"/>
        </w:rPr>
        <w:t xml:space="preserve"> les </w:t>
      </w:r>
      <w:r w:rsidRPr="00F1660D">
        <w:rPr>
          <w:lang w:val="fr-FR"/>
        </w:rPr>
        <w:t>capacités institutionnelles dans de nombreux pays et suivre</w:t>
      </w:r>
      <w:r w:rsidR="00A50629" w:rsidRPr="00F1660D">
        <w:rPr>
          <w:lang w:val="fr-FR"/>
        </w:rPr>
        <w:t xml:space="preserve"> les </w:t>
      </w:r>
      <w:r w:rsidRPr="00F1660D">
        <w:rPr>
          <w:lang w:val="fr-FR"/>
        </w:rPr>
        <w:t>avancées réalisées. Elle a exprimé l</w:t>
      </w:r>
      <w:r w:rsidR="00CE30FD" w:rsidRPr="00F1660D">
        <w:rPr>
          <w:lang w:val="fr-FR"/>
        </w:rPr>
        <w:t>’</w:t>
      </w:r>
      <w:r w:rsidRPr="00F1660D">
        <w:rPr>
          <w:lang w:val="fr-FR"/>
        </w:rPr>
        <w:t>espoir que</w:t>
      </w:r>
      <w:r w:rsidR="00A50629" w:rsidRPr="00F1660D">
        <w:rPr>
          <w:lang w:val="fr-FR"/>
        </w:rPr>
        <w:t xml:space="preserve"> le </w:t>
      </w:r>
      <w:r w:rsidRPr="00F1660D">
        <w:rPr>
          <w:lang w:val="fr-FR"/>
        </w:rPr>
        <w:t>rapport intégral sera</w:t>
      </w:r>
      <w:r w:rsidR="00A9371F" w:rsidRPr="00F1660D">
        <w:rPr>
          <w:lang w:val="fr-FR"/>
        </w:rPr>
        <w:t>it</w:t>
      </w:r>
      <w:r w:rsidRPr="00F1660D">
        <w:rPr>
          <w:lang w:val="fr-FR"/>
        </w:rPr>
        <w:t xml:space="preserve"> examiné à</w:t>
      </w:r>
      <w:r w:rsidR="00A50629" w:rsidRPr="00F1660D">
        <w:rPr>
          <w:lang w:val="fr-FR"/>
        </w:rPr>
        <w:t xml:space="preserve"> la </w:t>
      </w:r>
      <w:r w:rsidRPr="00F1660D">
        <w:rPr>
          <w:lang w:val="fr-FR"/>
        </w:rPr>
        <w:t>troisième réunion du processus intersessions.</w:t>
      </w:r>
    </w:p>
    <w:p w14:paraId="1F66642D" w14:textId="6C798067" w:rsidR="006579B1" w:rsidRPr="00F1660D" w:rsidRDefault="00B90F68" w:rsidP="00733A1C">
      <w:pPr>
        <w:pStyle w:val="Normalnumber"/>
        <w:rPr>
          <w:lang w:val="fr-FR"/>
        </w:rPr>
      </w:pPr>
      <w:r w:rsidRPr="00F1660D">
        <w:rPr>
          <w:lang w:val="fr-FR"/>
        </w:rPr>
        <w:t>La représentante d</w:t>
      </w:r>
      <w:r w:rsidR="00CE30FD" w:rsidRPr="00F1660D">
        <w:rPr>
          <w:lang w:val="fr-FR"/>
        </w:rPr>
        <w:t>’</w:t>
      </w:r>
      <w:r w:rsidRPr="00F1660D">
        <w:rPr>
          <w:lang w:val="fr-FR"/>
        </w:rPr>
        <w:t>une organisation non gouvernementale a exprimé sa consternation devant l</w:t>
      </w:r>
      <w:r w:rsidR="00CE30FD" w:rsidRPr="00F1660D">
        <w:rPr>
          <w:lang w:val="fr-FR"/>
        </w:rPr>
        <w:t>’</w:t>
      </w:r>
      <w:r w:rsidRPr="00F1660D">
        <w:rPr>
          <w:lang w:val="fr-FR"/>
        </w:rPr>
        <w:t>absence dans</w:t>
      </w:r>
      <w:r w:rsidR="00A50629" w:rsidRPr="00F1660D">
        <w:rPr>
          <w:lang w:val="fr-FR"/>
        </w:rPr>
        <w:t xml:space="preserve"> le </w:t>
      </w:r>
      <w:r w:rsidRPr="00F1660D">
        <w:rPr>
          <w:lang w:val="fr-FR"/>
        </w:rPr>
        <w:t xml:space="preserve">résumé </w:t>
      </w:r>
      <w:r w:rsidR="007501E8" w:rsidRPr="00F1660D">
        <w:rPr>
          <w:lang w:val="fr-FR"/>
        </w:rPr>
        <w:t xml:space="preserve">analytique </w:t>
      </w:r>
      <w:r w:rsidRPr="00F1660D">
        <w:rPr>
          <w:lang w:val="fr-FR"/>
        </w:rPr>
        <w:t>d</w:t>
      </w:r>
      <w:r w:rsidR="00CE30FD" w:rsidRPr="00F1660D">
        <w:rPr>
          <w:lang w:val="fr-FR"/>
        </w:rPr>
        <w:t>’</w:t>
      </w:r>
      <w:r w:rsidRPr="00F1660D">
        <w:rPr>
          <w:lang w:val="fr-FR"/>
        </w:rPr>
        <w:t>une évaluation</w:t>
      </w:r>
      <w:r w:rsidR="00A50629" w:rsidRPr="00F1660D">
        <w:rPr>
          <w:lang w:val="fr-FR"/>
        </w:rPr>
        <w:t xml:space="preserve"> des </w:t>
      </w:r>
      <w:r w:rsidRPr="00F1660D">
        <w:rPr>
          <w:lang w:val="fr-FR"/>
        </w:rPr>
        <w:t>pesticides extrêmement dangereux comme source de</w:t>
      </w:r>
      <w:r w:rsidR="003647E1" w:rsidRPr="00F1660D">
        <w:rPr>
          <w:lang w:val="fr-FR"/>
        </w:rPr>
        <w:t> </w:t>
      </w:r>
      <w:r w:rsidRPr="00F1660D">
        <w:rPr>
          <w:lang w:val="fr-FR"/>
        </w:rPr>
        <w:t>préoccupation</w:t>
      </w:r>
      <w:r w:rsidR="00A50629" w:rsidRPr="00F1660D">
        <w:rPr>
          <w:lang w:val="fr-FR"/>
        </w:rPr>
        <w:t xml:space="preserve"> au </w:t>
      </w:r>
      <w:r w:rsidRPr="00F1660D">
        <w:rPr>
          <w:lang w:val="fr-FR"/>
        </w:rPr>
        <w:t>titre de l</w:t>
      </w:r>
      <w:r w:rsidR="00CE30FD" w:rsidRPr="00F1660D">
        <w:rPr>
          <w:lang w:val="fr-FR"/>
        </w:rPr>
        <w:t>’</w:t>
      </w:r>
      <w:r w:rsidRPr="00F1660D">
        <w:rPr>
          <w:lang w:val="fr-FR"/>
        </w:rPr>
        <w:t>Approche stratégique. Elle a néanmoins exprimé l</w:t>
      </w:r>
      <w:r w:rsidR="00CE30FD" w:rsidRPr="00F1660D">
        <w:rPr>
          <w:lang w:val="fr-FR"/>
        </w:rPr>
        <w:t>’</w:t>
      </w:r>
      <w:r w:rsidRPr="00F1660D">
        <w:rPr>
          <w:lang w:val="fr-FR"/>
        </w:rPr>
        <w:t>espoir que</w:t>
      </w:r>
      <w:r w:rsidR="00A50629" w:rsidRPr="00F1660D">
        <w:rPr>
          <w:lang w:val="fr-FR"/>
        </w:rPr>
        <w:t xml:space="preserve"> la </w:t>
      </w:r>
      <w:r w:rsidRPr="00F1660D">
        <w:rPr>
          <w:lang w:val="fr-FR"/>
        </w:rPr>
        <w:t>question sera</w:t>
      </w:r>
      <w:r w:rsidR="00A9371F" w:rsidRPr="00F1660D">
        <w:rPr>
          <w:lang w:val="fr-FR"/>
        </w:rPr>
        <w:t>it</w:t>
      </w:r>
      <w:r w:rsidRPr="00F1660D">
        <w:rPr>
          <w:lang w:val="fr-FR"/>
        </w:rPr>
        <w:t xml:space="preserve"> traitée dans</w:t>
      </w:r>
      <w:r w:rsidR="00A50629" w:rsidRPr="00F1660D">
        <w:rPr>
          <w:lang w:val="fr-FR"/>
        </w:rPr>
        <w:t xml:space="preserve"> le </w:t>
      </w:r>
      <w:r w:rsidRPr="00F1660D">
        <w:rPr>
          <w:lang w:val="fr-FR"/>
        </w:rPr>
        <w:t>rapport d</w:t>
      </w:r>
      <w:r w:rsidR="00CE30FD" w:rsidRPr="00F1660D">
        <w:rPr>
          <w:lang w:val="fr-FR"/>
        </w:rPr>
        <w:t>’</w:t>
      </w:r>
      <w:r w:rsidRPr="00F1660D">
        <w:rPr>
          <w:lang w:val="fr-FR"/>
        </w:rPr>
        <w:t>évaluation final. Elle a également approuvé</w:t>
      </w:r>
      <w:r w:rsidR="00A50629" w:rsidRPr="00F1660D">
        <w:rPr>
          <w:lang w:val="fr-FR"/>
        </w:rPr>
        <w:t xml:space="preserve"> les </w:t>
      </w:r>
      <w:r w:rsidRPr="00F1660D">
        <w:rPr>
          <w:lang w:val="fr-FR"/>
        </w:rPr>
        <w:t>conclusions de l</w:t>
      </w:r>
      <w:r w:rsidR="00CE30FD" w:rsidRPr="00F1660D">
        <w:rPr>
          <w:lang w:val="fr-FR"/>
        </w:rPr>
        <w:t>’</w:t>
      </w:r>
      <w:r w:rsidRPr="00F1660D">
        <w:rPr>
          <w:lang w:val="fr-FR"/>
        </w:rPr>
        <w:t>évaluateur indépendant relatives</w:t>
      </w:r>
      <w:r w:rsidR="00A50629" w:rsidRPr="00F1660D">
        <w:rPr>
          <w:lang w:val="fr-FR"/>
        </w:rPr>
        <w:t xml:space="preserve"> au </w:t>
      </w:r>
      <w:r w:rsidRPr="00F1660D">
        <w:rPr>
          <w:lang w:val="fr-FR"/>
        </w:rPr>
        <w:t>financement.</w:t>
      </w:r>
    </w:p>
    <w:p w14:paraId="12B01BC9" w14:textId="26BC9F0C" w:rsidR="006579B1" w:rsidRPr="00F1660D" w:rsidRDefault="00733A1C" w:rsidP="00733A1C">
      <w:pPr>
        <w:pStyle w:val="CH2"/>
        <w:rPr>
          <w:lang w:val="fr-FR"/>
        </w:rPr>
      </w:pPr>
      <w:r w:rsidRPr="00F1660D">
        <w:rPr>
          <w:lang w:val="fr-FR"/>
        </w:rPr>
        <w:tab/>
        <w:t>B.</w:t>
      </w:r>
      <w:r w:rsidRPr="00F1660D">
        <w:rPr>
          <w:lang w:val="fr-FR"/>
        </w:rPr>
        <w:tab/>
      </w:r>
      <w:r w:rsidR="006579B1" w:rsidRPr="00F1660D">
        <w:rPr>
          <w:lang w:val="fr-FR"/>
        </w:rPr>
        <w:t>Considérations en vue d</w:t>
      </w:r>
      <w:r w:rsidR="00CE30FD" w:rsidRPr="00F1660D">
        <w:rPr>
          <w:lang w:val="fr-FR"/>
        </w:rPr>
        <w:t>’</w:t>
      </w:r>
      <w:r w:rsidR="006579B1" w:rsidRPr="00F1660D">
        <w:rPr>
          <w:lang w:val="fr-FR"/>
        </w:rPr>
        <w:t>une gestion rationnelle</w:t>
      </w:r>
      <w:r w:rsidR="00A50629" w:rsidRPr="00F1660D">
        <w:rPr>
          <w:lang w:val="fr-FR"/>
        </w:rPr>
        <w:t xml:space="preserve"> des </w:t>
      </w:r>
      <w:r w:rsidR="006579B1" w:rsidRPr="00F1660D">
        <w:rPr>
          <w:lang w:val="fr-FR"/>
        </w:rPr>
        <w:t>produits chimiques et</w:t>
      </w:r>
      <w:r w:rsidR="00A50629" w:rsidRPr="00F1660D">
        <w:rPr>
          <w:lang w:val="fr-FR"/>
        </w:rPr>
        <w:t xml:space="preserve"> des </w:t>
      </w:r>
      <w:r w:rsidR="006579B1" w:rsidRPr="00F1660D">
        <w:rPr>
          <w:lang w:val="fr-FR"/>
        </w:rPr>
        <w:t>déchets au-delà de 2020 </w:t>
      </w:r>
    </w:p>
    <w:p w14:paraId="2B8C240E" w14:textId="639428A5" w:rsidR="006579B1" w:rsidRPr="00F1660D" w:rsidRDefault="006579B1" w:rsidP="00733A1C">
      <w:pPr>
        <w:pStyle w:val="CH3"/>
        <w:rPr>
          <w:lang w:val="fr-FR"/>
        </w:rPr>
      </w:pPr>
      <w:r w:rsidRPr="00F1660D">
        <w:rPr>
          <w:lang w:val="fr-FR"/>
        </w:rPr>
        <w:tab/>
        <w:t>1.</w:t>
      </w:r>
      <w:r w:rsidRPr="00F1660D">
        <w:rPr>
          <w:lang w:val="fr-FR"/>
        </w:rPr>
        <w:tab/>
      </w:r>
      <w:r w:rsidR="00452691" w:rsidRPr="00F1660D">
        <w:rPr>
          <w:lang w:val="fr-FR"/>
        </w:rPr>
        <w:t>Élaboration de recommandations en prévision de</w:t>
      </w:r>
      <w:r w:rsidR="00A50629" w:rsidRPr="00F1660D">
        <w:rPr>
          <w:lang w:val="fr-FR"/>
        </w:rPr>
        <w:t xml:space="preserve"> la </w:t>
      </w:r>
      <w:r w:rsidR="00452691" w:rsidRPr="00F1660D">
        <w:rPr>
          <w:lang w:val="fr-FR"/>
        </w:rPr>
        <w:t>cinquième session de</w:t>
      </w:r>
      <w:r w:rsidR="00A50629" w:rsidRPr="00F1660D">
        <w:rPr>
          <w:lang w:val="fr-FR"/>
        </w:rPr>
        <w:t xml:space="preserve"> la </w:t>
      </w:r>
      <w:r w:rsidR="00452691" w:rsidRPr="00F1660D">
        <w:rPr>
          <w:lang w:val="fr-FR"/>
        </w:rPr>
        <w:t>Conférence internationale sur</w:t>
      </w:r>
      <w:r w:rsidR="00A50629" w:rsidRPr="00F1660D">
        <w:rPr>
          <w:lang w:val="fr-FR"/>
        </w:rPr>
        <w:t xml:space="preserve"> la </w:t>
      </w:r>
      <w:r w:rsidR="00452691" w:rsidRPr="00F1660D">
        <w:rPr>
          <w:lang w:val="fr-FR"/>
        </w:rPr>
        <w:t>gestion</w:t>
      </w:r>
      <w:r w:rsidR="00A50629" w:rsidRPr="00F1660D">
        <w:rPr>
          <w:lang w:val="fr-FR"/>
        </w:rPr>
        <w:t xml:space="preserve"> des </w:t>
      </w:r>
      <w:r w:rsidR="00452691" w:rsidRPr="00F1660D">
        <w:rPr>
          <w:lang w:val="fr-FR"/>
        </w:rPr>
        <w:t>produits chimiques</w:t>
      </w:r>
    </w:p>
    <w:p w14:paraId="118889D1" w14:textId="07A0AD88" w:rsidR="003D2C44" w:rsidRPr="00F1660D" w:rsidRDefault="003D2C44" w:rsidP="00733A1C">
      <w:pPr>
        <w:pStyle w:val="Normalnumber"/>
        <w:rPr>
          <w:lang w:val="fr-FR"/>
        </w:rPr>
      </w:pPr>
      <w:r w:rsidRPr="00F1660D">
        <w:rPr>
          <w:lang w:val="fr-FR"/>
        </w:rPr>
        <w:t>Présentant ce sous-point,</w:t>
      </w:r>
      <w:r w:rsidR="00A50629" w:rsidRPr="00F1660D">
        <w:rPr>
          <w:lang w:val="fr-FR"/>
        </w:rPr>
        <w:t xml:space="preserve"> la </w:t>
      </w:r>
      <w:r w:rsidRPr="00F1660D">
        <w:rPr>
          <w:lang w:val="fr-FR"/>
        </w:rPr>
        <w:t>Présidente a noté que, à</w:t>
      </w:r>
      <w:r w:rsidR="00A50629" w:rsidRPr="00F1660D">
        <w:rPr>
          <w:lang w:val="fr-FR"/>
        </w:rPr>
        <w:t xml:space="preserve"> la </w:t>
      </w:r>
      <w:r w:rsidRPr="00F1660D">
        <w:rPr>
          <w:lang w:val="fr-FR"/>
        </w:rPr>
        <w:t>fin de</w:t>
      </w:r>
      <w:r w:rsidR="00A50629" w:rsidRPr="00F1660D">
        <w:rPr>
          <w:lang w:val="fr-FR"/>
        </w:rPr>
        <w:t xml:space="preserve"> la </w:t>
      </w:r>
      <w:r w:rsidRPr="00F1660D">
        <w:rPr>
          <w:lang w:val="fr-FR"/>
        </w:rPr>
        <w:t>deuxième réunion du processus intersessions sur l</w:t>
      </w:r>
      <w:r w:rsidR="00CE30FD" w:rsidRPr="00F1660D">
        <w:rPr>
          <w:lang w:val="fr-FR"/>
        </w:rPr>
        <w:t>’</w:t>
      </w:r>
      <w:r w:rsidRPr="00F1660D">
        <w:rPr>
          <w:lang w:val="fr-FR"/>
        </w:rPr>
        <w:t>Approche stratégique et</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au-delà de 2020, où l</w:t>
      </w:r>
      <w:r w:rsidR="00CE30FD" w:rsidRPr="00F1660D">
        <w:rPr>
          <w:lang w:val="fr-FR"/>
        </w:rPr>
        <w:t>’</w:t>
      </w:r>
      <w:r w:rsidRPr="00F1660D">
        <w:rPr>
          <w:lang w:val="fr-FR"/>
        </w:rPr>
        <w:t>attention avait été appelée sur</w:t>
      </w:r>
      <w:r w:rsidR="00A50629" w:rsidRPr="00F1660D">
        <w:rPr>
          <w:lang w:val="fr-FR"/>
        </w:rPr>
        <w:t xml:space="preserve"> la </w:t>
      </w:r>
      <w:r w:rsidRPr="00F1660D">
        <w:rPr>
          <w:lang w:val="fr-FR"/>
        </w:rPr>
        <w:t>nécessité de progresser plus avant, toutes</w:t>
      </w:r>
      <w:r w:rsidR="00A50629" w:rsidRPr="00F1660D">
        <w:rPr>
          <w:lang w:val="fr-FR"/>
        </w:rPr>
        <w:t xml:space="preserve"> les </w:t>
      </w:r>
      <w:r w:rsidRPr="00F1660D">
        <w:rPr>
          <w:lang w:val="fr-FR"/>
        </w:rPr>
        <w:t>régions et tous</w:t>
      </w:r>
      <w:r w:rsidR="00A50629" w:rsidRPr="00F1660D">
        <w:rPr>
          <w:lang w:val="fr-FR"/>
        </w:rPr>
        <w:t xml:space="preserve"> les </w:t>
      </w:r>
      <w:r w:rsidRPr="00F1660D">
        <w:rPr>
          <w:lang w:val="fr-FR"/>
        </w:rPr>
        <w:t>secteurs avaient demandé aux coprésidents du processus intersessions d</w:t>
      </w:r>
      <w:r w:rsidR="00CE30FD" w:rsidRPr="00F1660D">
        <w:rPr>
          <w:lang w:val="fr-FR"/>
        </w:rPr>
        <w:t>’</w:t>
      </w:r>
      <w:r w:rsidRPr="00F1660D">
        <w:rPr>
          <w:lang w:val="fr-FR"/>
        </w:rPr>
        <w:t>élaborer un document devant servir de base aux discussions sur l</w:t>
      </w:r>
      <w:r w:rsidR="00CE30FD" w:rsidRPr="00F1660D">
        <w:rPr>
          <w:lang w:val="fr-FR"/>
        </w:rPr>
        <w:t>’</w:t>
      </w:r>
      <w:r w:rsidRPr="00F1660D">
        <w:rPr>
          <w:lang w:val="fr-FR"/>
        </w:rPr>
        <w:t>après-2020 qui serait soumis</w:t>
      </w:r>
      <w:r w:rsidR="00A50629" w:rsidRPr="00F1660D">
        <w:rPr>
          <w:lang w:val="fr-FR"/>
        </w:rPr>
        <w:t xml:space="preserve"> au </w:t>
      </w:r>
      <w:r w:rsidRPr="00F1660D">
        <w:rPr>
          <w:lang w:val="fr-FR"/>
        </w:rPr>
        <w:t>Groupe de travail à composition non limitée à sa troisième réunion.</w:t>
      </w:r>
      <w:r w:rsidR="00A50629" w:rsidRPr="00F1660D">
        <w:rPr>
          <w:lang w:val="fr-FR"/>
        </w:rPr>
        <w:t xml:space="preserve"> Les </w:t>
      </w:r>
      <w:r w:rsidRPr="00F1660D">
        <w:rPr>
          <w:lang w:val="fr-FR"/>
        </w:rPr>
        <w:t>coprésidents avaient élaboré ce document en consultation avec</w:t>
      </w:r>
      <w:r w:rsidR="00A50629" w:rsidRPr="00F1660D">
        <w:rPr>
          <w:lang w:val="fr-FR"/>
        </w:rPr>
        <w:t xml:space="preserve"> le </w:t>
      </w:r>
      <w:r w:rsidRPr="00F1660D">
        <w:rPr>
          <w:lang w:val="fr-FR"/>
        </w:rPr>
        <w:t>Bureau et avec</w:t>
      </w:r>
      <w:r w:rsidR="00A50629" w:rsidRPr="00F1660D">
        <w:rPr>
          <w:lang w:val="fr-FR"/>
        </w:rPr>
        <w:t xml:space="preserve"> le </w:t>
      </w:r>
      <w:r w:rsidRPr="00F1660D">
        <w:rPr>
          <w:lang w:val="fr-FR"/>
        </w:rPr>
        <w:t>concours du secrétariat en se fondant sur</w:t>
      </w:r>
      <w:r w:rsidR="00A50629" w:rsidRPr="00F1660D">
        <w:rPr>
          <w:lang w:val="fr-FR"/>
        </w:rPr>
        <w:t xml:space="preserve"> les </w:t>
      </w:r>
      <w:r w:rsidRPr="00F1660D">
        <w:rPr>
          <w:lang w:val="fr-FR"/>
        </w:rPr>
        <w:t>résultats</w:t>
      </w:r>
      <w:r w:rsidR="00A50629" w:rsidRPr="00F1660D">
        <w:rPr>
          <w:lang w:val="fr-FR"/>
        </w:rPr>
        <w:t xml:space="preserve"> des </w:t>
      </w:r>
      <w:r w:rsidRPr="00F1660D">
        <w:rPr>
          <w:lang w:val="fr-FR"/>
        </w:rPr>
        <w:t xml:space="preserve">première et </w:t>
      </w:r>
      <w:proofErr w:type="gramStart"/>
      <w:r w:rsidRPr="00F1660D">
        <w:rPr>
          <w:lang w:val="fr-FR"/>
        </w:rPr>
        <w:t>deuxième réunions</w:t>
      </w:r>
      <w:proofErr w:type="gramEnd"/>
      <w:r w:rsidRPr="00F1660D">
        <w:rPr>
          <w:lang w:val="fr-FR"/>
        </w:rPr>
        <w:t xml:space="preserve"> du processus intersessions et en tenant compte</w:t>
      </w:r>
      <w:r w:rsidR="00A50629" w:rsidRPr="00F1660D">
        <w:rPr>
          <w:lang w:val="fr-FR"/>
        </w:rPr>
        <w:t xml:space="preserve"> des </w:t>
      </w:r>
      <w:r w:rsidRPr="00F1660D">
        <w:rPr>
          <w:lang w:val="fr-FR"/>
        </w:rPr>
        <w:t>communications soumises par</w:t>
      </w:r>
      <w:r w:rsidR="00A50629" w:rsidRPr="00F1660D">
        <w:rPr>
          <w:lang w:val="fr-FR"/>
        </w:rPr>
        <w:t xml:space="preserve"> les </w:t>
      </w:r>
      <w:r w:rsidRPr="00F1660D">
        <w:rPr>
          <w:lang w:val="fr-FR"/>
        </w:rPr>
        <w:t>parties prenantes ainsi que de l</w:t>
      </w:r>
      <w:r w:rsidR="00CE30FD" w:rsidRPr="00F1660D">
        <w:rPr>
          <w:lang w:val="fr-FR"/>
        </w:rPr>
        <w:t>’</w:t>
      </w:r>
      <w:r w:rsidRPr="00F1660D">
        <w:rPr>
          <w:lang w:val="fr-FR"/>
        </w:rPr>
        <w:t>issue</w:t>
      </w:r>
      <w:r w:rsidR="00A50629" w:rsidRPr="00F1660D">
        <w:rPr>
          <w:lang w:val="fr-FR"/>
        </w:rPr>
        <w:t xml:space="preserve"> des </w:t>
      </w:r>
      <w:r w:rsidRPr="00F1660D">
        <w:rPr>
          <w:lang w:val="fr-FR"/>
        </w:rPr>
        <w:t>réunions régionales. Le représentant du secrétariat a présenté ce document (SAICM/OEWG.3/4) ainsi qu</w:t>
      </w:r>
      <w:r w:rsidR="00CE30FD" w:rsidRPr="00F1660D">
        <w:rPr>
          <w:lang w:val="fr-FR"/>
        </w:rPr>
        <w:t>’</w:t>
      </w:r>
      <w:r w:rsidRPr="00F1660D">
        <w:rPr>
          <w:lang w:val="fr-FR"/>
        </w:rPr>
        <w:t>un certain nombre de documents à l</w:t>
      </w:r>
      <w:r w:rsidR="00CE30FD" w:rsidRPr="00F1660D">
        <w:rPr>
          <w:lang w:val="fr-FR"/>
        </w:rPr>
        <w:t>’</w:t>
      </w:r>
      <w:r w:rsidRPr="00F1660D">
        <w:rPr>
          <w:lang w:val="fr-FR"/>
        </w:rPr>
        <w:t>appui, dont un document accompagné d</w:t>
      </w:r>
      <w:r w:rsidR="00CE30FD" w:rsidRPr="00F1660D">
        <w:rPr>
          <w:lang w:val="fr-FR"/>
        </w:rPr>
        <w:t>’</w:t>
      </w:r>
      <w:r w:rsidRPr="00F1660D">
        <w:rPr>
          <w:lang w:val="fr-FR"/>
        </w:rPr>
        <w:t>annotations</w:t>
      </w:r>
      <w:r w:rsidR="00A50629" w:rsidRPr="00F1660D">
        <w:rPr>
          <w:lang w:val="fr-FR"/>
        </w:rPr>
        <w:t xml:space="preserve"> au </w:t>
      </w:r>
      <w:r w:rsidRPr="00F1660D">
        <w:rPr>
          <w:lang w:val="fr-FR"/>
        </w:rPr>
        <w:t>document élaboré par</w:t>
      </w:r>
      <w:r w:rsidR="00A50629" w:rsidRPr="00F1660D">
        <w:rPr>
          <w:lang w:val="fr-FR"/>
        </w:rPr>
        <w:t xml:space="preserve"> les </w:t>
      </w:r>
      <w:r w:rsidRPr="00F1660D">
        <w:rPr>
          <w:lang w:val="fr-FR"/>
        </w:rPr>
        <w:t>coprésidents (SAICM/OEWG.3/INF/2). Enfin,</w:t>
      </w:r>
      <w:r w:rsidR="00A50629" w:rsidRPr="00F1660D">
        <w:rPr>
          <w:lang w:val="fr-FR"/>
        </w:rPr>
        <w:t xml:space="preserve"> la </w:t>
      </w:r>
      <w:r w:rsidRPr="00F1660D">
        <w:rPr>
          <w:lang w:val="fr-FR"/>
        </w:rPr>
        <w:t>Présidente a rappelé que, comme noté</w:t>
      </w:r>
      <w:r w:rsidR="00A50629" w:rsidRPr="00F1660D">
        <w:rPr>
          <w:lang w:val="fr-FR"/>
        </w:rPr>
        <w:t xml:space="preserve"> au </w:t>
      </w:r>
      <w:r w:rsidRPr="00F1660D">
        <w:rPr>
          <w:lang w:val="fr-FR"/>
        </w:rPr>
        <w:t>titre du point</w:t>
      </w:r>
      <w:r w:rsidR="00733A1C" w:rsidRPr="00F1660D">
        <w:rPr>
          <w:lang w:val="fr-FR"/>
        </w:rPr>
        <w:t> </w:t>
      </w:r>
      <w:r w:rsidRPr="00F1660D">
        <w:rPr>
          <w:lang w:val="fr-FR"/>
        </w:rPr>
        <w:t>2 (Questions d</w:t>
      </w:r>
      <w:r w:rsidR="00CE30FD" w:rsidRPr="00F1660D">
        <w:rPr>
          <w:lang w:val="fr-FR"/>
        </w:rPr>
        <w:t>’</w:t>
      </w:r>
      <w:r w:rsidRPr="00F1660D">
        <w:rPr>
          <w:lang w:val="fr-FR"/>
        </w:rPr>
        <w:t>organisation), M. Morin (Canada) continuerait d</w:t>
      </w:r>
      <w:r w:rsidR="00CE30FD" w:rsidRPr="00F1660D">
        <w:rPr>
          <w:lang w:val="fr-FR"/>
        </w:rPr>
        <w:t>’</w:t>
      </w:r>
      <w:r w:rsidRPr="00F1660D">
        <w:rPr>
          <w:lang w:val="fr-FR"/>
        </w:rPr>
        <w:t>exercer</w:t>
      </w:r>
      <w:r w:rsidR="00A50629" w:rsidRPr="00F1660D">
        <w:rPr>
          <w:lang w:val="fr-FR"/>
        </w:rPr>
        <w:t xml:space="preserve"> les </w:t>
      </w:r>
      <w:r w:rsidRPr="00F1660D">
        <w:rPr>
          <w:lang w:val="fr-FR"/>
        </w:rPr>
        <w:t>fonctions de coprésident du processus intersessions, tandis que Mme Judith Torres (Uruguay) prendrait</w:t>
      </w:r>
      <w:r w:rsidR="00A50629" w:rsidRPr="00F1660D">
        <w:rPr>
          <w:lang w:val="fr-FR"/>
        </w:rPr>
        <w:t xml:space="preserve"> la </w:t>
      </w:r>
      <w:r w:rsidRPr="00F1660D">
        <w:rPr>
          <w:lang w:val="fr-FR"/>
        </w:rPr>
        <w:t>suite de Mme</w:t>
      </w:r>
      <w:r w:rsidR="00733A1C" w:rsidRPr="00F1660D">
        <w:rPr>
          <w:lang w:val="fr-FR"/>
        </w:rPr>
        <w:t> </w:t>
      </w:r>
      <w:r w:rsidR="00A7615F" w:rsidRPr="00F1660D">
        <w:rPr>
          <w:lang w:val="fr-FR"/>
        </w:rPr>
        <w:t xml:space="preserve">Reis de </w:t>
      </w:r>
      <w:r w:rsidRPr="00F1660D">
        <w:rPr>
          <w:lang w:val="fr-FR"/>
        </w:rPr>
        <w:t>Carvalho (Brésil), comme convenu par</w:t>
      </w:r>
      <w:r w:rsidR="00A50629" w:rsidRPr="00F1660D">
        <w:rPr>
          <w:lang w:val="fr-FR"/>
        </w:rPr>
        <w:t xml:space="preserve"> le </w:t>
      </w:r>
      <w:r w:rsidRPr="00F1660D">
        <w:rPr>
          <w:lang w:val="fr-FR"/>
        </w:rPr>
        <w:t xml:space="preserve">Bureau. </w:t>
      </w:r>
    </w:p>
    <w:p w14:paraId="3E1BE2C1" w14:textId="20749A5D" w:rsidR="003D2C44" w:rsidRPr="00F1660D" w:rsidRDefault="003D2C44" w:rsidP="00733A1C">
      <w:pPr>
        <w:pStyle w:val="Normalnumber"/>
        <w:rPr>
          <w:lang w:val="fr-FR"/>
        </w:rPr>
      </w:pPr>
      <w:r w:rsidRPr="00F1660D">
        <w:rPr>
          <w:lang w:val="fr-FR"/>
        </w:rPr>
        <w:t>M. Morin, intervenant</w:t>
      </w:r>
      <w:r w:rsidR="00A50629" w:rsidRPr="00F1660D">
        <w:rPr>
          <w:lang w:val="fr-FR"/>
        </w:rPr>
        <w:t xml:space="preserve"> au </w:t>
      </w:r>
      <w:r w:rsidRPr="00F1660D">
        <w:rPr>
          <w:lang w:val="fr-FR"/>
        </w:rPr>
        <w:t>nom</w:t>
      </w:r>
      <w:r w:rsidR="00A50629" w:rsidRPr="00F1660D">
        <w:rPr>
          <w:lang w:val="fr-FR"/>
        </w:rPr>
        <w:t xml:space="preserve"> des </w:t>
      </w:r>
      <w:r w:rsidRPr="00F1660D">
        <w:rPr>
          <w:lang w:val="fr-FR"/>
        </w:rPr>
        <w:t>coprésidents, a présenté</w:t>
      </w:r>
      <w:r w:rsidR="00A50629" w:rsidRPr="00F1660D">
        <w:rPr>
          <w:lang w:val="fr-FR"/>
        </w:rPr>
        <w:t xml:space="preserve"> le </w:t>
      </w:r>
      <w:r w:rsidRPr="00F1660D">
        <w:rPr>
          <w:lang w:val="fr-FR"/>
        </w:rPr>
        <w:t>document ainsi que ses</w:t>
      </w:r>
      <w:r w:rsidR="00733A1C" w:rsidRPr="00F1660D">
        <w:rPr>
          <w:lang w:val="fr-FR"/>
        </w:rPr>
        <w:t> </w:t>
      </w:r>
      <w:r w:rsidRPr="00F1660D">
        <w:rPr>
          <w:lang w:val="fr-FR"/>
        </w:rPr>
        <w:t>annotations. Ce document</w:t>
      </w:r>
      <w:r w:rsidR="00A7615F" w:rsidRPr="00F1660D">
        <w:rPr>
          <w:lang w:val="fr-FR"/>
        </w:rPr>
        <w:t xml:space="preserve"> </w:t>
      </w:r>
      <w:r w:rsidRPr="00F1660D">
        <w:rPr>
          <w:lang w:val="fr-FR"/>
        </w:rPr>
        <w:t>abordait tout d</w:t>
      </w:r>
      <w:r w:rsidR="00CE30FD" w:rsidRPr="00F1660D">
        <w:rPr>
          <w:lang w:val="fr-FR"/>
        </w:rPr>
        <w:t>’</w:t>
      </w:r>
      <w:r w:rsidRPr="00F1660D">
        <w:rPr>
          <w:lang w:val="fr-FR"/>
        </w:rPr>
        <w:t>abord</w:t>
      </w:r>
      <w:r w:rsidR="00A50629" w:rsidRPr="00F1660D">
        <w:rPr>
          <w:lang w:val="fr-FR"/>
        </w:rPr>
        <w:t xml:space="preserve"> les </w:t>
      </w:r>
      <w:r w:rsidRPr="00F1660D">
        <w:rPr>
          <w:lang w:val="fr-FR"/>
        </w:rPr>
        <w:t>éléments fondamentaux, à savoir</w:t>
      </w:r>
      <w:r w:rsidR="00A50629" w:rsidRPr="00F1660D">
        <w:rPr>
          <w:lang w:val="fr-FR"/>
        </w:rPr>
        <w:t xml:space="preserve"> la </w:t>
      </w:r>
      <w:r w:rsidRPr="00F1660D">
        <w:rPr>
          <w:lang w:val="fr-FR"/>
        </w:rPr>
        <w:t>vision,</w:t>
      </w:r>
      <w:r w:rsidR="00A50629" w:rsidRPr="00F1660D">
        <w:rPr>
          <w:lang w:val="fr-FR"/>
        </w:rPr>
        <w:t xml:space="preserve"> la </w:t>
      </w:r>
      <w:r w:rsidRPr="00F1660D">
        <w:rPr>
          <w:lang w:val="fr-FR"/>
        </w:rPr>
        <w:t>portée et</w:t>
      </w:r>
      <w:r w:rsidR="00A50629" w:rsidRPr="00F1660D">
        <w:rPr>
          <w:lang w:val="fr-FR"/>
        </w:rPr>
        <w:t xml:space="preserve"> les </w:t>
      </w:r>
      <w:r w:rsidRPr="00F1660D">
        <w:rPr>
          <w:lang w:val="fr-FR"/>
        </w:rPr>
        <w:t>principes et approches</w:t>
      </w:r>
      <w:r w:rsidR="00A052AF" w:rsidRPr="00F1660D">
        <w:rPr>
          <w:lang w:val="fr-FR"/>
        </w:rPr>
        <w:t xml:space="preserve"> d</w:t>
      </w:r>
      <w:r w:rsidR="00CE30FD" w:rsidRPr="00F1660D">
        <w:rPr>
          <w:lang w:val="fr-FR"/>
        </w:rPr>
        <w:t>’</w:t>
      </w:r>
      <w:r w:rsidR="00A052AF" w:rsidRPr="00F1660D">
        <w:rPr>
          <w:lang w:val="fr-FR"/>
        </w:rPr>
        <w:t>une gestion rationnelle</w:t>
      </w:r>
      <w:r w:rsidR="00A50629" w:rsidRPr="00F1660D">
        <w:rPr>
          <w:lang w:val="fr-FR"/>
        </w:rPr>
        <w:t xml:space="preserve"> des </w:t>
      </w:r>
      <w:r w:rsidR="00A052AF" w:rsidRPr="00F1660D">
        <w:rPr>
          <w:lang w:val="fr-FR"/>
        </w:rPr>
        <w:t>produits chimiques et</w:t>
      </w:r>
      <w:r w:rsidR="00A50629" w:rsidRPr="00F1660D">
        <w:rPr>
          <w:lang w:val="fr-FR"/>
        </w:rPr>
        <w:t xml:space="preserve"> des </w:t>
      </w:r>
      <w:r w:rsidR="00A052AF" w:rsidRPr="00F1660D">
        <w:rPr>
          <w:lang w:val="fr-FR"/>
        </w:rPr>
        <w:t>déchets au-delà de 2020</w:t>
      </w:r>
      <w:r w:rsidRPr="00F1660D">
        <w:rPr>
          <w:lang w:val="fr-FR"/>
        </w:rPr>
        <w:t xml:space="preserve">. M. Morin a ensuite présenté </w:t>
      </w:r>
      <w:r w:rsidR="003647E1" w:rsidRPr="00F1660D">
        <w:rPr>
          <w:lang w:val="fr-FR"/>
        </w:rPr>
        <w:t>cinq</w:t>
      </w:r>
      <w:r w:rsidR="00733A1C" w:rsidRPr="00F1660D">
        <w:rPr>
          <w:lang w:val="fr-FR"/>
        </w:rPr>
        <w:t> </w:t>
      </w:r>
      <w:r w:rsidRPr="00F1660D">
        <w:rPr>
          <w:lang w:val="fr-FR"/>
        </w:rPr>
        <w:t>objectifs stratégiques et 20 cibles connexes jugés applicables aussi bien à</w:t>
      </w:r>
      <w:r w:rsidR="00A50629" w:rsidRPr="00F1660D">
        <w:rPr>
          <w:lang w:val="fr-FR"/>
        </w:rPr>
        <w:t xml:space="preserve"> la </w:t>
      </w:r>
      <w:r w:rsidRPr="00F1660D">
        <w:rPr>
          <w:lang w:val="fr-FR"/>
        </w:rPr>
        <w:t>poursuite de l</w:t>
      </w:r>
      <w:r w:rsidR="00CE30FD" w:rsidRPr="00F1660D">
        <w:rPr>
          <w:lang w:val="fr-FR"/>
        </w:rPr>
        <w:t>’</w:t>
      </w:r>
      <w:r w:rsidRPr="00F1660D">
        <w:rPr>
          <w:lang w:val="fr-FR"/>
        </w:rPr>
        <w:t>Approche stratégique après 2020, dénommée « SAICM 2.0 », qu</w:t>
      </w:r>
      <w:r w:rsidR="00CE30FD" w:rsidRPr="00F1660D">
        <w:rPr>
          <w:lang w:val="fr-FR"/>
        </w:rPr>
        <w:t>’</w:t>
      </w:r>
      <w:r w:rsidRPr="00F1660D">
        <w:rPr>
          <w:lang w:val="fr-FR"/>
        </w:rPr>
        <w:t>à un</w:t>
      </w:r>
      <w:r w:rsidR="00A052AF" w:rsidRPr="00F1660D">
        <w:rPr>
          <w:lang w:val="fr-FR"/>
        </w:rPr>
        <w:t xml:space="preserve"> cadre habilitant amélioré</w:t>
      </w:r>
      <w:r w:rsidRPr="00F1660D">
        <w:rPr>
          <w:lang w:val="fr-FR"/>
        </w:rPr>
        <w:t>.</w:t>
      </w:r>
      <w:r w:rsidR="00A50629" w:rsidRPr="00F1660D">
        <w:rPr>
          <w:lang w:val="fr-FR"/>
        </w:rPr>
        <w:t xml:space="preserve"> Les </w:t>
      </w:r>
      <w:r w:rsidRPr="00F1660D">
        <w:rPr>
          <w:lang w:val="fr-FR"/>
        </w:rPr>
        <w:t>autres parties du document portaient sur</w:t>
      </w:r>
      <w:r w:rsidR="00A50629" w:rsidRPr="00F1660D">
        <w:rPr>
          <w:lang w:val="fr-FR"/>
        </w:rPr>
        <w:t xml:space="preserve"> la </w:t>
      </w:r>
      <w:r w:rsidRPr="00F1660D">
        <w:rPr>
          <w:lang w:val="fr-FR"/>
        </w:rPr>
        <w:t>concrétisation</w:t>
      </w:r>
      <w:r w:rsidR="00A50629" w:rsidRPr="00F1660D">
        <w:rPr>
          <w:lang w:val="fr-FR"/>
        </w:rPr>
        <w:t xml:space="preserve"> des </w:t>
      </w:r>
      <w:r w:rsidRPr="00F1660D">
        <w:rPr>
          <w:lang w:val="fr-FR"/>
        </w:rPr>
        <w:t>ambitions énoncées, en termes de</w:t>
      </w:r>
      <w:r w:rsidR="003647E1" w:rsidRPr="00F1660D">
        <w:rPr>
          <w:lang w:val="fr-FR"/>
        </w:rPr>
        <w:t> </w:t>
      </w:r>
      <w:r w:rsidRPr="00F1660D">
        <w:rPr>
          <w:lang w:val="fr-FR"/>
        </w:rPr>
        <w:t>dispositions institutionnelles, mécanismes d</w:t>
      </w:r>
      <w:r w:rsidR="00CE30FD" w:rsidRPr="00F1660D">
        <w:rPr>
          <w:lang w:val="fr-FR"/>
        </w:rPr>
        <w:t>’</w:t>
      </w:r>
      <w:r w:rsidRPr="00F1660D">
        <w:rPr>
          <w:lang w:val="fr-FR"/>
        </w:rPr>
        <w:t>appui à</w:t>
      </w:r>
      <w:r w:rsidR="00A50629" w:rsidRPr="00F1660D">
        <w:rPr>
          <w:lang w:val="fr-FR"/>
        </w:rPr>
        <w:t xml:space="preserve"> la </w:t>
      </w:r>
      <w:r w:rsidRPr="00F1660D">
        <w:rPr>
          <w:lang w:val="fr-FR"/>
        </w:rPr>
        <w:t>mise en œuvre, et considérations financières. Le document et</w:t>
      </w:r>
      <w:r w:rsidR="00A50629" w:rsidRPr="00F1660D">
        <w:rPr>
          <w:lang w:val="fr-FR"/>
        </w:rPr>
        <w:t xml:space="preserve"> les </w:t>
      </w:r>
      <w:r w:rsidRPr="00F1660D">
        <w:rPr>
          <w:lang w:val="fr-FR"/>
        </w:rPr>
        <w:t>annotations soulignaient</w:t>
      </w:r>
      <w:r w:rsidR="00A50629" w:rsidRPr="00F1660D">
        <w:rPr>
          <w:lang w:val="fr-FR"/>
        </w:rPr>
        <w:t xml:space="preserve"> les </w:t>
      </w:r>
      <w:r w:rsidRPr="00F1660D">
        <w:rPr>
          <w:lang w:val="fr-FR"/>
        </w:rPr>
        <w:t>domaines qui avaient fait l</w:t>
      </w:r>
      <w:r w:rsidR="00CE30FD" w:rsidRPr="00F1660D">
        <w:rPr>
          <w:lang w:val="fr-FR"/>
        </w:rPr>
        <w:t>’</w:t>
      </w:r>
      <w:r w:rsidRPr="00F1660D">
        <w:rPr>
          <w:lang w:val="fr-FR"/>
        </w:rPr>
        <w:t xml:space="preserve">objet de discussions </w:t>
      </w:r>
      <w:r w:rsidR="00AC01D0" w:rsidRPr="00F1660D">
        <w:rPr>
          <w:lang w:val="fr-FR"/>
        </w:rPr>
        <w:t>étendu</w:t>
      </w:r>
      <w:r w:rsidRPr="00F1660D">
        <w:rPr>
          <w:lang w:val="fr-FR"/>
        </w:rPr>
        <w:t xml:space="preserve">es, ceux qui devaient être examinés plus </w:t>
      </w:r>
      <w:r w:rsidR="00AC01D0" w:rsidRPr="00F1660D">
        <w:rPr>
          <w:lang w:val="fr-FR"/>
        </w:rPr>
        <w:t>avant</w:t>
      </w:r>
      <w:r w:rsidRPr="00F1660D">
        <w:rPr>
          <w:lang w:val="fr-FR"/>
        </w:rPr>
        <w:t>, ceux qui avaient fait l</w:t>
      </w:r>
      <w:r w:rsidR="00CE30FD" w:rsidRPr="00F1660D">
        <w:rPr>
          <w:lang w:val="fr-FR"/>
        </w:rPr>
        <w:t>’</w:t>
      </w:r>
      <w:r w:rsidRPr="00F1660D">
        <w:rPr>
          <w:lang w:val="fr-FR"/>
        </w:rPr>
        <w:t>objet d</w:t>
      </w:r>
      <w:r w:rsidR="00CE30FD" w:rsidRPr="00F1660D">
        <w:rPr>
          <w:lang w:val="fr-FR"/>
        </w:rPr>
        <w:t>’</w:t>
      </w:r>
      <w:r w:rsidRPr="00F1660D">
        <w:rPr>
          <w:lang w:val="fr-FR"/>
        </w:rPr>
        <w:t>un accord de principe et ceux qui avaient donné lieu à</w:t>
      </w:r>
      <w:r w:rsidR="00A50629" w:rsidRPr="00F1660D">
        <w:rPr>
          <w:lang w:val="fr-FR"/>
        </w:rPr>
        <w:t xml:space="preserve"> des </w:t>
      </w:r>
      <w:r w:rsidRPr="00F1660D">
        <w:rPr>
          <w:lang w:val="fr-FR"/>
        </w:rPr>
        <w:t>opinions divergentes. Répondant à une question, l</w:t>
      </w:r>
      <w:r w:rsidR="00CE30FD" w:rsidRPr="00F1660D">
        <w:rPr>
          <w:lang w:val="fr-FR"/>
        </w:rPr>
        <w:t>’</w:t>
      </w:r>
      <w:r w:rsidRPr="00F1660D">
        <w:rPr>
          <w:lang w:val="fr-FR"/>
        </w:rPr>
        <w:t>intervenant a souligné</w:t>
      </w:r>
      <w:r w:rsidR="00A50629" w:rsidRPr="00F1660D">
        <w:rPr>
          <w:lang w:val="fr-FR"/>
        </w:rPr>
        <w:t xml:space="preserve"> la </w:t>
      </w:r>
      <w:r w:rsidRPr="00F1660D">
        <w:rPr>
          <w:lang w:val="fr-FR"/>
        </w:rPr>
        <w:t>nécessité d</w:t>
      </w:r>
      <w:r w:rsidR="00CE30FD" w:rsidRPr="00F1660D">
        <w:rPr>
          <w:lang w:val="fr-FR"/>
        </w:rPr>
        <w:t>’</w:t>
      </w:r>
      <w:r w:rsidRPr="00F1660D">
        <w:rPr>
          <w:lang w:val="fr-FR"/>
        </w:rPr>
        <w:t>optimiser l</w:t>
      </w:r>
      <w:r w:rsidR="00CE30FD" w:rsidRPr="00F1660D">
        <w:rPr>
          <w:lang w:val="fr-FR"/>
        </w:rPr>
        <w:t>’</w:t>
      </w:r>
      <w:r w:rsidRPr="00F1660D">
        <w:rPr>
          <w:lang w:val="fr-FR"/>
        </w:rPr>
        <w:t>utilisation</w:t>
      </w:r>
      <w:r w:rsidR="00A50629" w:rsidRPr="00F1660D">
        <w:rPr>
          <w:lang w:val="fr-FR"/>
        </w:rPr>
        <w:t xml:space="preserve"> des </w:t>
      </w:r>
      <w:r w:rsidRPr="00F1660D">
        <w:rPr>
          <w:lang w:val="fr-FR"/>
        </w:rPr>
        <w:t>ressources existantes de toutes natures et d</w:t>
      </w:r>
      <w:r w:rsidR="00CE30FD" w:rsidRPr="00F1660D">
        <w:rPr>
          <w:lang w:val="fr-FR"/>
        </w:rPr>
        <w:t>’</w:t>
      </w:r>
      <w:r w:rsidRPr="00F1660D">
        <w:rPr>
          <w:lang w:val="fr-FR"/>
        </w:rPr>
        <w:t>éviter</w:t>
      </w:r>
      <w:r w:rsidR="00A50629" w:rsidRPr="00F1660D">
        <w:rPr>
          <w:lang w:val="fr-FR"/>
        </w:rPr>
        <w:t xml:space="preserve"> les </w:t>
      </w:r>
      <w:r w:rsidRPr="00F1660D">
        <w:rPr>
          <w:lang w:val="fr-FR"/>
        </w:rPr>
        <w:t xml:space="preserve">doubles emplois. </w:t>
      </w:r>
    </w:p>
    <w:p w14:paraId="4ED6D90F" w14:textId="2EB64284" w:rsidR="003D2C44" w:rsidRPr="00F1660D" w:rsidRDefault="003D2C44" w:rsidP="00733A1C">
      <w:pPr>
        <w:pStyle w:val="Normalnumber"/>
        <w:rPr>
          <w:lang w:val="fr-FR"/>
        </w:rPr>
      </w:pPr>
      <w:r w:rsidRPr="00F1660D">
        <w:rPr>
          <w:lang w:val="fr-FR"/>
        </w:rPr>
        <w:t>Après cette présentation,</w:t>
      </w:r>
      <w:r w:rsidR="00A50629" w:rsidRPr="00F1660D">
        <w:rPr>
          <w:lang w:val="fr-FR"/>
        </w:rPr>
        <w:t xml:space="preserve"> la </w:t>
      </w:r>
      <w:r w:rsidRPr="00F1660D">
        <w:rPr>
          <w:lang w:val="fr-FR"/>
        </w:rPr>
        <w:t>Présidente a rappelé qu</w:t>
      </w:r>
      <w:r w:rsidR="00CE30FD" w:rsidRPr="00F1660D">
        <w:rPr>
          <w:lang w:val="fr-FR"/>
        </w:rPr>
        <w:t>’</w:t>
      </w:r>
      <w:r w:rsidRPr="00F1660D">
        <w:rPr>
          <w:lang w:val="fr-FR"/>
        </w:rPr>
        <w:t>à sa quatrième session, qui s</w:t>
      </w:r>
      <w:r w:rsidR="00CE30FD" w:rsidRPr="00F1660D">
        <w:rPr>
          <w:lang w:val="fr-FR"/>
        </w:rPr>
        <w:t>’</w:t>
      </w:r>
      <w:r w:rsidRPr="00F1660D">
        <w:rPr>
          <w:lang w:val="fr-FR"/>
        </w:rPr>
        <w:t>était tenue en</w:t>
      </w:r>
      <w:r w:rsidR="00733A1C" w:rsidRPr="00F1660D">
        <w:rPr>
          <w:lang w:val="fr-FR"/>
        </w:rPr>
        <w:t> </w:t>
      </w:r>
      <w:r w:rsidRPr="00F1660D">
        <w:rPr>
          <w:lang w:val="fr-FR"/>
        </w:rPr>
        <w:t>mars 2019 à Nairobi, l</w:t>
      </w:r>
      <w:r w:rsidR="00CE30FD" w:rsidRPr="00F1660D">
        <w:rPr>
          <w:lang w:val="fr-FR"/>
        </w:rPr>
        <w:t>’</w:t>
      </w:r>
      <w:r w:rsidRPr="00F1660D">
        <w:rPr>
          <w:lang w:val="fr-FR"/>
        </w:rPr>
        <w:t>Assemblée</w:t>
      </w:r>
      <w:r w:rsidR="00A50629" w:rsidRPr="00F1660D">
        <w:rPr>
          <w:lang w:val="fr-FR"/>
        </w:rPr>
        <w:t xml:space="preserve"> des </w:t>
      </w:r>
      <w:r w:rsidR="002C67A2" w:rsidRPr="00F1660D">
        <w:rPr>
          <w:lang w:val="fr-FR"/>
        </w:rPr>
        <w:t>Nations Unies</w:t>
      </w:r>
      <w:r w:rsidRPr="00F1660D">
        <w:rPr>
          <w:lang w:val="fr-FR"/>
        </w:rPr>
        <w:t xml:space="preserve"> pour l</w:t>
      </w:r>
      <w:r w:rsidR="00CE30FD" w:rsidRPr="00F1660D">
        <w:rPr>
          <w:lang w:val="fr-FR"/>
        </w:rPr>
        <w:t>’</w:t>
      </w:r>
      <w:r w:rsidRPr="00F1660D">
        <w:rPr>
          <w:lang w:val="fr-FR"/>
        </w:rPr>
        <w:t>environnement avait invité</w:t>
      </w:r>
      <w:r w:rsidR="00A50629" w:rsidRPr="00F1660D">
        <w:rPr>
          <w:lang w:val="fr-FR"/>
        </w:rPr>
        <w:t xml:space="preserve"> le </w:t>
      </w:r>
      <w:r w:rsidRPr="00F1660D">
        <w:rPr>
          <w:lang w:val="fr-FR"/>
        </w:rPr>
        <w:t>Groupe de travail à composition non limitée à ouvrir</w:t>
      </w:r>
      <w:r w:rsidR="00A50629" w:rsidRPr="00F1660D">
        <w:rPr>
          <w:lang w:val="fr-FR"/>
        </w:rPr>
        <w:t xml:space="preserve"> la </w:t>
      </w:r>
      <w:r w:rsidRPr="00F1660D">
        <w:rPr>
          <w:lang w:val="fr-FR"/>
        </w:rPr>
        <w:t>voie à l</w:t>
      </w:r>
      <w:r w:rsidR="00CE30FD" w:rsidRPr="00F1660D">
        <w:rPr>
          <w:lang w:val="fr-FR"/>
        </w:rPr>
        <w:t>’</w:t>
      </w:r>
      <w:r w:rsidRPr="00F1660D">
        <w:rPr>
          <w:lang w:val="fr-FR"/>
        </w:rPr>
        <w:t>adoption, par</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à sa cinquième session, d</w:t>
      </w:r>
      <w:r w:rsidR="00CE30FD" w:rsidRPr="00F1660D">
        <w:rPr>
          <w:lang w:val="fr-FR"/>
        </w:rPr>
        <w:t>’</w:t>
      </w:r>
      <w:r w:rsidRPr="00F1660D">
        <w:rPr>
          <w:lang w:val="fr-FR"/>
        </w:rPr>
        <w:t>une approche globale et transversale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à long terme. Elle a signalé que plusieurs documents d</w:t>
      </w:r>
      <w:r w:rsidR="00CE30FD" w:rsidRPr="00F1660D">
        <w:rPr>
          <w:lang w:val="fr-FR"/>
        </w:rPr>
        <w:t>’</w:t>
      </w:r>
      <w:r w:rsidRPr="00F1660D">
        <w:rPr>
          <w:lang w:val="fr-FR"/>
        </w:rPr>
        <w:t>information proposant un cadre de facilitation possible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avaient été soumis, dont un de l</w:t>
      </w:r>
      <w:r w:rsidR="00CE30FD" w:rsidRPr="00F1660D">
        <w:rPr>
          <w:lang w:val="fr-FR"/>
        </w:rPr>
        <w:t>’</w:t>
      </w:r>
      <w:r w:rsidRPr="00F1660D">
        <w:rPr>
          <w:lang w:val="fr-FR"/>
        </w:rPr>
        <w:t xml:space="preserve">Agence </w:t>
      </w:r>
      <w:r w:rsidR="00A7615F" w:rsidRPr="00F1660D">
        <w:rPr>
          <w:lang w:val="fr-FR"/>
        </w:rPr>
        <w:t xml:space="preserve">fédérale allemande </w:t>
      </w:r>
      <w:r w:rsidRPr="00F1660D">
        <w:rPr>
          <w:lang w:val="fr-FR"/>
        </w:rPr>
        <w:t>pour l</w:t>
      </w:r>
      <w:r w:rsidR="00CE30FD" w:rsidRPr="00F1660D">
        <w:rPr>
          <w:lang w:val="fr-FR"/>
        </w:rPr>
        <w:t>’</w:t>
      </w:r>
      <w:r w:rsidRPr="00F1660D">
        <w:rPr>
          <w:lang w:val="fr-FR"/>
        </w:rPr>
        <w:t>environnement portant sur</w:t>
      </w:r>
      <w:r w:rsidR="00A50629" w:rsidRPr="00F1660D">
        <w:rPr>
          <w:lang w:val="fr-FR"/>
        </w:rPr>
        <w:t xml:space="preserve"> la </w:t>
      </w:r>
      <w:r w:rsidRPr="00F1660D">
        <w:rPr>
          <w:lang w:val="fr-FR"/>
        </w:rPr>
        <w:t>gouvernance mondiale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 xml:space="preserve">déchets (SAICM/OEWG.3/INF/27). </w:t>
      </w:r>
    </w:p>
    <w:p w14:paraId="2351F136" w14:textId="5257CCA4" w:rsidR="003D2C44" w:rsidRPr="00F1660D" w:rsidRDefault="003D2C44" w:rsidP="00733A1C">
      <w:pPr>
        <w:pStyle w:val="Normalnumber"/>
        <w:rPr>
          <w:lang w:val="fr-FR"/>
        </w:rPr>
      </w:pPr>
      <w:r w:rsidRPr="00F1660D">
        <w:rPr>
          <w:lang w:val="fr-FR"/>
        </w:rPr>
        <w:t>Le représentant de l</w:t>
      </w:r>
      <w:r w:rsidR="00CE30FD" w:rsidRPr="00F1660D">
        <w:rPr>
          <w:lang w:val="fr-FR"/>
        </w:rPr>
        <w:t>’</w:t>
      </w:r>
      <w:r w:rsidRPr="00F1660D">
        <w:rPr>
          <w:lang w:val="fr-FR"/>
        </w:rPr>
        <w:t>Allemagne a présenté</w:t>
      </w:r>
      <w:r w:rsidR="00A50629" w:rsidRPr="00F1660D">
        <w:rPr>
          <w:lang w:val="fr-FR"/>
        </w:rPr>
        <w:t xml:space="preserve"> le </w:t>
      </w:r>
      <w:r w:rsidRPr="00F1660D">
        <w:rPr>
          <w:lang w:val="fr-FR"/>
        </w:rPr>
        <w:t>document de l</w:t>
      </w:r>
      <w:r w:rsidR="00CE30FD" w:rsidRPr="00F1660D">
        <w:rPr>
          <w:lang w:val="fr-FR"/>
        </w:rPr>
        <w:t>’</w:t>
      </w:r>
      <w:r w:rsidRPr="00F1660D">
        <w:rPr>
          <w:lang w:val="fr-FR"/>
        </w:rPr>
        <w:t xml:space="preserve">Agence </w:t>
      </w:r>
      <w:r w:rsidR="00A7615F" w:rsidRPr="00F1660D">
        <w:rPr>
          <w:lang w:val="fr-FR"/>
        </w:rPr>
        <w:t xml:space="preserve">fédérale allemande </w:t>
      </w:r>
      <w:r w:rsidRPr="00F1660D">
        <w:rPr>
          <w:lang w:val="fr-FR"/>
        </w:rPr>
        <w:t>pour l</w:t>
      </w:r>
      <w:r w:rsidR="00CE30FD" w:rsidRPr="00F1660D">
        <w:rPr>
          <w:lang w:val="fr-FR"/>
        </w:rPr>
        <w:t>’</w:t>
      </w:r>
      <w:r w:rsidRPr="00F1660D">
        <w:rPr>
          <w:lang w:val="fr-FR"/>
        </w:rPr>
        <w:t>environnement, indiquant que, si l</w:t>
      </w:r>
      <w:r w:rsidR="00CE30FD" w:rsidRPr="00F1660D">
        <w:rPr>
          <w:lang w:val="fr-FR"/>
        </w:rPr>
        <w:t>’</w:t>
      </w:r>
      <w:r w:rsidRPr="00F1660D">
        <w:rPr>
          <w:lang w:val="fr-FR"/>
        </w:rPr>
        <w:t>Approche stratégique avait beaucoup progressé, quelques-unes</w:t>
      </w:r>
      <w:r w:rsidR="00A50629" w:rsidRPr="00F1660D">
        <w:rPr>
          <w:lang w:val="fr-FR"/>
        </w:rPr>
        <w:t xml:space="preserve"> des </w:t>
      </w:r>
      <w:r w:rsidRPr="00F1660D">
        <w:rPr>
          <w:lang w:val="fr-FR"/>
        </w:rPr>
        <w:t>difficultés persistantes auxquelles elle se trouvait confrontée provenaient de</w:t>
      </w:r>
      <w:r w:rsidR="00A50629" w:rsidRPr="00F1660D">
        <w:rPr>
          <w:lang w:val="fr-FR"/>
        </w:rPr>
        <w:t xml:space="preserve"> la </w:t>
      </w:r>
      <w:r w:rsidRPr="00F1660D">
        <w:rPr>
          <w:lang w:val="fr-FR"/>
        </w:rPr>
        <w:t>fragmentation institutionnelle. Le</w:t>
      </w:r>
      <w:r w:rsidR="00733A1C" w:rsidRPr="00F1660D">
        <w:rPr>
          <w:lang w:val="fr-FR"/>
        </w:rPr>
        <w:t> </w:t>
      </w:r>
      <w:r w:rsidRPr="00F1660D">
        <w:rPr>
          <w:lang w:val="fr-FR"/>
        </w:rPr>
        <w:t>document présentait</w:t>
      </w:r>
      <w:r w:rsidR="00A50629" w:rsidRPr="00F1660D">
        <w:rPr>
          <w:lang w:val="fr-FR"/>
        </w:rPr>
        <w:t xml:space="preserve"> des </w:t>
      </w:r>
      <w:r w:rsidRPr="00F1660D">
        <w:rPr>
          <w:lang w:val="fr-FR"/>
        </w:rPr>
        <w:t>arguments en faveur d</w:t>
      </w:r>
      <w:r w:rsidR="00CE30FD" w:rsidRPr="00F1660D">
        <w:rPr>
          <w:lang w:val="fr-FR"/>
        </w:rPr>
        <w:t>’</w:t>
      </w:r>
      <w:r w:rsidRPr="00F1660D">
        <w:rPr>
          <w:lang w:val="fr-FR"/>
        </w:rPr>
        <w:t>une plateforme de gouvernance plus large pour</w:t>
      </w:r>
      <w:r w:rsidR="00A50629" w:rsidRPr="00F1660D">
        <w:rPr>
          <w:lang w:val="fr-FR"/>
        </w:rPr>
        <w:t xml:space="preserve"> la </w:t>
      </w:r>
      <w:r w:rsidRPr="00F1660D">
        <w:rPr>
          <w:lang w:val="fr-FR"/>
        </w:rPr>
        <w:t>gestion</w:t>
      </w:r>
      <w:r w:rsidR="00A50629" w:rsidRPr="00F1660D">
        <w:rPr>
          <w:lang w:val="fr-FR"/>
        </w:rPr>
        <w:t xml:space="preserve"> </w:t>
      </w:r>
      <w:r w:rsidR="00265117" w:rsidRPr="00F1660D">
        <w:rPr>
          <w:lang w:val="fr-FR"/>
        </w:rPr>
        <w:t xml:space="preserve">stratégique </w:t>
      </w:r>
      <w:r w:rsidR="00A50629" w:rsidRPr="00F1660D">
        <w:rPr>
          <w:lang w:val="fr-FR"/>
        </w:rPr>
        <w:t>des </w:t>
      </w:r>
      <w:r w:rsidRPr="00F1660D">
        <w:rPr>
          <w:lang w:val="fr-FR"/>
        </w:rPr>
        <w:t>produits chimiques et</w:t>
      </w:r>
      <w:r w:rsidR="00A50629" w:rsidRPr="00F1660D">
        <w:rPr>
          <w:lang w:val="fr-FR"/>
        </w:rPr>
        <w:t xml:space="preserve"> des </w:t>
      </w:r>
      <w:r w:rsidRPr="00F1660D">
        <w:rPr>
          <w:lang w:val="fr-FR"/>
        </w:rPr>
        <w:t>déchets au-delà de 2020 ainsi que</w:t>
      </w:r>
      <w:r w:rsidR="00A50629" w:rsidRPr="00F1660D">
        <w:rPr>
          <w:lang w:val="fr-FR"/>
        </w:rPr>
        <w:t xml:space="preserve"> la </w:t>
      </w:r>
      <w:r w:rsidRPr="00F1660D">
        <w:rPr>
          <w:lang w:val="fr-FR"/>
        </w:rPr>
        <w:t>marche à suivre pour</w:t>
      </w:r>
      <w:r w:rsidR="00A50629" w:rsidRPr="00F1660D">
        <w:rPr>
          <w:lang w:val="fr-FR"/>
        </w:rPr>
        <w:t xml:space="preserve"> la </w:t>
      </w:r>
      <w:r w:rsidRPr="00F1660D">
        <w:rPr>
          <w:lang w:val="fr-FR"/>
        </w:rPr>
        <w:t>mettre en place, en s</w:t>
      </w:r>
      <w:r w:rsidR="00CE30FD" w:rsidRPr="00F1660D">
        <w:rPr>
          <w:lang w:val="fr-FR"/>
        </w:rPr>
        <w:t>’</w:t>
      </w:r>
      <w:r w:rsidRPr="00F1660D">
        <w:rPr>
          <w:lang w:val="fr-FR"/>
        </w:rPr>
        <w:t>appuyant sur ses éléments actuels.</w:t>
      </w:r>
    </w:p>
    <w:p w14:paraId="199F7983" w14:textId="32904117" w:rsidR="003D2C44" w:rsidRPr="00F1660D" w:rsidRDefault="003D2C44" w:rsidP="00733A1C">
      <w:pPr>
        <w:pStyle w:val="Normalnumber"/>
        <w:rPr>
          <w:lang w:val="fr-FR"/>
        </w:rPr>
      </w:pPr>
      <w:r w:rsidRPr="00F1660D">
        <w:rPr>
          <w:lang w:val="fr-FR"/>
        </w:rPr>
        <w:t>Au cours du débat qui a suivi,</w:t>
      </w:r>
      <w:r w:rsidR="00A50629" w:rsidRPr="00F1660D">
        <w:rPr>
          <w:lang w:val="fr-FR"/>
        </w:rPr>
        <w:t xml:space="preserve"> </w:t>
      </w:r>
      <w:r w:rsidR="00265117" w:rsidRPr="00F1660D">
        <w:rPr>
          <w:lang w:val="fr-FR"/>
        </w:rPr>
        <w:t xml:space="preserve">plusieurs représentants ont indiqué que </w:t>
      </w:r>
      <w:r w:rsidR="00A50629" w:rsidRPr="00F1660D">
        <w:rPr>
          <w:lang w:val="fr-FR"/>
        </w:rPr>
        <w:t>le </w:t>
      </w:r>
      <w:r w:rsidRPr="00F1660D">
        <w:rPr>
          <w:lang w:val="fr-FR"/>
        </w:rPr>
        <w:t>document élaboré par</w:t>
      </w:r>
      <w:r w:rsidR="00A50629" w:rsidRPr="00F1660D">
        <w:rPr>
          <w:lang w:val="fr-FR"/>
        </w:rPr>
        <w:t xml:space="preserve"> les </w:t>
      </w:r>
      <w:r w:rsidRPr="00F1660D">
        <w:rPr>
          <w:lang w:val="fr-FR"/>
        </w:rPr>
        <w:t xml:space="preserve">coprésidents </w:t>
      </w:r>
      <w:r w:rsidR="00265117" w:rsidRPr="00F1660D">
        <w:rPr>
          <w:lang w:val="fr-FR"/>
        </w:rPr>
        <w:t>représentait effectivement l’éventail des vues exprimée</w:t>
      </w:r>
      <w:r w:rsidR="00670B5F" w:rsidRPr="00F1660D">
        <w:rPr>
          <w:lang w:val="fr-FR"/>
        </w:rPr>
        <w:t>s</w:t>
      </w:r>
      <w:r w:rsidR="00265117" w:rsidRPr="00F1660D">
        <w:rPr>
          <w:lang w:val="fr-FR"/>
        </w:rPr>
        <w:t xml:space="preserve"> jusqu’à présent durant le processus, et constituait une base </w:t>
      </w:r>
      <w:r w:rsidRPr="00F1660D">
        <w:rPr>
          <w:lang w:val="fr-FR"/>
        </w:rPr>
        <w:t>solide pour</w:t>
      </w:r>
      <w:r w:rsidR="00A50629" w:rsidRPr="00F1660D">
        <w:rPr>
          <w:lang w:val="fr-FR"/>
        </w:rPr>
        <w:t xml:space="preserve"> la </w:t>
      </w:r>
      <w:r w:rsidRPr="00F1660D">
        <w:rPr>
          <w:lang w:val="fr-FR"/>
        </w:rPr>
        <w:t>poursuite</w:t>
      </w:r>
      <w:r w:rsidR="00A50629" w:rsidRPr="00F1660D">
        <w:rPr>
          <w:lang w:val="fr-FR"/>
        </w:rPr>
        <w:t xml:space="preserve"> des </w:t>
      </w:r>
      <w:r w:rsidRPr="00F1660D">
        <w:rPr>
          <w:lang w:val="fr-FR"/>
        </w:rPr>
        <w:t>discussions. Il</w:t>
      </w:r>
      <w:r w:rsidR="00A50629" w:rsidRPr="00F1660D">
        <w:rPr>
          <w:lang w:val="fr-FR"/>
        </w:rPr>
        <w:t xml:space="preserve"> y </w:t>
      </w:r>
      <w:r w:rsidRPr="00F1660D">
        <w:rPr>
          <w:lang w:val="fr-FR"/>
        </w:rPr>
        <w:t>a eu consensus sur</w:t>
      </w:r>
      <w:r w:rsidR="00A50629" w:rsidRPr="00F1660D">
        <w:rPr>
          <w:lang w:val="fr-FR"/>
        </w:rPr>
        <w:t xml:space="preserve"> la </w:t>
      </w:r>
      <w:r w:rsidRPr="00F1660D">
        <w:rPr>
          <w:lang w:val="fr-FR"/>
        </w:rPr>
        <w:t>nécessité de poursuivre l</w:t>
      </w:r>
      <w:r w:rsidR="00CE30FD" w:rsidRPr="00F1660D">
        <w:rPr>
          <w:lang w:val="fr-FR"/>
        </w:rPr>
        <w:t>’</w:t>
      </w:r>
      <w:r w:rsidRPr="00F1660D">
        <w:rPr>
          <w:lang w:val="fr-FR"/>
        </w:rPr>
        <w:t>approche multipartite et multisectorielle adoptée pour l</w:t>
      </w:r>
      <w:r w:rsidR="00CE30FD" w:rsidRPr="00F1660D">
        <w:rPr>
          <w:lang w:val="fr-FR"/>
        </w:rPr>
        <w:t>’</w:t>
      </w:r>
      <w:r w:rsidRPr="00F1660D">
        <w:rPr>
          <w:lang w:val="fr-FR"/>
        </w:rPr>
        <w:t>Approche stratégique. Une action intégrée et coordonnée impliquant tous</w:t>
      </w:r>
      <w:r w:rsidR="00A50629" w:rsidRPr="00F1660D">
        <w:rPr>
          <w:lang w:val="fr-FR"/>
        </w:rPr>
        <w:t xml:space="preserve"> les </w:t>
      </w:r>
      <w:r w:rsidRPr="00F1660D">
        <w:rPr>
          <w:lang w:val="fr-FR"/>
        </w:rPr>
        <w:t xml:space="preserve">acteurs aux niveaux international, régional et national était requise. </w:t>
      </w:r>
      <w:r w:rsidR="00265117" w:rsidRPr="00F1660D">
        <w:rPr>
          <w:lang w:val="fr-FR"/>
        </w:rPr>
        <w:t xml:space="preserve">Quelques représentants </w:t>
      </w:r>
      <w:r w:rsidR="001B43DE" w:rsidRPr="00F1660D">
        <w:rPr>
          <w:lang w:val="fr-FR"/>
        </w:rPr>
        <w:t>se s</w:t>
      </w:r>
      <w:r w:rsidR="00265117" w:rsidRPr="00F1660D">
        <w:rPr>
          <w:lang w:val="fr-FR"/>
        </w:rPr>
        <w:t>ont également d</w:t>
      </w:r>
      <w:r w:rsidR="001B43DE" w:rsidRPr="00F1660D">
        <w:rPr>
          <w:lang w:val="fr-FR"/>
        </w:rPr>
        <w:t xml:space="preserve">éclarés en faveur de </w:t>
      </w:r>
      <w:r w:rsidR="00265117" w:rsidRPr="00F1660D">
        <w:rPr>
          <w:lang w:val="fr-FR"/>
        </w:rPr>
        <w:t xml:space="preserve">la poursuite de l’aspect volontaire de l’Approche stratégique. </w:t>
      </w:r>
      <w:r w:rsidR="001B43DE" w:rsidRPr="00F1660D">
        <w:rPr>
          <w:lang w:val="fr-FR"/>
        </w:rPr>
        <w:t xml:space="preserve">De l’avis de plusieurs représentants, « l’Approche stratégique 2.0 » </w:t>
      </w:r>
      <w:r w:rsidR="005B08A1" w:rsidRPr="00F1660D">
        <w:rPr>
          <w:lang w:val="fr-FR"/>
        </w:rPr>
        <w:t xml:space="preserve">élargie et améliorée pouvait permettre de s’attaquer à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 xml:space="preserve">déchets après 2020, et aussi </w:t>
      </w:r>
      <w:r w:rsidR="005B08A1" w:rsidRPr="00F1660D">
        <w:rPr>
          <w:lang w:val="fr-FR"/>
        </w:rPr>
        <w:t xml:space="preserve">de </w:t>
      </w:r>
      <w:r w:rsidRPr="00F1660D">
        <w:rPr>
          <w:lang w:val="fr-FR"/>
        </w:rPr>
        <w:t>mieux concorder avec</w:t>
      </w:r>
      <w:r w:rsidR="00A50629" w:rsidRPr="00F1660D">
        <w:rPr>
          <w:lang w:val="fr-FR"/>
        </w:rPr>
        <w:t xml:space="preserve"> le </w:t>
      </w:r>
      <w:r w:rsidRPr="00F1660D">
        <w:rPr>
          <w:lang w:val="fr-FR"/>
        </w:rPr>
        <w:t>Programme de développement durable à l</w:t>
      </w:r>
      <w:r w:rsidR="00CE30FD" w:rsidRPr="00F1660D">
        <w:rPr>
          <w:lang w:val="fr-FR"/>
        </w:rPr>
        <w:t>’</w:t>
      </w:r>
      <w:r w:rsidRPr="00F1660D">
        <w:rPr>
          <w:lang w:val="fr-FR"/>
        </w:rPr>
        <w:t xml:space="preserve">horizon 2030. Plusieurs représentants </w:t>
      </w:r>
      <w:r w:rsidR="005B08A1" w:rsidRPr="00F1660D">
        <w:rPr>
          <w:lang w:val="fr-FR"/>
        </w:rPr>
        <w:t xml:space="preserve">ont appuyé </w:t>
      </w:r>
      <w:r w:rsidRPr="00F1660D">
        <w:rPr>
          <w:lang w:val="fr-FR"/>
        </w:rPr>
        <w:t>l</w:t>
      </w:r>
      <w:r w:rsidR="00CE30FD" w:rsidRPr="00F1660D">
        <w:rPr>
          <w:lang w:val="fr-FR"/>
        </w:rPr>
        <w:t>’</w:t>
      </w:r>
      <w:r w:rsidRPr="00F1660D">
        <w:rPr>
          <w:lang w:val="fr-FR"/>
        </w:rPr>
        <w:t>élaboration d</w:t>
      </w:r>
      <w:r w:rsidR="00CE30FD" w:rsidRPr="00F1660D">
        <w:rPr>
          <w:lang w:val="fr-FR"/>
        </w:rPr>
        <w:t>’</w:t>
      </w:r>
      <w:r w:rsidRPr="00F1660D">
        <w:rPr>
          <w:lang w:val="fr-FR"/>
        </w:rPr>
        <w:t>une stratégie ou d</w:t>
      </w:r>
      <w:r w:rsidR="00CE30FD" w:rsidRPr="00F1660D">
        <w:rPr>
          <w:lang w:val="fr-FR"/>
        </w:rPr>
        <w:t>’</w:t>
      </w:r>
      <w:r w:rsidRPr="00F1660D">
        <w:rPr>
          <w:lang w:val="fr-FR"/>
        </w:rPr>
        <w:t>un cadre global plus vaste comportant une combinaison de dispositions institutionnelles volontaires et juridiquement contraignantes.</w:t>
      </w:r>
      <w:r w:rsidR="00A50629" w:rsidRPr="00F1660D">
        <w:rPr>
          <w:lang w:val="fr-FR"/>
        </w:rPr>
        <w:t xml:space="preserve"> Des </w:t>
      </w:r>
      <w:r w:rsidRPr="00F1660D">
        <w:rPr>
          <w:lang w:val="fr-FR"/>
        </w:rPr>
        <w:t>points de référence étaient nécessaires pour suivre</w:t>
      </w:r>
      <w:r w:rsidR="00A50629" w:rsidRPr="00F1660D">
        <w:rPr>
          <w:lang w:val="fr-FR"/>
        </w:rPr>
        <w:t xml:space="preserve"> les </w:t>
      </w:r>
      <w:r w:rsidRPr="00F1660D">
        <w:rPr>
          <w:lang w:val="fr-FR"/>
        </w:rPr>
        <w:t>progrès en fonction d</w:t>
      </w:r>
      <w:r w:rsidR="00CE30FD" w:rsidRPr="00F1660D">
        <w:rPr>
          <w:lang w:val="fr-FR"/>
        </w:rPr>
        <w:t>’</w:t>
      </w:r>
      <w:r w:rsidRPr="00F1660D">
        <w:rPr>
          <w:lang w:val="fr-FR"/>
        </w:rPr>
        <w:t>un</w:t>
      </w:r>
      <w:r w:rsidR="00733A1C" w:rsidRPr="00F1660D">
        <w:rPr>
          <w:lang w:val="fr-FR"/>
        </w:rPr>
        <w:t> </w:t>
      </w:r>
      <w:r w:rsidRPr="00F1660D">
        <w:rPr>
          <w:lang w:val="fr-FR"/>
        </w:rPr>
        <w:t>certain nombre d</w:t>
      </w:r>
      <w:r w:rsidR="00CE30FD" w:rsidRPr="00F1660D">
        <w:rPr>
          <w:lang w:val="fr-FR"/>
        </w:rPr>
        <w:t>’</w:t>
      </w:r>
      <w:r w:rsidRPr="00F1660D">
        <w:rPr>
          <w:lang w:val="fr-FR"/>
        </w:rPr>
        <w:t>indicateurs, étant entendu que</w:t>
      </w:r>
      <w:r w:rsidR="00A50629" w:rsidRPr="00F1660D">
        <w:rPr>
          <w:lang w:val="fr-FR"/>
        </w:rPr>
        <w:t xml:space="preserve"> des </w:t>
      </w:r>
      <w:r w:rsidRPr="00F1660D">
        <w:rPr>
          <w:lang w:val="fr-FR"/>
        </w:rPr>
        <w:t>mesures additionnelles plus fortes seraient prises là où</w:t>
      </w:r>
      <w:r w:rsidR="00A50629" w:rsidRPr="00F1660D">
        <w:rPr>
          <w:lang w:val="fr-FR"/>
        </w:rPr>
        <w:t xml:space="preserve"> les </w:t>
      </w:r>
      <w:r w:rsidRPr="00F1660D">
        <w:rPr>
          <w:lang w:val="fr-FR"/>
        </w:rPr>
        <w:t xml:space="preserve">progrès tardaient à se manifester. </w:t>
      </w:r>
    </w:p>
    <w:p w14:paraId="160568B7" w14:textId="222A9FE9" w:rsidR="003D2C44" w:rsidRPr="00F1660D" w:rsidRDefault="003D2C44" w:rsidP="00733A1C">
      <w:pPr>
        <w:pStyle w:val="Normalnumber"/>
        <w:rPr>
          <w:lang w:val="fr-FR"/>
        </w:rPr>
      </w:pPr>
      <w:r w:rsidRPr="00F1660D">
        <w:rPr>
          <w:lang w:val="fr-FR"/>
        </w:rPr>
        <w:t>Une représentante, s</w:t>
      </w:r>
      <w:r w:rsidR="00CE30FD" w:rsidRPr="00F1660D">
        <w:rPr>
          <w:lang w:val="fr-FR"/>
        </w:rPr>
        <w:t>’</w:t>
      </w:r>
      <w:r w:rsidRPr="00F1660D">
        <w:rPr>
          <w:lang w:val="fr-FR"/>
        </w:rPr>
        <w:t>exprimant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a dit que</w:t>
      </w:r>
      <w:r w:rsidR="00A50629" w:rsidRPr="00F1660D">
        <w:rPr>
          <w:lang w:val="fr-FR"/>
        </w:rPr>
        <w:t xml:space="preserve"> les </w:t>
      </w:r>
      <w:r w:rsidRPr="00F1660D">
        <w:rPr>
          <w:lang w:val="fr-FR"/>
        </w:rPr>
        <w:t>débats</w:t>
      </w:r>
      <w:r w:rsidR="00A50629" w:rsidRPr="00F1660D">
        <w:rPr>
          <w:lang w:val="fr-FR"/>
        </w:rPr>
        <w:t xml:space="preserve"> au </w:t>
      </w:r>
      <w:r w:rsidRPr="00F1660D">
        <w:rPr>
          <w:lang w:val="fr-FR"/>
        </w:rPr>
        <w:t>titre du point de l</w:t>
      </w:r>
      <w:r w:rsidR="00CE30FD" w:rsidRPr="00F1660D">
        <w:rPr>
          <w:lang w:val="fr-FR"/>
        </w:rPr>
        <w:t>’</w:t>
      </w:r>
      <w:r w:rsidRPr="00F1660D">
        <w:rPr>
          <w:lang w:val="fr-FR"/>
        </w:rPr>
        <w:t>ordre du jour à l</w:t>
      </w:r>
      <w:r w:rsidR="00CE30FD" w:rsidRPr="00F1660D">
        <w:rPr>
          <w:lang w:val="fr-FR"/>
        </w:rPr>
        <w:t>’</w:t>
      </w:r>
      <w:r w:rsidRPr="00F1660D">
        <w:rPr>
          <w:lang w:val="fr-FR"/>
        </w:rPr>
        <w:t>examen pourraient être guidés par</w:t>
      </w:r>
      <w:r w:rsidR="00A50629" w:rsidRPr="00F1660D">
        <w:rPr>
          <w:lang w:val="fr-FR"/>
        </w:rPr>
        <w:t xml:space="preserve"> la </w:t>
      </w:r>
      <w:r w:rsidRPr="00F1660D">
        <w:rPr>
          <w:lang w:val="fr-FR"/>
        </w:rPr>
        <w:t>résolution sur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w:t>
      </w:r>
      <w:proofErr w:type="gramStart"/>
      <w:r w:rsidR="00A50629" w:rsidRPr="00F1660D">
        <w:rPr>
          <w:lang w:val="fr-FR"/>
        </w:rPr>
        <w:t>des </w:t>
      </w:r>
      <w:r w:rsidRPr="00F1660D">
        <w:rPr>
          <w:lang w:val="fr-FR"/>
        </w:rPr>
        <w:t>déchets adoptée</w:t>
      </w:r>
      <w:proofErr w:type="gramEnd"/>
      <w:r w:rsidRPr="00F1660D">
        <w:rPr>
          <w:lang w:val="fr-FR"/>
        </w:rPr>
        <w:t xml:space="preserve"> par l</w:t>
      </w:r>
      <w:r w:rsidR="00CE30FD" w:rsidRPr="00F1660D">
        <w:rPr>
          <w:lang w:val="fr-FR"/>
        </w:rPr>
        <w:t>’</w:t>
      </w:r>
      <w:r w:rsidRPr="00F1660D">
        <w:rPr>
          <w:lang w:val="fr-FR"/>
        </w:rPr>
        <w:t>Assemblée</w:t>
      </w:r>
      <w:r w:rsidR="00A50629" w:rsidRPr="00F1660D">
        <w:rPr>
          <w:lang w:val="fr-FR"/>
        </w:rPr>
        <w:t xml:space="preserve"> des </w:t>
      </w:r>
      <w:r w:rsidR="002C67A2" w:rsidRPr="00F1660D">
        <w:rPr>
          <w:lang w:val="fr-FR"/>
        </w:rPr>
        <w:t>Nations Unies</w:t>
      </w:r>
      <w:r w:rsidRPr="00F1660D">
        <w:rPr>
          <w:lang w:val="fr-FR"/>
        </w:rPr>
        <w:t xml:space="preserve"> pour l</w:t>
      </w:r>
      <w:r w:rsidR="00CE30FD" w:rsidRPr="00F1660D">
        <w:rPr>
          <w:lang w:val="fr-FR"/>
        </w:rPr>
        <w:t>’</w:t>
      </w:r>
      <w:r w:rsidRPr="00F1660D">
        <w:rPr>
          <w:lang w:val="fr-FR"/>
        </w:rPr>
        <w:t>environnement à sa quatrième session. Plusieurs représentants ont manifesté de l</w:t>
      </w:r>
      <w:r w:rsidR="00CE30FD" w:rsidRPr="00F1660D">
        <w:rPr>
          <w:lang w:val="fr-FR"/>
        </w:rPr>
        <w:t>’</w:t>
      </w:r>
      <w:r w:rsidRPr="00F1660D">
        <w:rPr>
          <w:lang w:val="fr-FR"/>
        </w:rPr>
        <w:t>intérêt pour</w:t>
      </w:r>
      <w:r w:rsidR="00A50629" w:rsidRPr="00F1660D">
        <w:rPr>
          <w:lang w:val="fr-FR"/>
        </w:rPr>
        <w:t xml:space="preserve"> la </w:t>
      </w:r>
      <w:r w:rsidRPr="00F1660D">
        <w:rPr>
          <w:lang w:val="fr-FR"/>
        </w:rPr>
        <w:t>proposition, présentée dans cette résolution, tendant à mettre en place un cadre de facilitation amélioré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 xml:space="preserve">déchets </w:t>
      </w:r>
      <w:r w:rsidR="00DA308E" w:rsidRPr="00F1660D">
        <w:rPr>
          <w:lang w:val="fr-FR"/>
        </w:rPr>
        <w:t>sur</w:t>
      </w:r>
      <w:r w:rsidR="00A50629" w:rsidRPr="00F1660D">
        <w:rPr>
          <w:lang w:val="fr-FR"/>
        </w:rPr>
        <w:t xml:space="preserve"> le </w:t>
      </w:r>
      <w:r w:rsidRPr="00F1660D">
        <w:rPr>
          <w:lang w:val="fr-FR"/>
        </w:rPr>
        <w:t>long terme.</w:t>
      </w:r>
      <w:r w:rsidR="00A50629" w:rsidRPr="00F1660D">
        <w:rPr>
          <w:lang w:val="fr-FR"/>
        </w:rPr>
        <w:t xml:space="preserve"> Des </w:t>
      </w:r>
      <w:r w:rsidRPr="00F1660D">
        <w:rPr>
          <w:lang w:val="fr-FR"/>
        </w:rPr>
        <w:t>discussions plus approfondies étant toutefois</w:t>
      </w:r>
      <w:r w:rsidR="00A052AF" w:rsidRPr="00F1660D">
        <w:rPr>
          <w:lang w:val="fr-FR"/>
        </w:rPr>
        <w:t xml:space="preserve"> nécessaires</w:t>
      </w:r>
      <w:r w:rsidRPr="00F1660D">
        <w:rPr>
          <w:lang w:val="fr-FR"/>
        </w:rPr>
        <w:t xml:space="preserve"> pour déterminer</w:t>
      </w:r>
      <w:r w:rsidR="00A50629" w:rsidRPr="00F1660D">
        <w:rPr>
          <w:lang w:val="fr-FR"/>
        </w:rPr>
        <w:t xml:space="preserve"> la </w:t>
      </w:r>
      <w:r w:rsidRPr="00F1660D">
        <w:rPr>
          <w:lang w:val="fr-FR"/>
        </w:rPr>
        <w:t>portée d</w:t>
      </w:r>
      <w:r w:rsidR="00CE30FD" w:rsidRPr="00F1660D">
        <w:rPr>
          <w:lang w:val="fr-FR"/>
        </w:rPr>
        <w:t>’</w:t>
      </w:r>
      <w:r w:rsidRPr="00F1660D">
        <w:rPr>
          <w:lang w:val="fr-FR"/>
        </w:rPr>
        <w:t xml:space="preserve">un tel cadre, certains représentants </w:t>
      </w:r>
      <w:r w:rsidR="00691131" w:rsidRPr="00F1660D">
        <w:rPr>
          <w:lang w:val="fr-FR"/>
        </w:rPr>
        <w:t>ont fait valoir</w:t>
      </w:r>
      <w:r w:rsidRPr="00F1660D">
        <w:rPr>
          <w:lang w:val="fr-FR"/>
        </w:rPr>
        <w:t xml:space="preserve"> qu</w:t>
      </w:r>
      <w:r w:rsidR="00CE30FD" w:rsidRPr="00F1660D">
        <w:rPr>
          <w:lang w:val="fr-FR"/>
        </w:rPr>
        <w:t>’</w:t>
      </w:r>
      <w:r w:rsidR="00A052AF" w:rsidRPr="00F1660D">
        <w:rPr>
          <w:lang w:val="fr-FR"/>
        </w:rPr>
        <w:t>afin d</w:t>
      </w:r>
      <w:r w:rsidR="00CE30FD" w:rsidRPr="00F1660D">
        <w:rPr>
          <w:lang w:val="fr-FR"/>
        </w:rPr>
        <w:t>’</w:t>
      </w:r>
      <w:r w:rsidR="00A052AF" w:rsidRPr="00F1660D">
        <w:rPr>
          <w:lang w:val="fr-FR"/>
        </w:rPr>
        <w:t>éviter un débat trop prolongé sur</w:t>
      </w:r>
      <w:r w:rsidR="00A50629" w:rsidRPr="00F1660D">
        <w:rPr>
          <w:lang w:val="fr-FR"/>
        </w:rPr>
        <w:t xml:space="preserve"> les </w:t>
      </w:r>
      <w:r w:rsidR="00A052AF" w:rsidRPr="00F1660D">
        <w:rPr>
          <w:lang w:val="fr-FR"/>
        </w:rPr>
        <w:t xml:space="preserve">définitions </w:t>
      </w:r>
      <w:r w:rsidR="00691131" w:rsidRPr="00F1660D">
        <w:rPr>
          <w:lang w:val="fr-FR"/>
        </w:rPr>
        <w:t>applicabl</w:t>
      </w:r>
      <w:r w:rsidR="00A052AF" w:rsidRPr="00F1660D">
        <w:rPr>
          <w:lang w:val="fr-FR"/>
        </w:rPr>
        <w:t>es,</w:t>
      </w:r>
      <w:r w:rsidRPr="00F1660D">
        <w:rPr>
          <w:lang w:val="fr-FR"/>
        </w:rPr>
        <w:t xml:space="preserve"> tous</w:t>
      </w:r>
      <w:r w:rsidR="00A50629" w:rsidRPr="00F1660D">
        <w:rPr>
          <w:lang w:val="fr-FR"/>
        </w:rPr>
        <w:t xml:space="preserve"> les </w:t>
      </w:r>
      <w:r w:rsidRPr="00F1660D">
        <w:rPr>
          <w:lang w:val="fr-FR"/>
        </w:rPr>
        <w:t>déchets dev</w:t>
      </w:r>
      <w:r w:rsidR="00A052AF" w:rsidRPr="00F1660D">
        <w:rPr>
          <w:lang w:val="fr-FR"/>
        </w:rPr>
        <w:t>r</w:t>
      </w:r>
      <w:r w:rsidRPr="00F1660D">
        <w:rPr>
          <w:lang w:val="fr-FR"/>
        </w:rPr>
        <w:t>aient être pris en compte dans</w:t>
      </w:r>
      <w:r w:rsidR="00A50629" w:rsidRPr="00F1660D">
        <w:rPr>
          <w:lang w:val="fr-FR"/>
        </w:rPr>
        <w:t xml:space="preserve"> le </w:t>
      </w:r>
      <w:r w:rsidRPr="00F1660D">
        <w:rPr>
          <w:lang w:val="fr-FR"/>
        </w:rPr>
        <w:t>cadre d</w:t>
      </w:r>
      <w:r w:rsidR="00CE30FD" w:rsidRPr="00F1660D">
        <w:rPr>
          <w:lang w:val="fr-FR"/>
        </w:rPr>
        <w:t>’</w:t>
      </w:r>
      <w:r w:rsidRPr="00F1660D">
        <w:rPr>
          <w:lang w:val="fr-FR"/>
        </w:rPr>
        <w:t>une approche globale, puisque</w:t>
      </w:r>
      <w:r w:rsidR="00A50629" w:rsidRPr="00F1660D">
        <w:rPr>
          <w:lang w:val="fr-FR"/>
        </w:rPr>
        <w:t xml:space="preserve"> les </w:t>
      </w:r>
      <w:r w:rsidRPr="00F1660D">
        <w:rPr>
          <w:lang w:val="fr-FR"/>
        </w:rPr>
        <w:t>déchets non triés contenaient souvent</w:t>
      </w:r>
      <w:r w:rsidR="00A50629" w:rsidRPr="00F1660D">
        <w:rPr>
          <w:lang w:val="fr-FR"/>
        </w:rPr>
        <w:t xml:space="preserve"> des </w:t>
      </w:r>
      <w:r w:rsidRPr="00F1660D">
        <w:rPr>
          <w:lang w:val="fr-FR"/>
        </w:rPr>
        <w:t>déchets issus de produits chimiques.</w:t>
      </w:r>
    </w:p>
    <w:p w14:paraId="688EEAF4" w14:textId="07A33D88" w:rsidR="003D2C44" w:rsidRPr="00F1660D" w:rsidRDefault="003D2C44" w:rsidP="00733A1C">
      <w:pPr>
        <w:pStyle w:val="Normalnumber"/>
        <w:rPr>
          <w:lang w:val="fr-FR"/>
        </w:rPr>
      </w:pPr>
      <w:r w:rsidRPr="00F1660D">
        <w:rPr>
          <w:lang w:val="fr-FR"/>
        </w:rPr>
        <w:t>Plusieurs représentants ont souligné l</w:t>
      </w:r>
      <w:r w:rsidR="00CE30FD" w:rsidRPr="00F1660D">
        <w:rPr>
          <w:lang w:val="fr-FR"/>
        </w:rPr>
        <w:t>’</w:t>
      </w:r>
      <w:r w:rsidRPr="00F1660D">
        <w:rPr>
          <w:lang w:val="fr-FR"/>
        </w:rPr>
        <w:t>utilité d</w:t>
      </w:r>
      <w:r w:rsidR="00CE30FD" w:rsidRPr="00F1660D">
        <w:rPr>
          <w:lang w:val="fr-FR"/>
        </w:rPr>
        <w:t>’</w:t>
      </w:r>
      <w:r w:rsidRPr="00F1660D">
        <w:rPr>
          <w:lang w:val="fr-FR"/>
        </w:rPr>
        <w:t>une approche fondée sur</w:t>
      </w:r>
      <w:r w:rsidR="00A50629" w:rsidRPr="00F1660D">
        <w:rPr>
          <w:lang w:val="fr-FR"/>
        </w:rPr>
        <w:t xml:space="preserve"> le </w:t>
      </w:r>
      <w:r w:rsidRPr="00F1660D">
        <w:rPr>
          <w:lang w:val="fr-FR"/>
        </w:rPr>
        <w:t>cycle de vie pour gérer</w:t>
      </w:r>
      <w:r w:rsidR="00A50629" w:rsidRPr="00F1660D">
        <w:rPr>
          <w:lang w:val="fr-FR"/>
        </w:rPr>
        <w:t xml:space="preserve"> les </w:t>
      </w:r>
      <w:r w:rsidRPr="00F1660D">
        <w:rPr>
          <w:lang w:val="fr-FR"/>
        </w:rPr>
        <w:t>produits chimiques et</w:t>
      </w:r>
      <w:r w:rsidR="00A50629" w:rsidRPr="00F1660D">
        <w:rPr>
          <w:lang w:val="fr-FR"/>
        </w:rPr>
        <w:t xml:space="preserve"> les </w:t>
      </w:r>
      <w:r w:rsidRPr="00F1660D">
        <w:rPr>
          <w:lang w:val="fr-FR"/>
        </w:rPr>
        <w:t>déchets, appuyée par</w:t>
      </w:r>
      <w:r w:rsidR="00A50629" w:rsidRPr="00F1660D">
        <w:rPr>
          <w:lang w:val="fr-FR"/>
        </w:rPr>
        <w:t xml:space="preserve"> des </w:t>
      </w:r>
      <w:r w:rsidRPr="00F1660D">
        <w:rPr>
          <w:lang w:val="fr-FR"/>
        </w:rPr>
        <w:t>approches novatrices conformes</w:t>
      </w:r>
      <w:r w:rsidR="00A50629" w:rsidRPr="00F1660D">
        <w:rPr>
          <w:lang w:val="fr-FR"/>
        </w:rPr>
        <w:t xml:space="preserve"> au </w:t>
      </w:r>
      <w:r w:rsidRPr="00F1660D">
        <w:rPr>
          <w:lang w:val="fr-FR"/>
        </w:rPr>
        <w:t>principe de circularité. Un certain nombre de représentants ont souligné qu</w:t>
      </w:r>
      <w:r w:rsidR="00CE30FD" w:rsidRPr="00F1660D">
        <w:rPr>
          <w:lang w:val="fr-FR"/>
        </w:rPr>
        <w:t>’</w:t>
      </w:r>
      <w:r w:rsidRPr="00F1660D">
        <w:rPr>
          <w:lang w:val="fr-FR"/>
        </w:rPr>
        <w:t>il fallait veiller à ce que l</w:t>
      </w:r>
      <w:r w:rsidR="00CE30FD" w:rsidRPr="00F1660D">
        <w:rPr>
          <w:lang w:val="fr-FR"/>
        </w:rPr>
        <w:t>’</w:t>
      </w:r>
      <w:r w:rsidRPr="00F1660D">
        <w:rPr>
          <w:lang w:val="fr-FR"/>
        </w:rPr>
        <w:t>industrie démontre son engagement en prenant toutes</w:t>
      </w:r>
      <w:r w:rsidR="00A50629" w:rsidRPr="00F1660D">
        <w:rPr>
          <w:lang w:val="fr-FR"/>
        </w:rPr>
        <w:t xml:space="preserve"> les </w:t>
      </w:r>
      <w:r w:rsidRPr="00F1660D">
        <w:rPr>
          <w:lang w:val="fr-FR"/>
        </w:rPr>
        <w:t>mesures appropriées pour prévenir</w:t>
      </w:r>
      <w:r w:rsidR="00A50629" w:rsidRPr="00F1660D">
        <w:rPr>
          <w:lang w:val="fr-FR"/>
        </w:rPr>
        <w:t xml:space="preserve"> les </w:t>
      </w:r>
      <w:r w:rsidRPr="00F1660D">
        <w:rPr>
          <w:lang w:val="fr-FR"/>
        </w:rPr>
        <w:t>dommages que pourraient causer</w:t>
      </w:r>
      <w:r w:rsidR="00A50629" w:rsidRPr="00F1660D">
        <w:rPr>
          <w:lang w:val="fr-FR"/>
        </w:rPr>
        <w:t xml:space="preserve"> les </w:t>
      </w:r>
      <w:r w:rsidRPr="00F1660D">
        <w:rPr>
          <w:lang w:val="fr-FR"/>
        </w:rPr>
        <w:t>produits chimiques tout</w:t>
      </w:r>
      <w:r w:rsidR="00A50629" w:rsidRPr="00F1660D">
        <w:rPr>
          <w:lang w:val="fr-FR"/>
        </w:rPr>
        <w:t xml:space="preserve"> au </w:t>
      </w:r>
      <w:r w:rsidRPr="00F1660D">
        <w:rPr>
          <w:lang w:val="fr-FR"/>
        </w:rPr>
        <w:t>long de leur cycle de vie</w:t>
      </w:r>
      <w:r w:rsidR="00691131" w:rsidRPr="00F1660D">
        <w:rPr>
          <w:lang w:val="fr-FR"/>
        </w:rPr>
        <w:t xml:space="preserve"> et </w:t>
      </w:r>
      <w:r w:rsidR="002B4168" w:rsidRPr="00F1660D">
        <w:rPr>
          <w:lang w:val="fr-FR"/>
        </w:rPr>
        <w:t>qu</w:t>
      </w:r>
      <w:r w:rsidR="00CE30FD" w:rsidRPr="00F1660D">
        <w:rPr>
          <w:lang w:val="fr-FR"/>
        </w:rPr>
        <w:t>’</w:t>
      </w:r>
      <w:r w:rsidR="002B4168" w:rsidRPr="00F1660D">
        <w:rPr>
          <w:lang w:val="fr-FR"/>
        </w:rPr>
        <w:t>elle</w:t>
      </w:r>
      <w:r w:rsidR="00733A1C" w:rsidRPr="00F1660D">
        <w:rPr>
          <w:lang w:val="fr-FR"/>
        </w:rPr>
        <w:t> </w:t>
      </w:r>
      <w:r w:rsidR="002B4168" w:rsidRPr="00F1660D">
        <w:rPr>
          <w:lang w:val="fr-FR"/>
        </w:rPr>
        <w:t>se</w:t>
      </w:r>
      <w:r w:rsidR="00691131" w:rsidRPr="00F1660D">
        <w:rPr>
          <w:lang w:val="fr-FR"/>
        </w:rPr>
        <w:t xml:space="preserve"> charge</w:t>
      </w:r>
      <w:r w:rsidR="00A50629" w:rsidRPr="00F1660D">
        <w:rPr>
          <w:lang w:val="fr-FR"/>
        </w:rPr>
        <w:t xml:space="preserve"> des </w:t>
      </w:r>
      <w:r w:rsidR="00691131" w:rsidRPr="00F1660D">
        <w:rPr>
          <w:lang w:val="fr-FR"/>
        </w:rPr>
        <w:t>coûts et impacts associés</w:t>
      </w:r>
      <w:r w:rsidRPr="00F1660D">
        <w:rPr>
          <w:lang w:val="fr-FR"/>
        </w:rPr>
        <w:t xml:space="preserve">, conformément </w:t>
      </w:r>
      <w:r w:rsidR="00B80793" w:rsidRPr="00F1660D">
        <w:rPr>
          <w:lang w:val="fr-FR"/>
        </w:rPr>
        <w:t xml:space="preserve">aux principes </w:t>
      </w:r>
      <w:r w:rsidRPr="00F1660D">
        <w:rPr>
          <w:lang w:val="fr-FR"/>
        </w:rPr>
        <w:t>de responsabilité élargie du producteur et</w:t>
      </w:r>
      <w:r w:rsidR="00A50629" w:rsidRPr="00F1660D">
        <w:rPr>
          <w:lang w:val="fr-FR"/>
        </w:rPr>
        <w:t xml:space="preserve"> </w:t>
      </w:r>
      <w:r w:rsidR="00B80793" w:rsidRPr="00F1660D">
        <w:rPr>
          <w:lang w:val="fr-FR"/>
        </w:rPr>
        <w:t>d</w:t>
      </w:r>
      <w:r w:rsidR="00A50629" w:rsidRPr="00F1660D">
        <w:rPr>
          <w:lang w:val="fr-FR"/>
        </w:rPr>
        <w:t>u </w:t>
      </w:r>
      <w:r w:rsidRPr="00F1660D">
        <w:rPr>
          <w:lang w:val="fr-FR"/>
        </w:rPr>
        <w:t>pollueur-payeur.</w:t>
      </w:r>
    </w:p>
    <w:p w14:paraId="4DD86E81" w14:textId="2C36D7AB" w:rsidR="003D2C44" w:rsidRPr="00F1660D" w:rsidRDefault="003D2C44" w:rsidP="00733A1C">
      <w:pPr>
        <w:pStyle w:val="Normalnumber"/>
        <w:rPr>
          <w:lang w:val="fr-FR" w:eastAsia="ja-JP"/>
        </w:rPr>
      </w:pPr>
      <w:r w:rsidRPr="00F1660D">
        <w:rPr>
          <w:lang w:val="fr-FR"/>
        </w:rPr>
        <w:t>Une importance considérable était attachée aux moyens de mise en œuvre, en particulier à</w:t>
      </w:r>
      <w:r w:rsidR="00A50629" w:rsidRPr="00F1660D">
        <w:rPr>
          <w:lang w:val="fr-FR"/>
        </w:rPr>
        <w:t xml:space="preserve"> la </w:t>
      </w:r>
      <w:r w:rsidRPr="00F1660D">
        <w:rPr>
          <w:lang w:val="fr-FR"/>
        </w:rPr>
        <w:t>mobilisation de ressources financières prévisibles, durables et suffisantes pour permettre</w:t>
      </w:r>
      <w:r w:rsidR="00A50629" w:rsidRPr="00F1660D">
        <w:rPr>
          <w:lang w:val="fr-FR"/>
        </w:rPr>
        <w:t xml:space="preserve"> la </w:t>
      </w:r>
      <w:r w:rsidRPr="00F1660D">
        <w:rPr>
          <w:lang w:val="fr-FR"/>
        </w:rPr>
        <w:t>réalisation</w:t>
      </w:r>
      <w:r w:rsidR="00A50629" w:rsidRPr="00F1660D">
        <w:rPr>
          <w:lang w:val="fr-FR"/>
        </w:rPr>
        <w:t xml:space="preserve"> des </w:t>
      </w:r>
      <w:r w:rsidRPr="00F1660D">
        <w:rPr>
          <w:lang w:val="fr-FR"/>
        </w:rPr>
        <w:t>objectifs convenus</w:t>
      </w:r>
      <w:r w:rsidR="00A50629" w:rsidRPr="00F1660D">
        <w:rPr>
          <w:lang w:val="fr-FR"/>
        </w:rPr>
        <w:t xml:space="preserve"> au </w:t>
      </w:r>
      <w:r w:rsidRPr="00F1660D">
        <w:rPr>
          <w:lang w:val="fr-FR"/>
        </w:rPr>
        <w:t>niveau international afin d</w:t>
      </w:r>
      <w:r w:rsidR="00CE30FD" w:rsidRPr="00F1660D">
        <w:rPr>
          <w:lang w:val="fr-FR"/>
        </w:rPr>
        <w:t>’</w:t>
      </w:r>
      <w:r w:rsidRPr="00F1660D">
        <w:rPr>
          <w:lang w:val="fr-FR"/>
        </w:rPr>
        <w:t>assurer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eastAsia="ja-JP"/>
        </w:rPr>
        <w:t>déchets. L</w:t>
      </w:r>
      <w:r w:rsidR="00CE30FD" w:rsidRPr="00F1660D">
        <w:rPr>
          <w:lang w:val="fr-FR" w:eastAsia="ja-JP"/>
        </w:rPr>
        <w:t>’</w:t>
      </w:r>
      <w:r w:rsidRPr="00F1660D">
        <w:rPr>
          <w:lang w:val="fr-FR" w:eastAsia="ja-JP"/>
        </w:rPr>
        <w:t>utilité de conseils d</w:t>
      </w:r>
      <w:r w:rsidR="00CE30FD" w:rsidRPr="00F1660D">
        <w:rPr>
          <w:lang w:val="fr-FR" w:eastAsia="ja-JP"/>
        </w:rPr>
        <w:t>’</w:t>
      </w:r>
      <w:r w:rsidRPr="00F1660D">
        <w:rPr>
          <w:lang w:val="fr-FR" w:eastAsia="ja-JP"/>
        </w:rPr>
        <w:t>experts a été reconnue, notamment en renforçant l</w:t>
      </w:r>
      <w:r w:rsidR="00CE30FD" w:rsidRPr="00F1660D">
        <w:rPr>
          <w:lang w:val="fr-FR" w:eastAsia="ja-JP"/>
        </w:rPr>
        <w:t>’</w:t>
      </w:r>
      <w:r w:rsidRPr="00F1660D">
        <w:rPr>
          <w:lang w:val="fr-FR" w:eastAsia="ja-JP"/>
        </w:rPr>
        <w:t>interface science-politique aux fins de</w:t>
      </w:r>
      <w:r w:rsidR="00A50629" w:rsidRPr="00F1660D">
        <w:rPr>
          <w:lang w:val="fr-FR" w:eastAsia="ja-JP"/>
        </w:rPr>
        <w:t xml:space="preserve"> la </w:t>
      </w:r>
      <w:r w:rsidRPr="00F1660D">
        <w:rPr>
          <w:lang w:val="fr-FR" w:eastAsia="ja-JP"/>
        </w:rPr>
        <w:t>gouvernance internationale</w:t>
      </w:r>
      <w:r w:rsidR="00A50629" w:rsidRPr="00F1660D">
        <w:rPr>
          <w:lang w:val="fr-FR" w:eastAsia="ja-JP"/>
        </w:rPr>
        <w:t xml:space="preserve"> des </w:t>
      </w:r>
      <w:r w:rsidRPr="00F1660D">
        <w:rPr>
          <w:lang w:val="fr-FR" w:eastAsia="ja-JP"/>
        </w:rPr>
        <w:t xml:space="preserve">produits chimiques </w:t>
      </w:r>
      <w:r w:rsidR="00EB4BE4" w:rsidRPr="00F1660D">
        <w:rPr>
          <w:lang w:val="fr-FR" w:eastAsia="ja-JP"/>
        </w:rPr>
        <w:t>et</w:t>
      </w:r>
      <w:r w:rsidR="00A50629" w:rsidRPr="00F1660D">
        <w:rPr>
          <w:lang w:val="fr-FR" w:eastAsia="ja-JP"/>
        </w:rPr>
        <w:t xml:space="preserve"> des </w:t>
      </w:r>
      <w:r w:rsidR="00EB4BE4" w:rsidRPr="00F1660D">
        <w:rPr>
          <w:lang w:val="fr-FR" w:eastAsia="ja-JP"/>
        </w:rPr>
        <w:t xml:space="preserve">déchets </w:t>
      </w:r>
      <w:r w:rsidRPr="00F1660D">
        <w:rPr>
          <w:lang w:val="fr-FR" w:eastAsia="ja-JP"/>
        </w:rPr>
        <w:t>et en favorisant</w:t>
      </w:r>
      <w:r w:rsidR="00A50629" w:rsidRPr="00F1660D">
        <w:rPr>
          <w:lang w:val="fr-FR" w:eastAsia="ja-JP"/>
        </w:rPr>
        <w:t xml:space="preserve"> le </w:t>
      </w:r>
      <w:r w:rsidRPr="00F1660D">
        <w:rPr>
          <w:lang w:val="fr-FR" w:eastAsia="ja-JP"/>
        </w:rPr>
        <w:t>transfert de technologies. Certains représentants ont dit que</w:t>
      </w:r>
      <w:r w:rsidR="00A50629" w:rsidRPr="00F1660D">
        <w:rPr>
          <w:lang w:val="fr-FR" w:eastAsia="ja-JP"/>
        </w:rPr>
        <w:t xml:space="preserve"> le </w:t>
      </w:r>
      <w:r w:rsidRPr="00F1660D">
        <w:rPr>
          <w:lang w:val="fr-FR" w:eastAsia="ja-JP"/>
        </w:rPr>
        <w:t>secrétariat avait besoin d</w:t>
      </w:r>
      <w:r w:rsidR="00CE30FD" w:rsidRPr="00F1660D">
        <w:rPr>
          <w:lang w:val="fr-FR" w:eastAsia="ja-JP"/>
        </w:rPr>
        <w:t>’</w:t>
      </w:r>
      <w:r w:rsidRPr="00F1660D">
        <w:rPr>
          <w:lang w:val="fr-FR" w:eastAsia="ja-JP"/>
        </w:rPr>
        <w:t>un soutien financier supplémentaire pour pouvoir remplir son rôle. Un</w:t>
      </w:r>
      <w:r w:rsidR="00733A1C" w:rsidRPr="00F1660D">
        <w:rPr>
          <w:lang w:val="fr-FR" w:eastAsia="ja-JP"/>
        </w:rPr>
        <w:t> </w:t>
      </w:r>
      <w:r w:rsidRPr="00F1660D">
        <w:rPr>
          <w:lang w:val="fr-FR" w:eastAsia="ja-JP"/>
        </w:rPr>
        <w:t>représentant a fait valoir qu</w:t>
      </w:r>
      <w:r w:rsidR="00CE30FD" w:rsidRPr="00F1660D">
        <w:rPr>
          <w:lang w:val="fr-FR" w:eastAsia="ja-JP"/>
        </w:rPr>
        <w:t>’</w:t>
      </w:r>
      <w:r w:rsidRPr="00F1660D">
        <w:rPr>
          <w:lang w:val="fr-FR" w:eastAsia="ja-JP"/>
        </w:rPr>
        <w:t xml:space="preserve">une assistance devait être fournie aux pays en développement ou à économie en transition en vertu du principe de responsabilités communes mais différenciées. </w:t>
      </w:r>
    </w:p>
    <w:p w14:paraId="031418DE" w14:textId="48BCF6B2" w:rsidR="003D2C44" w:rsidRPr="00F1660D" w:rsidRDefault="003D2C44" w:rsidP="00F45B61">
      <w:pPr>
        <w:pStyle w:val="Normalnumber"/>
        <w:keepNext/>
        <w:keepLines/>
        <w:rPr>
          <w:lang w:val="fr-FR" w:eastAsia="ja-JP"/>
        </w:rPr>
      </w:pPr>
      <w:r w:rsidRPr="00F1660D">
        <w:rPr>
          <w:lang w:val="fr-FR" w:eastAsia="ja-JP"/>
        </w:rPr>
        <w:t>Plusieurs représentants ont déclaré que</w:t>
      </w:r>
      <w:r w:rsidR="00A50629" w:rsidRPr="00F1660D">
        <w:rPr>
          <w:lang w:val="fr-FR" w:eastAsia="ja-JP"/>
        </w:rPr>
        <w:t xml:space="preserve"> la </w:t>
      </w:r>
      <w:r w:rsidRPr="00F1660D">
        <w:rPr>
          <w:lang w:val="fr-FR" w:eastAsia="ja-JP"/>
        </w:rPr>
        <w:t>santé humaine dev</w:t>
      </w:r>
      <w:r w:rsidR="00DA308E" w:rsidRPr="00F1660D">
        <w:rPr>
          <w:lang w:val="fr-FR" w:eastAsia="ja-JP"/>
        </w:rPr>
        <w:t>r</w:t>
      </w:r>
      <w:r w:rsidRPr="00F1660D">
        <w:rPr>
          <w:lang w:val="fr-FR" w:eastAsia="ja-JP"/>
        </w:rPr>
        <w:t>ait être l</w:t>
      </w:r>
      <w:r w:rsidR="00CE30FD" w:rsidRPr="00F1660D">
        <w:rPr>
          <w:lang w:val="fr-FR" w:eastAsia="ja-JP"/>
        </w:rPr>
        <w:t>’</w:t>
      </w:r>
      <w:r w:rsidRPr="00F1660D">
        <w:rPr>
          <w:lang w:val="fr-FR" w:eastAsia="ja-JP"/>
        </w:rPr>
        <w:t>un</w:t>
      </w:r>
      <w:r w:rsidR="00A50629" w:rsidRPr="00F1660D">
        <w:rPr>
          <w:lang w:val="fr-FR" w:eastAsia="ja-JP"/>
        </w:rPr>
        <w:t xml:space="preserve"> des </w:t>
      </w:r>
      <w:r w:rsidRPr="00F1660D">
        <w:rPr>
          <w:lang w:val="fr-FR" w:eastAsia="ja-JP"/>
        </w:rPr>
        <w:t>principaux aspects de</w:t>
      </w:r>
      <w:r w:rsidR="00A50629" w:rsidRPr="00F1660D">
        <w:rPr>
          <w:lang w:val="fr-FR" w:eastAsia="ja-JP"/>
        </w:rPr>
        <w:t xml:space="preserve"> la </w:t>
      </w:r>
      <w:r w:rsidRPr="00F1660D">
        <w:rPr>
          <w:lang w:val="fr-FR" w:eastAsia="ja-JP"/>
        </w:rPr>
        <w:t>gestion rationnelle, exigeant</w:t>
      </w:r>
      <w:r w:rsidR="00A50629" w:rsidRPr="00F1660D">
        <w:rPr>
          <w:lang w:val="fr-FR" w:eastAsia="ja-JP"/>
        </w:rPr>
        <w:t xml:space="preserve"> le </w:t>
      </w:r>
      <w:r w:rsidRPr="00F1660D">
        <w:rPr>
          <w:lang w:val="fr-FR" w:eastAsia="ja-JP"/>
        </w:rPr>
        <w:t>plein engagement du secteur de</w:t>
      </w:r>
      <w:r w:rsidR="00A50629" w:rsidRPr="00F1660D">
        <w:rPr>
          <w:lang w:val="fr-FR" w:eastAsia="ja-JP"/>
        </w:rPr>
        <w:t xml:space="preserve"> la </w:t>
      </w:r>
      <w:r w:rsidRPr="00F1660D">
        <w:rPr>
          <w:lang w:val="fr-FR" w:eastAsia="ja-JP"/>
        </w:rPr>
        <w:t>santé. D</w:t>
      </w:r>
      <w:r w:rsidR="00CE30FD" w:rsidRPr="00F1660D">
        <w:rPr>
          <w:lang w:val="fr-FR" w:eastAsia="ja-JP"/>
        </w:rPr>
        <w:t>’</w:t>
      </w:r>
      <w:r w:rsidRPr="00F1660D">
        <w:rPr>
          <w:lang w:val="fr-FR" w:eastAsia="ja-JP"/>
        </w:rPr>
        <w:t>autres représentants ont appelé l</w:t>
      </w:r>
      <w:r w:rsidR="00CE30FD" w:rsidRPr="00F1660D">
        <w:rPr>
          <w:lang w:val="fr-FR" w:eastAsia="ja-JP"/>
        </w:rPr>
        <w:t>’</w:t>
      </w:r>
      <w:r w:rsidRPr="00F1660D">
        <w:rPr>
          <w:lang w:val="fr-FR" w:eastAsia="ja-JP"/>
        </w:rPr>
        <w:t>attention sur</w:t>
      </w:r>
      <w:r w:rsidR="00A50629" w:rsidRPr="00F1660D">
        <w:rPr>
          <w:lang w:val="fr-FR" w:eastAsia="ja-JP"/>
        </w:rPr>
        <w:t xml:space="preserve"> les </w:t>
      </w:r>
      <w:r w:rsidRPr="00F1660D">
        <w:rPr>
          <w:lang w:val="fr-FR" w:eastAsia="ja-JP"/>
        </w:rPr>
        <w:t>aspects de</w:t>
      </w:r>
      <w:r w:rsidR="00A50629" w:rsidRPr="00F1660D">
        <w:rPr>
          <w:lang w:val="fr-FR" w:eastAsia="ja-JP"/>
        </w:rPr>
        <w:t xml:space="preserve"> la </w:t>
      </w:r>
      <w:r w:rsidRPr="00F1660D">
        <w:rPr>
          <w:lang w:val="fr-FR" w:eastAsia="ja-JP"/>
        </w:rPr>
        <w:t>gestion</w:t>
      </w:r>
      <w:r w:rsidR="00A50629" w:rsidRPr="00F1660D">
        <w:rPr>
          <w:lang w:val="fr-FR" w:eastAsia="ja-JP"/>
        </w:rPr>
        <w:t xml:space="preserve"> des </w:t>
      </w:r>
      <w:r w:rsidRPr="00F1660D">
        <w:rPr>
          <w:lang w:val="fr-FR" w:eastAsia="ja-JP"/>
        </w:rPr>
        <w:t>produits chimiques et</w:t>
      </w:r>
      <w:r w:rsidR="00A50629" w:rsidRPr="00F1660D">
        <w:rPr>
          <w:lang w:val="fr-FR" w:eastAsia="ja-JP"/>
        </w:rPr>
        <w:t xml:space="preserve"> des </w:t>
      </w:r>
      <w:r w:rsidRPr="00F1660D">
        <w:rPr>
          <w:lang w:val="fr-FR" w:eastAsia="ja-JP"/>
        </w:rPr>
        <w:t>déchets touchant aux droits de l</w:t>
      </w:r>
      <w:r w:rsidR="00CE30FD" w:rsidRPr="00F1660D">
        <w:rPr>
          <w:lang w:val="fr-FR" w:eastAsia="ja-JP"/>
        </w:rPr>
        <w:t>’</w:t>
      </w:r>
      <w:r w:rsidRPr="00F1660D">
        <w:rPr>
          <w:lang w:val="fr-FR" w:eastAsia="ja-JP"/>
        </w:rPr>
        <w:t>homme,</w:t>
      </w:r>
      <w:r w:rsidR="00A50629" w:rsidRPr="00F1660D">
        <w:rPr>
          <w:lang w:val="fr-FR" w:eastAsia="ja-JP"/>
        </w:rPr>
        <w:t xml:space="preserve"> y </w:t>
      </w:r>
      <w:r w:rsidRPr="00F1660D">
        <w:rPr>
          <w:lang w:val="fr-FR" w:eastAsia="ja-JP"/>
        </w:rPr>
        <w:t>compris</w:t>
      </w:r>
      <w:r w:rsidR="00A50629" w:rsidRPr="00F1660D">
        <w:rPr>
          <w:lang w:val="fr-FR" w:eastAsia="ja-JP"/>
        </w:rPr>
        <w:t xml:space="preserve"> les </w:t>
      </w:r>
      <w:r w:rsidRPr="00F1660D">
        <w:rPr>
          <w:lang w:val="fr-FR" w:eastAsia="ja-JP"/>
        </w:rPr>
        <w:t>droits</w:t>
      </w:r>
      <w:r w:rsidR="00A50629" w:rsidRPr="00F1660D">
        <w:rPr>
          <w:lang w:val="fr-FR" w:eastAsia="ja-JP"/>
        </w:rPr>
        <w:t xml:space="preserve"> des </w:t>
      </w:r>
      <w:r w:rsidRPr="00F1660D">
        <w:rPr>
          <w:lang w:val="fr-FR" w:eastAsia="ja-JP"/>
        </w:rPr>
        <w:t>travailleurs qui manipulaient</w:t>
      </w:r>
      <w:r w:rsidR="00A50629" w:rsidRPr="00F1660D">
        <w:rPr>
          <w:lang w:val="fr-FR" w:eastAsia="ja-JP"/>
        </w:rPr>
        <w:t xml:space="preserve"> des </w:t>
      </w:r>
      <w:r w:rsidRPr="00F1660D">
        <w:rPr>
          <w:lang w:val="fr-FR" w:eastAsia="ja-JP"/>
        </w:rPr>
        <w:t>produits potentiellement dangereux. La transparence était essentielle pour que</w:t>
      </w:r>
      <w:r w:rsidR="00A50629" w:rsidRPr="00F1660D">
        <w:rPr>
          <w:lang w:val="fr-FR" w:eastAsia="ja-JP"/>
        </w:rPr>
        <w:t xml:space="preserve"> le </w:t>
      </w:r>
      <w:r w:rsidRPr="00F1660D">
        <w:rPr>
          <w:lang w:val="fr-FR" w:eastAsia="ja-JP"/>
        </w:rPr>
        <w:t>public ait pleinement connaissance</w:t>
      </w:r>
      <w:r w:rsidR="00A50629" w:rsidRPr="00F1660D">
        <w:rPr>
          <w:lang w:val="fr-FR" w:eastAsia="ja-JP"/>
        </w:rPr>
        <w:t xml:space="preserve"> des </w:t>
      </w:r>
      <w:r w:rsidRPr="00F1660D">
        <w:rPr>
          <w:lang w:val="fr-FR" w:eastAsia="ja-JP"/>
        </w:rPr>
        <w:t>dangers que pouvaient poser divers produits</w:t>
      </w:r>
      <w:r w:rsidR="00EB4BE4" w:rsidRPr="00F1660D">
        <w:rPr>
          <w:lang w:val="fr-FR" w:eastAsia="ja-JP"/>
        </w:rPr>
        <w:t xml:space="preserve"> chimiques et articles</w:t>
      </w:r>
      <w:r w:rsidRPr="00F1660D">
        <w:rPr>
          <w:lang w:val="fr-FR" w:eastAsia="ja-JP"/>
        </w:rPr>
        <w:t>,</w:t>
      </w:r>
      <w:r w:rsidR="00A50629" w:rsidRPr="00F1660D">
        <w:rPr>
          <w:lang w:val="fr-FR" w:eastAsia="ja-JP"/>
        </w:rPr>
        <w:t xml:space="preserve"> y </w:t>
      </w:r>
      <w:r w:rsidRPr="00F1660D">
        <w:rPr>
          <w:lang w:val="fr-FR" w:eastAsia="ja-JP"/>
        </w:rPr>
        <w:t>compris ceux qui étaient vendus en ligne.</w:t>
      </w:r>
    </w:p>
    <w:p w14:paraId="350AB37F" w14:textId="4A10FCDE" w:rsidR="003D2C44" w:rsidRPr="00F1660D" w:rsidRDefault="003D2C44" w:rsidP="00733A1C">
      <w:pPr>
        <w:pStyle w:val="Normalnumber"/>
        <w:rPr>
          <w:lang w:val="fr-FR" w:eastAsia="ja-JP"/>
        </w:rPr>
      </w:pPr>
      <w:r w:rsidRPr="00F1660D">
        <w:rPr>
          <w:lang w:val="fr-FR" w:eastAsia="ja-JP"/>
        </w:rPr>
        <w:t>Certains représentants ont souligné qu</w:t>
      </w:r>
      <w:r w:rsidR="00DA308E" w:rsidRPr="00F1660D">
        <w:rPr>
          <w:lang w:val="fr-FR" w:eastAsia="ja-JP"/>
        </w:rPr>
        <w:t>e lors de</w:t>
      </w:r>
      <w:r w:rsidRPr="00F1660D">
        <w:rPr>
          <w:lang w:val="fr-FR" w:eastAsia="ja-JP"/>
        </w:rPr>
        <w:t xml:space="preserve"> </w:t>
      </w:r>
      <w:r w:rsidR="00DA308E" w:rsidRPr="00F1660D">
        <w:rPr>
          <w:lang w:val="fr-FR" w:eastAsia="ja-JP"/>
        </w:rPr>
        <w:t>l</w:t>
      </w:r>
      <w:r w:rsidR="00CE30FD" w:rsidRPr="00F1660D">
        <w:rPr>
          <w:lang w:val="fr-FR" w:eastAsia="ja-JP"/>
        </w:rPr>
        <w:t>’</w:t>
      </w:r>
      <w:r w:rsidRPr="00F1660D">
        <w:rPr>
          <w:lang w:val="fr-FR" w:eastAsia="ja-JP"/>
        </w:rPr>
        <w:t>élabora</w:t>
      </w:r>
      <w:r w:rsidR="00DA308E" w:rsidRPr="00F1660D">
        <w:rPr>
          <w:lang w:val="fr-FR" w:eastAsia="ja-JP"/>
        </w:rPr>
        <w:t>tion</w:t>
      </w:r>
      <w:r w:rsidR="00A50629" w:rsidRPr="00F1660D">
        <w:rPr>
          <w:lang w:val="fr-FR" w:eastAsia="ja-JP"/>
        </w:rPr>
        <w:t xml:space="preserve"> des </w:t>
      </w:r>
      <w:r w:rsidRPr="00F1660D">
        <w:rPr>
          <w:lang w:val="fr-FR" w:eastAsia="ja-JP"/>
        </w:rPr>
        <w:t xml:space="preserve">accords internationaux </w:t>
      </w:r>
      <w:r w:rsidR="00DA308E" w:rsidRPr="00F1660D">
        <w:rPr>
          <w:lang w:val="fr-FR" w:eastAsia="ja-JP"/>
        </w:rPr>
        <w:t>en vue de</w:t>
      </w:r>
      <w:r w:rsidR="00A50629" w:rsidRPr="00F1660D">
        <w:rPr>
          <w:lang w:val="fr-FR" w:eastAsia="ja-JP"/>
        </w:rPr>
        <w:t xml:space="preserve"> la </w:t>
      </w:r>
      <w:r w:rsidRPr="00F1660D">
        <w:rPr>
          <w:lang w:val="fr-FR" w:eastAsia="ja-JP"/>
        </w:rPr>
        <w:t>mise en œuvre</w:t>
      </w:r>
      <w:r w:rsidR="00A50629" w:rsidRPr="00F1660D">
        <w:rPr>
          <w:lang w:val="fr-FR" w:eastAsia="ja-JP"/>
        </w:rPr>
        <w:t xml:space="preserve"> au </w:t>
      </w:r>
      <w:r w:rsidRPr="00F1660D">
        <w:rPr>
          <w:lang w:val="fr-FR" w:eastAsia="ja-JP"/>
        </w:rPr>
        <w:t>niveau national, il ne fallait pas perdre de vue l</w:t>
      </w:r>
      <w:r w:rsidR="00CE30FD" w:rsidRPr="00F1660D">
        <w:rPr>
          <w:lang w:val="fr-FR" w:eastAsia="ja-JP"/>
        </w:rPr>
        <w:t>’</w:t>
      </w:r>
      <w:r w:rsidRPr="00F1660D">
        <w:rPr>
          <w:lang w:val="fr-FR" w:eastAsia="ja-JP"/>
        </w:rPr>
        <w:t>utilité</w:t>
      </w:r>
      <w:r w:rsidR="00A50629" w:rsidRPr="00F1660D">
        <w:rPr>
          <w:lang w:val="fr-FR" w:eastAsia="ja-JP"/>
        </w:rPr>
        <w:t xml:space="preserve"> des </w:t>
      </w:r>
      <w:r w:rsidRPr="00F1660D">
        <w:rPr>
          <w:lang w:val="fr-FR" w:eastAsia="ja-JP"/>
        </w:rPr>
        <w:t xml:space="preserve">mécanismes régionaux </w:t>
      </w:r>
      <w:r w:rsidR="00C26A19" w:rsidRPr="00F1660D">
        <w:rPr>
          <w:lang w:val="fr-FR" w:eastAsia="ja-JP"/>
        </w:rPr>
        <w:t>pour ce qui est de</w:t>
      </w:r>
      <w:r w:rsidRPr="00F1660D">
        <w:rPr>
          <w:lang w:val="fr-FR" w:eastAsia="ja-JP"/>
        </w:rPr>
        <w:t xml:space="preserve"> promouvoir</w:t>
      </w:r>
      <w:r w:rsidR="00A50629" w:rsidRPr="00F1660D">
        <w:rPr>
          <w:lang w:val="fr-FR" w:eastAsia="ja-JP"/>
        </w:rPr>
        <w:t xml:space="preserve"> la </w:t>
      </w:r>
      <w:r w:rsidRPr="00F1660D">
        <w:rPr>
          <w:lang w:val="fr-FR" w:eastAsia="ja-JP"/>
        </w:rPr>
        <w:t xml:space="preserve">gestion </w:t>
      </w:r>
      <w:r w:rsidRPr="00F1660D">
        <w:rPr>
          <w:lang w:val="fr-FR"/>
        </w:rPr>
        <w:t>rationnelle</w:t>
      </w:r>
      <w:r w:rsidR="00A50629" w:rsidRPr="00F1660D">
        <w:rPr>
          <w:lang w:val="fr-FR" w:eastAsia="ja-JP"/>
        </w:rPr>
        <w:t xml:space="preserve"> des </w:t>
      </w:r>
      <w:r w:rsidRPr="00F1660D">
        <w:rPr>
          <w:lang w:val="fr-FR" w:eastAsia="ja-JP"/>
        </w:rPr>
        <w:t>produits chimiques et</w:t>
      </w:r>
      <w:r w:rsidR="00A50629" w:rsidRPr="00F1660D">
        <w:rPr>
          <w:lang w:val="fr-FR" w:eastAsia="ja-JP"/>
        </w:rPr>
        <w:t xml:space="preserve"> des </w:t>
      </w:r>
      <w:r w:rsidRPr="00F1660D">
        <w:rPr>
          <w:lang w:val="fr-FR" w:eastAsia="ja-JP"/>
        </w:rPr>
        <w:t>déchets dans</w:t>
      </w:r>
      <w:r w:rsidR="00A50629" w:rsidRPr="00F1660D">
        <w:rPr>
          <w:lang w:val="fr-FR" w:eastAsia="ja-JP"/>
        </w:rPr>
        <w:t xml:space="preserve"> les </w:t>
      </w:r>
      <w:r w:rsidRPr="00F1660D">
        <w:rPr>
          <w:lang w:val="fr-FR" w:eastAsia="ja-JP"/>
        </w:rPr>
        <w:t>pays ayant atteint</w:t>
      </w:r>
      <w:r w:rsidR="00A50629" w:rsidRPr="00F1660D">
        <w:rPr>
          <w:lang w:val="fr-FR" w:eastAsia="ja-JP"/>
        </w:rPr>
        <w:t xml:space="preserve"> des </w:t>
      </w:r>
      <w:r w:rsidRPr="00F1660D">
        <w:rPr>
          <w:lang w:val="fr-FR" w:eastAsia="ja-JP"/>
        </w:rPr>
        <w:t>stades de développement analogues et faisant face à</w:t>
      </w:r>
      <w:r w:rsidR="00A50629" w:rsidRPr="00F1660D">
        <w:rPr>
          <w:lang w:val="fr-FR" w:eastAsia="ja-JP"/>
        </w:rPr>
        <w:t xml:space="preserve"> des </w:t>
      </w:r>
      <w:r w:rsidRPr="00F1660D">
        <w:rPr>
          <w:lang w:val="fr-FR" w:eastAsia="ja-JP"/>
        </w:rPr>
        <w:t>difficultés comparables. Une représentante a souligné</w:t>
      </w:r>
      <w:r w:rsidR="00A50629" w:rsidRPr="00F1660D">
        <w:rPr>
          <w:lang w:val="fr-FR" w:eastAsia="ja-JP"/>
        </w:rPr>
        <w:t xml:space="preserve"> le </w:t>
      </w:r>
      <w:r w:rsidRPr="00F1660D">
        <w:rPr>
          <w:lang w:val="fr-FR" w:eastAsia="ja-JP"/>
        </w:rPr>
        <w:t>rôle que</w:t>
      </w:r>
      <w:r w:rsidR="00A50629" w:rsidRPr="00F1660D">
        <w:rPr>
          <w:lang w:val="fr-FR" w:eastAsia="ja-JP"/>
        </w:rPr>
        <w:t xml:space="preserve"> les </w:t>
      </w:r>
      <w:r w:rsidRPr="00F1660D">
        <w:rPr>
          <w:lang w:val="fr-FR" w:eastAsia="ja-JP"/>
        </w:rPr>
        <w:t>centres régionaux pourraient jouer en</w:t>
      </w:r>
      <w:r w:rsidR="00CE30FD" w:rsidRPr="00F1660D">
        <w:rPr>
          <w:lang w:val="fr-FR" w:eastAsia="ja-JP"/>
        </w:rPr>
        <w:t> </w:t>
      </w:r>
      <w:r w:rsidRPr="00F1660D">
        <w:rPr>
          <w:lang w:val="fr-FR" w:eastAsia="ja-JP"/>
        </w:rPr>
        <w:t>soutenant</w:t>
      </w:r>
      <w:r w:rsidR="00A50629" w:rsidRPr="00F1660D">
        <w:rPr>
          <w:lang w:val="fr-FR" w:eastAsia="ja-JP"/>
        </w:rPr>
        <w:t xml:space="preserve"> les </w:t>
      </w:r>
      <w:r w:rsidRPr="00F1660D">
        <w:rPr>
          <w:lang w:val="fr-FR" w:eastAsia="ja-JP"/>
        </w:rPr>
        <w:t>efforts en matière de renforcement</w:t>
      </w:r>
      <w:r w:rsidR="00A50629" w:rsidRPr="00F1660D">
        <w:rPr>
          <w:lang w:val="fr-FR" w:eastAsia="ja-JP"/>
        </w:rPr>
        <w:t xml:space="preserve"> des </w:t>
      </w:r>
      <w:r w:rsidRPr="00F1660D">
        <w:rPr>
          <w:lang w:val="fr-FR" w:eastAsia="ja-JP"/>
        </w:rPr>
        <w:t xml:space="preserve">capacités. </w:t>
      </w:r>
    </w:p>
    <w:p w14:paraId="7694E77A" w14:textId="71B4C021" w:rsidR="003D2C44" w:rsidRPr="00F1660D" w:rsidRDefault="003D2C44" w:rsidP="00733A1C">
      <w:pPr>
        <w:pStyle w:val="Normalnumber"/>
        <w:rPr>
          <w:lang w:val="fr-FR" w:eastAsia="ja-JP"/>
        </w:rPr>
      </w:pPr>
      <w:r w:rsidRPr="00F1660D">
        <w:rPr>
          <w:lang w:val="fr-FR" w:eastAsia="ja-JP"/>
        </w:rPr>
        <w:t>S</w:t>
      </w:r>
      <w:r w:rsidR="00CE30FD" w:rsidRPr="00F1660D">
        <w:rPr>
          <w:lang w:val="fr-FR" w:eastAsia="ja-JP"/>
        </w:rPr>
        <w:t>’</w:t>
      </w:r>
      <w:r w:rsidRPr="00F1660D">
        <w:rPr>
          <w:lang w:val="fr-FR" w:eastAsia="ja-JP"/>
        </w:rPr>
        <w:t>agissant de</w:t>
      </w:r>
      <w:r w:rsidR="00A50629" w:rsidRPr="00F1660D">
        <w:rPr>
          <w:lang w:val="fr-FR" w:eastAsia="ja-JP"/>
        </w:rPr>
        <w:t xml:space="preserve"> la </w:t>
      </w:r>
      <w:r w:rsidRPr="00F1660D">
        <w:rPr>
          <w:lang w:val="fr-FR" w:eastAsia="ja-JP"/>
        </w:rPr>
        <w:t>nécessité d</w:t>
      </w:r>
      <w:r w:rsidR="00CE30FD" w:rsidRPr="00F1660D">
        <w:rPr>
          <w:lang w:val="fr-FR" w:eastAsia="ja-JP"/>
        </w:rPr>
        <w:t>’</w:t>
      </w:r>
      <w:r w:rsidRPr="00F1660D">
        <w:rPr>
          <w:lang w:val="fr-FR" w:eastAsia="ja-JP"/>
        </w:rPr>
        <w:t>un engagement politique de haut niveau, plusieurs représentants se</w:t>
      </w:r>
      <w:r w:rsidR="00733A1C" w:rsidRPr="00F1660D">
        <w:rPr>
          <w:lang w:val="fr-FR" w:eastAsia="ja-JP"/>
        </w:rPr>
        <w:t> </w:t>
      </w:r>
      <w:r w:rsidRPr="00F1660D">
        <w:rPr>
          <w:lang w:val="fr-FR" w:eastAsia="ja-JP"/>
        </w:rPr>
        <w:t>sont déclarés favorables à</w:t>
      </w:r>
      <w:r w:rsidR="00A50629" w:rsidRPr="00F1660D">
        <w:rPr>
          <w:lang w:val="fr-FR" w:eastAsia="ja-JP"/>
        </w:rPr>
        <w:t xml:space="preserve"> la </w:t>
      </w:r>
      <w:r w:rsidRPr="00F1660D">
        <w:rPr>
          <w:lang w:val="fr-FR" w:eastAsia="ja-JP"/>
        </w:rPr>
        <w:t>tenue d</w:t>
      </w:r>
      <w:r w:rsidR="00CE30FD" w:rsidRPr="00F1660D">
        <w:rPr>
          <w:lang w:val="fr-FR" w:eastAsia="ja-JP"/>
        </w:rPr>
        <w:t>’</w:t>
      </w:r>
      <w:r w:rsidRPr="00F1660D">
        <w:rPr>
          <w:lang w:val="fr-FR" w:eastAsia="ja-JP"/>
        </w:rPr>
        <w:t>une conférence ministérielle en 2020 qui s</w:t>
      </w:r>
      <w:r w:rsidR="00CE30FD" w:rsidRPr="00F1660D">
        <w:rPr>
          <w:lang w:val="fr-FR" w:eastAsia="ja-JP"/>
        </w:rPr>
        <w:t>’</w:t>
      </w:r>
      <w:r w:rsidRPr="00F1660D">
        <w:rPr>
          <w:lang w:val="fr-FR" w:eastAsia="ja-JP"/>
        </w:rPr>
        <w:t>achèverait par une</w:t>
      </w:r>
      <w:r w:rsidR="00733A1C" w:rsidRPr="00F1660D">
        <w:rPr>
          <w:lang w:val="fr-FR" w:eastAsia="ja-JP"/>
        </w:rPr>
        <w:t> </w:t>
      </w:r>
      <w:r w:rsidRPr="00F1660D">
        <w:rPr>
          <w:lang w:val="fr-FR" w:eastAsia="ja-JP"/>
        </w:rPr>
        <w:t>déclaration ministérielle qui serait adoptée lors du segment de haut niveau de</w:t>
      </w:r>
      <w:r w:rsidR="00A50629" w:rsidRPr="00F1660D">
        <w:rPr>
          <w:lang w:val="fr-FR" w:eastAsia="ja-JP"/>
        </w:rPr>
        <w:t xml:space="preserve"> la </w:t>
      </w:r>
      <w:r w:rsidRPr="00F1660D">
        <w:rPr>
          <w:lang w:val="fr-FR" w:eastAsia="ja-JP"/>
        </w:rPr>
        <w:t>cinquième</w:t>
      </w:r>
      <w:r w:rsidR="00CE30FD" w:rsidRPr="00F1660D">
        <w:rPr>
          <w:lang w:val="fr-FR" w:eastAsia="ja-JP"/>
        </w:rPr>
        <w:t> </w:t>
      </w:r>
      <w:r w:rsidRPr="00F1660D">
        <w:rPr>
          <w:lang w:val="fr-FR" w:eastAsia="ja-JP"/>
        </w:rPr>
        <w:t>session de</w:t>
      </w:r>
      <w:r w:rsidR="00A50629" w:rsidRPr="00F1660D">
        <w:rPr>
          <w:lang w:val="fr-FR" w:eastAsia="ja-JP"/>
        </w:rPr>
        <w:t xml:space="preserve"> la </w:t>
      </w:r>
      <w:r w:rsidRPr="00F1660D">
        <w:rPr>
          <w:lang w:val="fr-FR" w:eastAsia="ja-JP"/>
        </w:rPr>
        <w:t>Conférence internationale sur</w:t>
      </w:r>
      <w:r w:rsidR="00A50629" w:rsidRPr="00F1660D">
        <w:rPr>
          <w:lang w:val="fr-FR" w:eastAsia="ja-JP"/>
        </w:rPr>
        <w:t xml:space="preserve"> la </w:t>
      </w:r>
      <w:r w:rsidRPr="00F1660D">
        <w:rPr>
          <w:lang w:val="fr-FR" w:eastAsia="ja-JP"/>
        </w:rPr>
        <w:t>gestion</w:t>
      </w:r>
      <w:r w:rsidR="00A50629" w:rsidRPr="00F1660D">
        <w:rPr>
          <w:lang w:val="fr-FR" w:eastAsia="ja-JP"/>
        </w:rPr>
        <w:t xml:space="preserve"> des </w:t>
      </w:r>
      <w:r w:rsidRPr="00F1660D">
        <w:rPr>
          <w:lang w:val="fr-FR" w:eastAsia="ja-JP"/>
        </w:rPr>
        <w:t>produits chimiques ou lors d</w:t>
      </w:r>
      <w:r w:rsidR="00CE30FD" w:rsidRPr="00F1660D">
        <w:rPr>
          <w:lang w:val="fr-FR" w:eastAsia="ja-JP"/>
        </w:rPr>
        <w:t>’</w:t>
      </w:r>
      <w:r w:rsidRPr="00F1660D">
        <w:rPr>
          <w:lang w:val="fr-FR" w:eastAsia="ja-JP"/>
        </w:rPr>
        <w:t>une conférence de haut niveau qui se tiendrait en marge de cette session.</w:t>
      </w:r>
    </w:p>
    <w:p w14:paraId="49812A15" w14:textId="785B2863" w:rsidR="003D2C44" w:rsidRPr="00F1660D" w:rsidRDefault="003D2C44" w:rsidP="00733A1C">
      <w:pPr>
        <w:pStyle w:val="Normalnumber"/>
        <w:rPr>
          <w:lang w:val="fr-FR" w:eastAsia="ja-JP"/>
        </w:rPr>
      </w:pPr>
      <w:r w:rsidRPr="00F1660D">
        <w:rPr>
          <w:lang w:val="fr-FR" w:eastAsia="ja-JP"/>
        </w:rPr>
        <w:t>À l</w:t>
      </w:r>
      <w:r w:rsidR="00CE30FD" w:rsidRPr="00F1660D">
        <w:rPr>
          <w:lang w:val="fr-FR" w:eastAsia="ja-JP"/>
        </w:rPr>
        <w:t>’</w:t>
      </w:r>
      <w:r w:rsidRPr="00F1660D">
        <w:rPr>
          <w:lang w:val="fr-FR" w:eastAsia="ja-JP"/>
        </w:rPr>
        <w:t>issue du débat,</w:t>
      </w:r>
      <w:r w:rsidR="00A50629" w:rsidRPr="00F1660D">
        <w:rPr>
          <w:lang w:val="fr-FR" w:eastAsia="ja-JP"/>
        </w:rPr>
        <w:t xml:space="preserve"> le </w:t>
      </w:r>
      <w:r w:rsidRPr="00F1660D">
        <w:rPr>
          <w:lang w:val="fr-FR" w:eastAsia="ja-JP"/>
        </w:rPr>
        <w:t>Groupe de travail a convenu d</w:t>
      </w:r>
      <w:r w:rsidR="00CE30FD" w:rsidRPr="00F1660D">
        <w:rPr>
          <w:lang w:val="fr-FR" w:eastAsia="ja-JP"/>
        </w:rPr>
        <w:t>’</w:t>
      </w:r>
      <w:r w:rsidRPr="00F1660D">
        <w:rPr>
          <w:lang w:val="fr-FR" w:eastAsia="ja-JP"/>
        </w:rPr>
        <w:t>établir un groupe de contact coprésidé par M.</w:t>
      </w:r>
      <w:r w:rsidR="00733A1C" w:rsidRPr="00F1660D">
        <w:rPr>
          <w:lang w:val="fr-FR" w:eastAsia="ja-JP"/>
        </w:rPr>
        <w:t> </w:t>
      </w:r>
      <w:r w:rsidRPr="00F1660D">
        <w:rPr>
          <w:lang w:val="fr-FR" w:eastAsia="ja-JP"/>
        </w:rPr>
        <w:t>Sam</w:t>
      </w:r>
      <w:r w:rsidR="00733A1C" w:rsidRPr="00F1660D">
        <w:rPr>
          <w:lang w:val="fr-FR" w:eastAsia="ja-JP"/>
        </w:rPr>
        <w:t> </w:t>
      </w:r>
      <w:proofErr w:type="spellStart"/>
      <w:r w:rsidRPr="00F1660D">
        <w:rPr>
          <w:lang w:val="fr-FR" w:eastAsia="ja-JP"/>
        </w:rPr>
        <w:t>Adu</w:t>
      </w:r>
      <w:proofErr w:type="spellEnd"/>
      <w:r w:rsidRPr="00F1660D">
        <w:rPr>
          <w:lang w:val="fr-FR" w:eastAsia="ja-JP"/>
        </w:rPr>
        <w:t xml:space="preserve">-Kumi (Ghana) et Mme </w:t>
      </w:r>
      <w:proofErr w:type="spellStart"/>
      <w:r w:rsidRPr="00F1660D">
        <w:rPr>
          <w:lang w:val="fr-FR" w:eastAsia="ja-JP"/>
        </w:rPr>
        <w:t>Silvija</w:t>
      </w:r>
      <w:proofErr w:type="spellEnd"/>
      <w:r w:rsidRPr="00F1660D">
        <w:rPr>
          <w:lang w:val="fr-FR" w:eastAsia="ja-JP"/>
        </w:rPr>
        <w:t xml:space="preserve"> </w:t>
      </w:r>
      <w:proofErr w:type="spellStart"/>
      <w:r w:rsidRPr="00F1660D">
        <w:rPr>
          <w:lang w:val="fr-FR" w:eastAsia="ja-JP"/>
        </w:rPr>
        <w:t>Kalnins</w:t>
      </w:r>
      <w:proofErr w:type="spellEnd"/>
      <w:r w:rsidRPr="00F1660D">
        <w:rPr>
          <w:lang w:val="fr-FR" w:eastAsia="ja-JP"/>
        </w:rPr>
        <w:t xml:space="preserve"> (Lettonie). Sur</w:t>
      </w:r>
      <w:r w:rsidR="00A50629" w:rsidRPr="00F1660D">
        <w:rPr>
          <w:lang w:val="fr-FR" w:eastAsia="ja-JP"/>
        </w:rPr>
        <w:t xml:space="preserve"> la </w:t>
      </w:r>
      <w:r w:rsidRPr="00F1660D">
        <w:rPr>
          <w:lang w:val="fr-FR" w:eastAsia="ja-JP"/>
        </w:rPr>
        <w:t>base</w:t>
      </w:r>
      <w:r w:rsidR="00A50629" w:rsidRPr="00F1660D">
        <w:rPr>
          <w:lang w:val="fr-FR" w:eastAsia="ja-JP"/>
        </w:rPr>
        <w:t xml:space="preserve"> des </w:t>
      </w:r>
      <w:r w:rsidRPr="00F1660D">
        <w:rPr>
          <w:lang w:val="fr-FR" w:eastAsia="ja-JP"/>
        </w:rPr>
        <w:t>considérations mises en avant durant</w:t>
      </w:r>
      <w:r w:rsidR="00A50629" w:rsidRPr="00F1660D">
        <w:rPr>
          <w:lang w:val="fr-FR" w:eastAsia="ja-JP"/>
        </w:rPr>
        <w:t xml:space="preserve"> le </w:t>
      </w:r>
      <w:r w:rsidRPr="00F1660D">
        <w:rPr>
          <w:lang w:val="fr-FR" w:eastAsia="ja-JP"/>
        </w:rPr>
        <w:t>processus intersessions, du document</w:t>
      </w:r>
      <w:r w:rsidR="00A50629" w:rsidRPr="00F1660D">
        <w:rPr>
          <w:lang w:val="fr-FR" w:eastAsia="ja-JP"/>
        </w:rPr>
        <w:t xml:space="preserve"> des </w:t>
      </w:r>
      <w:r w:rsidRPr="00F1660D">
        <w:rPr>
          <w:lang w:val="fr-FR"/>
        </w:rPr>
        <w:t>coprésidents</w:t>
      </w:r>
      <w:r w:rsidRPr="00F1660D">
        <w:rPr>
          <w:lang w:val="fr-FR" w:eastAsia="ja-JP"/>
        </w:rPr>
        <w:t xml:space="preserve"> sur</w:t>
      </w:r>
      <w:r w:rsidR="00A50629" w:rsidRPr="00F1660D">
        <w:rPr>
          <w:lang w:val="fr-FR" w:eastAsia="ja-JP"/>
        </w:rPr>
        <w:t xml:space="preserve"> la </w:t>
      </w:r>
      <w:r w:rsidRPr="00F1660D">
        <w:rPr>
          <w:lang w:val="fr-FR" w:eastAsia="ja-JP"/>
        </w:rPr>
        <w:t>gestion rationnelle</w:t>
      </w:r>
      <w:r w:rsidR="00A50629" w:rsidRPr="00F1660D">
        <w:rPr>
          <w:lang w:val="fr-FR" w:eastAsia="ja-JP"/>
        </w:rPr>
        <w:t xml:space="preserve"> des </w:t>
      </w:r>
      <w:r w:rsidRPr="00F1660D">
        <w:rPr>
          <w:lang w:val="fr-FR" w:eastAsia="ja-JP"/>
        </w:rPr>
        <w:t>produits chimiques et</w:t>
      </w:r>
      <w:r w:rsidR="00A50629" w:rsidRPr="00F1660D">
        <w:rPr>
          <w:lang w:val="fr-FR" w:eastAsia="ja-JP"/>
        </w:rPr>
        <w:t xml:space="preserve"> des </w:t>
      </w:r>
      <w:r w:rsidRPr="00F1660D">
        <w:rPr>
          <w:lang w:val="fr-FR" w:eastAsia="ja-JP"/>
        </w:rPr>
        <w:t>déchets au-delà de 2020</w:t>
      </w:r>
      <w:r w:rsidR="00DE40AD" w:rsidRPr="00F1660D">
        <w:rPr>
          <w:lang w:val="fr-FR" w:eastAsia="ja-JP"/>
        </w:rPr>
        <w:t xml:space="preserve"> (SAICM/OEWG.3/4)</w:t>
      </w:r>
      <w:r w:rsidRPr="00F1660D">
        <w:rPr>
          <w:lang w:val="fr-FR" w:eastAsia="ja-JP"/>
        </w:rPr>
        <w:t>,</w:t>
      </w:r>
      <w:r w:rsidR="00A50629" w:rsidRPr="00F1660D">
        <w:rPr>
          <w:lang w:val="fr-FR" w:eastAsia="ja-JP"/>
        </w:rPr>
        <w:t xml:space="preserve"> des </w:t>
      </w:r>
      <w:r w:rsidRPr="00F1660D">
        <w:rPr>
          <w:lang w:val="fr-FR" w:eastAsia="ja-JP"/>
        </w:rPr>
        <w:t>débats à</w:t>
      </w:r>
      <w:r w:rsidR="00A50629" w:rsidRPr="00F1660D">
        <w:rPr>
          <w:lang w:val="fr-FR" w:eastAsia="ja-JP"/>
        </w:rPr>
        <w:t xml:space="preserve"> la </w:t>
      </w:r>
      <w:r w:rsidRPr="00F1660D">
        <w:rPr>
          <w:lang w:val="fr-FR" w:eastAsia="ja-JP"/>
        </w:rPr>
        <w:t>réunion en cour</w:t>
      </w:r>
      <w:r w:rsidR="00DE40AD" w:rsidRPr="00F1660D">
        <w:rPr>
          <w:lang w:val="fr-FR" w:eastAsia="ja-JP"/>
        </w:rPr>
        <w:t>s</w:t>
      </w:r>
      <w:r w:rsidRPr="00F1660D">
        <w:rPr>
          <w:lang w:val="fr-FR" w:eastAsia="ja-JP"/>
        </w:rPr>
        <w:t xml:space="preserve"> </w:t>
      </w:r>
      <w:r w:rsidR="00EB4BE4" w:rsidRPr="00F1660D">
        <w:rPr>
          <w:lang w:val="fr-FR" w:eastAsia="ja-JP"/>
        </w:rPr>
        <w:t>et</w:t>
      </w:r>
      <w:r w:rsidR="00A50629" w:rsidRPr="00F1660D">
        <w:rPr>
          <w:lang w:val="fr-FR" w:eastAsia="ja-JP"/>
        </w:rPr>
        <w:t xml:space="preserve"> des </w:t>
      </w:r>
      <w:r w:rsidR="00EB4BE4" w:rsidRPr="00F1660D">
        <w:rPr>
          <w:lang w:val="fr-FR" w:eastAsia="ja-JP"/>
        </w:rPr>
        <w:t xml:space="preserve">recommandations figurant dans </w:t>
      </w:r>
      <w:r w:rsidR="00606841" w:rsidRPr="00F1660D">
        <w:rPr>
          <w:lang w:val="fr-FR" w:eastAsia="ja-JP"/>
        </w:rPr>
        <w:t>un</w:t>
      </w:r>
      <w:r w:rsidR="00EB4BE4" w:rsidRPr="00F1660D">
        <w:rPr>
          <w:lang w:val="fr-FR" w:eastAsia="ja-JP"/>
        </w:rPr>
        <w:t xml:space="preserve"> document de séance présenté par</w:t>
      </w:r>
      <w:r w:rsidR="00A50629" w:rsidRPr="00F1660D">
        <w:rPr>
          <w:lang w:val="fr-FR" w:eastAsia="ja-JP"/>
        </w:rPr>
        <w:t xml:space="preserve"> le </w:t>
      </w:r>
      <w:r w:rsidR="00EB4BE4" w:rsidRPr="00F1660D">
        <w:rPr>
          <w:lang w:val="fr-FR" w:eastAsia="ja-JP"/>
        </w:rPr>
        <w:t>représentant de l</w:t>
      </w:r>
      <w:r w:rsidR="00CE30FD" w:rsidRPr="00F1660D">
        <w:rPr>
          <w:lang w:val="fr-FR" w:eastAsia="ja-JP"/>
        </w:rPr>
        <w:t>’</w:t>
      </w:r>
      <w:r w:rsidR="00EB4BE4" w:rsidRPr="00F1660D">
        <w:rPr>
          <w:lang w:val="fr-FR" w:eastAsia="ja-JP"/>
        </w:rPr>
        <w:t>Union</w:t>
      </w:r>
      <w:r w:rsidR="00733A1C" w:rsidRPr="00F1660D">
        <w:rPr>
          <w:lang w:val="fr-FR" w:eastAsia="ja-JP"/>
        </w:rPr>
        <w:t> </w:t>
      </w:r>
      <w:r w:rsidR="00EB4BE4" w:rsidRPr="00F1660D">
        <w:rPr>
          <w:lang w:val="fr-FR" w:eastAsia="ja-JP"/>
        </w:rPr>
        <w:t>européenne,</w:t>
      </w:r>
      <w:r w:rsidR="00A50629" w:rsidRPr="00F1660D">
        <w:rPr>
          <w:lang w:val="fr-FR" w:eastAsia="ja-JP"/>
        </w:rPr>
        <w:t xml:space="preserve"> le </w:t>
      </w:r>
      <w:r w:rsidRPr="00F1660D">
        <w:rPr>
          <w:lang w:val="fr-FR" w:eastAsia="ja-JP"/>
        </w:rPr>
        <w:t>groupe de contact a été chargé de formuler</w:t>
      </w:r>
      <w:r w:rsidR="00A50629" w:rsidRPr="00F1660D">
        <w:rPr>
          <w:lang w:val="fr-FR" w:eastAsia="ja-JP"/>
        </w:rPr>
        <w:t xml:space="preserve"> des </w:t>
      </w:r>
      <w:r w:rsidRPr="00F1660D">
        <w:rPr>
          <w:lang w:val="fr-FR" w:eastAsia="ja-JP"/>
        </w:rPr>
        <w:t>recommandations concernant l</w:t>
      </w:r>
      <w:r w:rsidR="00CE30FD" w:rsidRPr="00F1660D">
        <w:rPr>
          <w:lang w:val="fr-FR" w:eastAsia="ja-JP"/>
        </w:rPr>
        <w:t>’</w:t>
      </w:r>
      <w:r w:rsidRPr="00F1660D">
        <w:rPr>
          <w:lang w:val="fr-FR" w:eastAsia="ja-JP"/>
        </w:rPr>
        <w:t>Approche stratégique et</w:t>
      </w:r>
      <w:r w:rsidR="00A50629" w:rsidRPr="00F1660D">
        <w:rPr>
          <w:lang w:val="fr-FR" w:eastAsia="ja-JP"/>
        </w:rPr>
        <w:t xml:space="preserve"> la </w:t>
      </w:r>
      <w:r w:rsidRPr="00F1660D">
        <w:rPr>
          <w:lang w:val="fr-FR" w:eastAsia="ja-JP"/>
        </w:rPr>
        <w:t>gestion rationnelle</w:t>
      </w:r>
      <w:r w:rsidR="00A50629" w:rsidRPr="00F1660D">
        <w:rPr>
          <w:lang w:val="fr-FR" w:eastAsia="ja-JP"/>
        </w:rPr>
        <w:t xml:space="preserve"> des </w:t>
      </w:r>
      <w:r w:rsidRPr="00F1660D">
        <w:rPr>
          <w:lang w:val="fr-FR" w:eastAsia="ja-JP"/>
        </w:rPr>
        <w:t>produits chimiques et</w:t>
      </w:r>
      <w:r w:rsidR="00A50629" w:rsidRPr="00F1660D">
        <w:rPr>
          <w:lang w:val="fr-FR" w:eastAsia="ja-JP"/>
        </w:rPr>
        <w:t xml:space="preserve"> des </w:t>
      </w:r>
      <w:r w:rsidRPr="00F1660D">
        <w:rPr>
          <w:lang w:val="fr-FR" w:eastAsia="ja-JP"/>
        </w:rPr>
        <w:t>déchets au-delà de 2020, pour examen par</w:t>
      </w:r>
      <w:r w:rsidR="00A50629" w:rsidRPr="00F1660D">
        <w:rPr>
          <w:lang w:val="fr-FR" w:eastAsia="ja-JP"/>
        </w:rPr>
        <w:t xml:space="preserve"> la </w:t>
      </w:r>
      <w:r w:rsidRPr="00F1660D">
        <w:rPr>
          <w:lang w:val="fr-FR" w:eastAsia="ja-JP"/>
        </w:rPr>
        <w:t>Conférence internationale sur</w:t>
      </w:r>
      <w:r w:rsidR="00A50629" w:rsidRPr="00F1660D">
        <w:rPr>
          <w:lang w:val="fr-FR" w:eastAsia="ja-JP"/>
        </w:rPr>
        <w:t xml:space="preserve"> la </w:t>
      </w:r>
      <w:r w:rsidRPr="00F1660D">
        <w:rPr>
          <w:lang w:val="fr-FR" w:eastAsia="ja-JP"/>
        </w:rPr>
        <w:t>gestion</w:t>
      </w:r>
      <w:r w:rsidR="00A50629" w:rsidRPr="00F1660D">
        <w:rPr>
          <w:lang w:val="fr-FR" w:eastAsia="ja-JP"/>
        </w:rPr>
        <w:t xml:space="preserve"> des </w:t>
      </w:r>
      <w:r w:rsidRPr="00F1660D">
        <w:rPr>
          <w:lang w:val="fr-FR" w:eastAsia="ja-JP"/>
        </w:rPr>
        <w:t>produits chimiques à sa</w:t>
      </w:r>
      <w:r w:rsidR="00733A1C" w:rsidRPr="00F1660D">
        <w:rPr>
          <w:lang w:val="fr-FR" w:eastAsia="ja-JP"/>
        </w:rPr>
        <w:t> </w:t>
      </w:r>
      <w:r w:rsidRPr="00F1660D">
        <w:rPr>
          <w:lang w:val="fr-FR" w:eastAsia="ja-JP"/>
        </w:rPr>
        <w:t>cinquième</w:t>
      </w:r>
      <w:r w:rsidR="00733A1C" w:rsidRPr="00F1660D">
        <w:rPr>
          <w:lang w:val="fr-FR" w:eastAsia="ja-JP"/>
        </w:rPr>
        <w:t> </w:t>
      </w:r>
      <w:r w:rsidRPr="00F1660D">
        <w:rPr>
          <w:lang w:val="fr-FR" w:eastAsia="ja-JP"/>
        </w:rPr>
        <w:t>session.</w:t>
      </w:r>
    </w:p>
    <w:p w14:paraId="1A958E2C" w14:textId="3F376D5A" w:rsidR="003D2C44" w:rsidRPr="00F1660D" w:rsidRDefault="003D2C44" w:rsidP="00733A1C">
      <w:pPr>
        <w:pStyle w:val="Normalnumber"/>
        <w:rPr>
          <w:lang w:val="fr-FR"/>
        </w:rPr>
      </w:pPr>
      <w:r w:rsidRPr="00F1660D">
        <w:rPr>
          <w:lang w:val="fr-FR" w:eastAsia="ja-JP"/>
        </w:rPr>
        <w:t>Concernant</w:t>
      </w:r>
      <w:r w:rsidR="00A50629" w:rsidRPr="00F1660D">
        <w:rPr>
          <w:lang w:val="fr-FR" w:eastAsia="ja-JP"/>
        </w:rPr>
        <w:t xml:space="preserve"> les </w:t>
      </w:r>
      <w:r w:rsidRPr="00F1660D">
        <w:rPr>
          <w:lang w:val="fr-FR" w:eastAsia="ja-JP"/>
        </w:rPr>
        <w:t xml:space="preserve">discussions sur un cadre </w:t>
      </w:r>
      <w:r w:rsidR="00EB4BE4" w:rsidRPr="00F1660D">
        <w:rPr>
          <w:lang w:val="fr-FR" w:eastAsia="ja-JP"/>
        </w:rPr>
        <w:t>habilitant</w:t>
      </w:r>
      <w:r w:rsidRPr="00F1660D">
        <w:rPr>
          <w:lang w:val="fr-FR" w:eastAsia="ja-JP"/>
        </w:rPr>
        <w:t xml:space="preserve"> </w:t>
      </w:r>
      <w:r w:rsidR="00EB4BE4" w:rsidRPr="00F1660D">
        <w:rPr>
          <w:lang w:val="fr-FR" w:eastAsia="ja-JP"/>
        </w:rPr>
        <w:t>concernant</w:t>
      </w:r>
      <w:r w:rsidR="00A50629" w:rsidRPr="00F1660D">
        <w:rPr>
          <w:lang w:val="fr-FR" w:eastAsia="ja-JP"/>
        </w:rPr>
        <w:t xml:space="preserve"> les </w:t>
      </w:r>
      <w:r w:rsidRPr="00F1660D">
        <w:rPr>
          <w:lang w:val="fr-FR" w:eastAsia="ja-JP"/>
        </w:rPr>
        <w:t>produits chimiques et</w:t>
      </w:r>
      <w:r w:rsidR="00A50629" w:rsidRPr="00F1660D">
        <w:rPr>
          <w:lang w:val="fr-FR" w:eastAsia="ja-JP"/>
        </w:rPr>
        <w:t xml:space="preserve"> les </w:t>
      </w:r>
      <w:r w:rsidRPr="00F1660D">
        <w:rPr>
          <w:lang w:val="fr-FR" w:eastAsia="ja-JP"/>
        </w:rPr>
        <w:t xml:space="preserve">déchets </w:t>
      </w:r>
      <w:r w:rsidR="00DE40AD" w:rsidRPr="00F1660D">
        <w:rPr>
          <w:lang w:val="fr-FR" w:eastAsia="ja-JP"/>
        </w:rPr>
        <w:t xml:space="preserve">au-delà de </w:t>
      </w:r>
      <w:r w:rsidRPr="00F1660D">
        <w:rPr>
          <w:lang w:val="fr-FR" w:eastAsia="ja-JP"/>
        </w:rPr>
        <w:t>2020,</w:t>
      </w:r>
      <w:r w:rsidR="00A50629" w:rsidRPr="00F1660D">
        <w:rPr>
          <w:lang w:val="fr-FR" w:eastAsia="ja-JP"/>
        </w:rPr>
        <w:t xml:space="preserve"> le </w:t>
      </w:r>
      <w:r w:rsidRPr="00F1660D">
        <w:rPr>
          <w:lang w:val="fr-FR"/>
        </w:rPr>
        <w:t>Groupe de travail a accepté</w:t>
      </w:r>
      <w:r w:rsidR="00A50629" w:rsidRPr="00F1660D">
        <w:rPr>
          <w:lang w:val="fr-FR"/>
        </w:rPr>
        <w:t xml:space="preserve"> la </w:t>
      </w:r>
      <w:r w:rsidRPr="00F1660D">
        <w:rPr>
          <w:lang w:val="fr-FR"/>
        </w:rPr>
        <w:t>proposition de</w:t>
      </w:r>
      <w:r w:rsidR="00A50629" w:rsidRPr="00F1660D">
        <w:rPr>
          <w:lang w:val="fr-FR"/>
        </w:rPr>
        <w:t xml:space="preserve"> la </w:t>
      </w:r>
      <w:r w:rsidRPr="00F1660D">
        <w:rPr>
          <w:lang w:val="fr-FR"/>
        </w:rPr>
        <w:t>Présidente tendant à</w:t>
      </w:r>
      <w:r w:rsidR="00733A1C" w:rsidRPr="00F1660D">
        <w:rPr>
          <w:lang w:val="fr-FR"/>
        </w:rPr>
        <w:t> </w:t>
      </w:r>
      <w:r w:rsidRPr="00F1660D">
        <w:rPr>
          <w:lang w:val="fr-FR"/>
        </w:rPr>
        <w:t>créer un groupe</w:t>
      </w:r>
      <w:r w:rsidR="00A50629" w:rsidRPr="00F1660D">
        <w:rPr>
          <w:lang w:val="fr-FR"/>
        </w:rPr>
        <w:t xml:space="preserve"> des </w:t>
      </w:r>
      <w:r w:rsidRPr="00F1660D">
        <w:rPr>
          <w:lang w:val="fr-FR"/>
        </w:rPr>
        <w:t>amis d</w:t>
      </w:r>
      <w:r w:rsidR="00733FEB" w:rsidRPr="00F1660D">
        <w:rPr>
          <w:lang w:val="fr-FR"/>
        </w:rPr>
        <w:t>e</w:t>
      </w:r>
      <w:r w:rsidR="00A50629" w:rsidRPr="00F1660D">
        <w:rPr>
          <w:lang w:val="fr-FR"/>
        </w:rPr>
        <w:t xml:space="preserve"> la </w:t>
      </w:r>
      <w:r w:rsidR="00733FEB" w:rsidRPr="00F1660D">
        <w:rPr>
          <w:lang w:val="fr-FR"/>
        </w:rPr>
        <w:t>p</w:t>
      </w:r>
      <w:r w:rsidRPr="00F1660D">
        <w:rPr>
          <w:lang w:val="fr-FR"/>
        </w:rPr>
        <w:t>résiden</w:t>
      </w:r>
      <w:r w:rsidR="00733FEB" w:rsidRPr="00F1660D">
        <w:rPr>
          <w:lang w:val="fr-FR"/>
        </w:rPr>
        <w:t>ce</w:t>
      </w:r>
      <w:r w:rsidRPr="00F1660D">
        <w:rPr>
          <w:lang w:val="fr-FR"/>
        </w:rPr>
        <w:t xml:space="preserve"> </w:t>
      </w:r>
      <w:r w:rsidR="00DE40AD" w:rsidRPr="00F1660D">
        <w:rPr>
          <w:lang w:val="fr-FR"/>
        </w:rPr>
        <w:t xml:space="preserve">facilité par </w:t>
      </w:r>
      <w:r w:rsidRPr="00F1660D">
        <w:rPr>
          <w:lang w:val="fr-FR"/>
        </w:rPr>
        <w:t xml:space="preserve">M. Jorge Pedro-Aznar (Union européenne) et Mme Torres (Uruguay) en vue de </w:t>
      </w:r>
      <w:r w:rsidR="00DE40AD" w:rsidRPr="00F1660D">
        <w:rPr>
          <w:lang w:val="fr-FR"/>
        </w:rPr>
        <w:t>coordonner l</w:t>
      </w:r>
      <w:r w:rsidR="00A50629" w:rsidRPr="00F1660D">
        <w:rPr>
          <w:lang w:val="fr-FR"/>
        </w:rPr>
        <w:t>es </w:t>
      </w:r>
      <w:r w:rsidRPr="00F1660D">
        <w:rPr>
          <w:lang w:val="fr-FR"/>
        </w:rPr>
        <w:t>consultations informelles sur</w:t>
      </w:r>
      <w:r w:rsidR="00A50629" w:rsidRPr="00F1660D">
        <w:rPr>
          <w:lang w:val="fr-FR"/>
        </w:rPr>
        <w:t xml:space="preserve"> la </w:t>
      </w:r>
      <w:r w:rsidRPr="00F1660D">
        <w:rPr>
          <w:lang w:val="fr-FR"/>
        </w:rPr>
        <w:t>question. Le groupe serait à participation ouverte et pourrait inclure</w:t>
      </w:r>
      <w:r w:rsidR="00A50629" w:rsidRPr="00F1660D">
        <w:rPr>
          <w:lang w:val="fr-FR"/>
        </w:rPr>
        <w:t xml:space="preserve"> des </w:t>
      </w:r>
      <w:r w:rsidRPr="00F1660D">
        <w:rPr>
          <w:lang w:val="fr-FR"/>
        </w:rPr>
        <w:t>représentants de différents groupes de parties prenantes. Le groupe a été chargé de faciliter</w:t>
      </w:r>
      <w:r w:rsidR="00A50629" w:rsidRPr="00F1660D">
        <w:rPr>
          <w:lang w:val="fr-FR"/>
        </w:rPr>
        <w:t xml:space="preserve"> les </w:t>
      </w:r>
      <w:r w:rsidRPr="00F1660D">
        <w:rPr>
          <w:lang w:val="fr-FR"/>
        </w:rPr>
        <w:t>consultations informelles et l</w:t>
      </w:r>
      <w:r w:rsidR="00CE30FD" w:rsidRPr="00F1660D">
        <w:rPr>
          <w:lang w:val="fr-FR"/>
        </w:rPr>
        <w:t>’</w:t>
      </w:r>
      <w:r w:rsidRPr="00F1660D">
        <w:rPr>
          <w:lang w:val="fr-FR"/>
        </w:rPr>
        <w:t>échange de vues sur</w:t>
      </w:r>
      <w:r w:rsidR="00A50629" w:rsidRPr="00F1660D">
        <w:rPr>
          <w:lang w:val="fr-FR"/>
        </w:rPr>
        <w:t xml:space="preserve"> la </w:t>
      </w:r>
      <w:r w:rsidRPr="00F1660D">
        <w:rPr>
          <w:lang w:val="fr-FR"/>
        </w:rPr>
        <w:t>question de savoir s</w:t>
      </w:r>
      <w:r w:rsidR="00CE30FD" w:rsidRPr="00F1660D">
        <w:rPr>
          <w:lang w:val="fr-FR"/>
        </w:rPr>
        <w:t>’</w:t>
      </w:r>
      <w:r w:rsidRPr="00F1660D">
        <w:rPr>
          <w:lang w:val="fr-FR"/>
        </w:rPr>
        <w:t xml:space="preserve">il était nécessaire de mettre en place un cadre </w:t>
      </w:r>
      <w:r w:rsidR="001A790F" w:rsidRPr="00F1660D">
        <w:rPr>
          <w:lang w:val="fr-FR"/>
        </w:rPr>
        <w:t xml:space="preserve">de facilitation </w:t>
      </w:r>
      <w:r w:rsidRPr="00F1660D">
        <w:rPr>
          <w:lang w:val="fr-FR"/>
        </w:rPr>
        <w:t>global et transversal pour</w:t>
      </w:r>
      <w:r w:rsidR="00A50629" w:rsidRPr="00F1660D">
        <w:rPr>
          <w:lang w:val="fr-FR"/>
        </w:rPr>
        <w:t xml:space="preserve"> la </w:t>
      </w:r>
      <w:r w:rsidRPr="00F1660D">
        <w:rPr>
          <w:lang w:val="fr-FR"/>
        </w:rPr>
        <w:t>gestion internationale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au-delà de 2020 et, dans l</w:t>
      </w:r>
      <w:r w:rsidR="00CE30FD" w:rsidRPr="00F1660D">
        <w:rPr>
          <w:lang w:val="fr-FR"/>
        </w:rPr>
        <w:t>’</w:t>
      </w:r>
      <w:r w:rsidRPr="00F1660D">
        <w:rPr>
          <w:lang w:val="fr-FR"/>
        </w:rPr>
        <w:t>affirmative, à quelles lacunes il pourrait remédier.</w:t>
      </w:r>
    </w:p>
    <w:p w14:paraId="2F8C5FA3" w14:textId="695355D0" w:rsidR="00B44E83" w:rsidRPr="00F1660D" w:rsidRDefault="00B44E83" w:rsidP="00B44E83">
      <w:pPr>
        <w:pStyle w:val="Normalnumber"/>
        <w:tabs>
          <w:tab w:val="clear" w:pos="567"/>
          <w:tab w:val="num" w:pos="624"/>
        </w:tabs>
        <w:rPr>
          <w:szCs w:val="25"/>
          <w:lang w:val="fr-FR"/>
        </w:rPr>
      </w:pPr>
      <w:bookmarkStart w:id="2" w:name="_DV_C134"/>
      <w:r w:rsidRPr="00F1660D">
        <w:rPr>
          <w:lang w:val="fr-FR" w:eastAsia="ja-JP"/>
        </w:rPr>
        <w:t>Le</w:t>
      </w:r>
      <w:r w:rsidRPr="00F1660D">
        <w:rPr>
          <w:rStyle w:val="DeltaViewInsertion"/>
          <w:color w:val="auto"/>
          <w:szCs w:val="25"/>
          <w:u w:val="none"/>
          <w:lang w:val="fr-FR"/>
        </w:rPr>
        <w:t xml:space="preserve"> coprésident du groupe de contact a ensuite présenté</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recommandations du groupe concernant l’Approche stratégique et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au-delà de 2020. Ces recommandations sont reproduites dans l’annexe I</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présent rapport, sans avoir été revues par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services d’édition. Notant que certaines d’entre elles appelaient une suite du secrétariat,</w:t>
      </w:r>
      <w:r w:rsidR="00A50629" w:rsidRPr="00F1660D">
        <w:rPr>
          <w:rStyle w:val="DeltaViewInsertion"/>
          <w:color w:val="auto"/>
          <w:szCs w:val="25"/>
          <w:u w:val="none"/>
          <w:lang w:val="fr-FR"/>
        </w:rPr>
        <w:t xml:space="preserve"> l</w:t>
      </w:r>
      <w:r w:rsidR="00DE40AD" w:rsidRPr="00F1660D">
        <w:rPr>
          <w:rStyle w:val="DeltaViewInsertion"/>
          <w:color w:val="auto"/>
          <w:szCs w:val="25"/>
          <w:u w:val="none"/>
          <w:lang w:val="fr-FR"/>
        </w:rPr>
        <w:t>a</w:t>
      </w:r>
      <w:r w:rsidR="00A50629" w:rsidRPr="00F1660D">
        <w:rPr>
          <w:rStyle w:val="DeltaViewInsertion"/>
          <w:color w:val="auto"/>
          <w:szCs w:val="25"/>
          <w:u w:val="none"/>
          <w:lang w:val="fr-FR"/>
        </w:rPr>
        <w:t> </w:t>
      </w:r>
      <w:r w:rsidRPr="00F1660D">
        <w:rPr>
          <w:rStyle w:val="DeltaViewInsertion"/>
          <w:color w:val="auto"/>
          <w:szCs w:val="25"/>
          <w:u w:val="none"/>
          <w:lang w:val="fr-FR"/>
        </w:rPr>
        <w:t>Président</w:t>
      </w:r>
      <w:r w:rsidR="00DE40AD" w:rsidRPr="00F1660D">
        <w:rPr>
          <w:rStyle w:val="DeltaViewInsertion"/>
          <w:color w:val="auto"/>
          <w:szCs w:val="25"/>
          <w:u w:val="none"/>
          <w:lang w:val="fr-FR"/>
        </w:rPr>
        <w:t>e</w:t>
      </w:r>
      <w:r w:rsidRPr="00F1660D">
        <w:rPr>
          <w:rStyle w:val="DeltaViewInsertion"/>
          <w:color w:val="auto"/>
          <w:szCs w:val="25"/>
          <w:u w:val="none"/>
          <w:lang w:val="fr-FR"/>
        </w:rPr>
        <w:t xml:space="preserve"> a demandé aux parties prenantes de soumettre</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contributions pertinentes à ce dernier avant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15 mai 2019 pour qu’il puisse préparer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documentation demandée. Un compte rendu</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délibérations du groupe de contact serait soumis</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processus intersessions à sa troisième réunion, pour examen. Lors de cette réunion, l’accent serait mis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domaines d’activité du cadre qui restaient à compléter. Lors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quatrième réunion</w:t>
      </w:r>
      <w:r w:rsidR="00DE40AD" w:rsidRPr="00F1660D">
        <w:rPr>
          <w:rStyle w:val="DeltaViewInsertion"/>
          <w:color w:val="auto"/>
          <w:szCs w:val="25"/>
          <w:u w:val="none"/>
          <w:lang w:val="fr-FR"/>
        </w:rPr>
        <w:t xml:space="preserve"> du processus intersessions</w:t>
      </w:r>
      <w:r w:rsidRPr="00F1660D">
        <w:rPr>
          <w:rStyle w:val="DeltaViewInsertion"/>
          <w:color w:val="auto"/>
          <w:szCs w:val="25"/>
          <w:u w:val="none"/>
          <w:lang w:val="fr-FR"/>
        </w:rPr>
        <w: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document serait finalisé en vue d’être transmis à</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Conférence internationale sur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à sa cinquième session pour examen et adoption éventuelle.</w:t>
      </w:r>
      <w:bookmarkStart w:id="3" w:name="_DV_C136"/>
      <w:bookmarkEnd w:id="2"/>
    </w:p>
    <w:p w14:paraId="373DBCCB" w14:textId="786D4254" w:rsidR="00B44E83" w:rsidRPr="00F1660D" w:rsidRDefault="00B44E83" w:rsidP="00B44E83">
      <w:pPr>
        <w:pStyle w:val="Normalnumber"/>
        <w:tabs>
          <w:tab w:val="num" w:pos="624"/>
        </w:tabs>
        <w:rPr>
          <w:szCs w:val="25"/>
          <w:lang w:val="fr-FR"/>
        </w:rPr>
      </w:pPr>
      <w:bookmarkStart w:id="4" w:name="_DV_C137"/>
      <w:bookmarkEnd w:id="3"/>
      <w:r w:rsidRPr="00F1660D">
        <w:rPr>
          <w:rStyle w:val="DeltaViewInsertion"/>
          <w:color w:val="auto"/>
          <w:szCs w:val="25"/>
          <w:u w:val="none"/>
          <w:lang w:val="fr-FR"/>
        </w:rPr>
        <w:t xml:space="preserve">Le </w:t>
      </w:r>
      <w:proofErr w:type="spellStart"/>
      <w:r w:rsidRPr="00F1660D">
        <w:rPr>
          <w:rStyle w:val="DeltaViewInsertion"/>
          <w:color w:val="auto"/>
          <w:szCs w:val="25"/>
          <w:u w:val="none"/>
          <w:lang w:val="fr-FR"/>
        </w:rPr>
        <w:t>cofacilitateur</w:t>
      </w:r>
      <w:proofErr w:type="spellEnd"/>
      <w:r w:rsidRPr="00F1660D">
        <w:rPr>
          <w:rStyle w:val="DeltaViewInsertion"/>
          <w:color w:val="auto"/>
          <w:szCs w:val="25"/>
          <w:u w:val="none"/>
          <w:lang w:val="fr-FR"/>
        </w:rPr>
        <w:t xml:space="preserve"> du groupe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amis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Présidente a présenté</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compte rendu</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discussions informelles sur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 xml:space="preserve">nécessité de disposer d’un cadre </w:t>
      </w:r>
      <w:r w:rsidR="001A790F" w:rsidRPr="00F1660D">
        <w:rPr>
          <w:rStyle w:val="DeltaViewInsertion"/>
          <w:color w:val="auto"/>
          <w:szCs w:val="25"/>
          <w:u w:val="none"/>
          <w:lang w:val="fr-FR"/>
        </w:rPr>
        <w:t>de facilitation</w:t>
      </w:r>
      <w:r w:rsidR="00DF65BA" w:rsidRPr="00F1660D">
        <w:rPr>
          <w:rStyle w:val="DeltaViewInsertion"/>
          <w:color w:val="auto"/>
          <w:szCs w:val="25"/>
          <w:u w:val="none"/>
          <w:lang w:val="fr-FR"/>
        </w:rPr>
        <w:t xml:space="preserve"> </w:t>
      </w:r>
      <w:r w:rsidRPr="00F1660D">
        <w:rPr>
          <w:rStyle w:val="DeltaViewInsertion"/>
          <w:color w:val="auto"/>
          <w:szCs w:val="25"/>
          <w:u w:val="none"/>
          <w:lang w:val="fr-FR"/>
        </w:rPr>
        <w:t>transversal et global pour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niveau international après 2020 et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lacunes qu’il pourrait combler. Il a indiqué que</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groupe avait tout d’abord identifié</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lacunes du cadre actuel, puis qu’il s’était penché sur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 xml:space="preserve">nécessité de disposer d’un nouveau cadre </w:t>
      </w:r>
      <w:r w:rsidR="001A790F" w:rsidRPr="00F1660D">
        <w:rPr>
          <w:rStyle w:val="DeltaViewInsertion"/>
          <w:color w:val="auto"/>
          <w:szCs w:val="25"/>
          <w:u w:val="none"/>
          <w:lang w:val="fr-FR"/>
        </w:rPr>
        <w:t>de facilitation</w:t>
      </w:r>
      <w:r w:rsidRPr="00F1660D">
        <w:rPr>
          <w:rStyle w:val="DeltaViewInsertion"/>
          <w:color w:val="auto"/>
          <w:szCs w:val="25"/>
          <w:u w:val="none"/>
          <w:lang w:val="fr-FR"/>
        </w:rPr>
        <w:t>, et qu’il avait terminé en échangeant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idées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arrangements et processus institutionnels qui pourraient être adoptés. Il a précisé que</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compte rendu</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discussions reflétait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vues</w:t>
      </w:r>
      <w:r w:rsidR="00A50629" w:rsidRPr="00F1660D">
        <w:rPr>
          <w:rStyle w:val="DeltaViewInsertion"/>
          <w:color w:val="auto"/>
          <w:szCs w:val="25"/>
          <w:u w:val="none"/>
          <w:lang w:val="fr-FR"/>
        </w:rPr>
        <w:t xml:space="preserve"> des </w:t>
      </w:r>
      <w:proofErr w:type="spellStart"/>
      <w:r w:rsidRPr="00F1660D">
        <w:rPr>
          <w:rStyle w:val="DeltaViewInsertion"/>
          <w:color w:val="auto"/>
          <w:szCs w:val="25"/>
          <w:u w:val="none"/>
          <w:lang w:val="fr-FR"/>
        </w:rPr>
        <w:t>cofacilitateurs</w:t>
      </w:r>
      <w:proofErr w:type="spellEnd"/>
      <w:r w:rsidRPr="00F1660D">
        <w:rPr>
          <w:rStyle w:val="DeltaViewInsertion"/>
          <w:color w:val="auto"/>
          <w:szCs w:val="25"/>
          <w:u w:val="none"/>
          <w:lang w:val="fr-FR"/>
        </w:rPr>
        <w:t xml:space="preserve">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principaux points et qu’il n’avait pas été négocié ni convenu officiellement par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 xml:space="preserve">groupe. </w:t>
      </w:r>
      <w:bookmarkStart w:id="5" w:name="_DV_C138"/>
      <w:bookmarkEnd w:id="4"/>
    </w:p>
    <w:p w14:paraId="568083A6" w14:textId="11214596" w:rsidR="00B44E83" w:rsidRPr="00F1660D" w:rsidRDefault="00B44E83" w:rsidP="00B44E83">
      <w:pPr>
        <w:pStyle w:val="Normalnumber"/>
        <w:tabs>
          <w:tab w:val="num" w:pos="624"/>
        </w:tabs>
        <w:rPr>
          <w:szCs w:val="25"/>
          <w:lang w:val="fr-FR"/>
        </w:rPr>
      </w:pPr>
      <w:bookmarkStart w:id="6" w:name="_DV_C139"/>
      <w:bookmarkEnd w:id="5"/>
      <w:r w:rsidRPr="00F1660D">
        <w:rPr>
          <w:rStyle w:val="DeltaViewInsertion"/>
          <w:color w:val="auto"/>
          <w:szCs w:val="25"/>
          <w:u w:val="none"/>
          <w:lang w:val="fr-FR"/>
        </w:rPr>
        <w:t>Durant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premier échange de vues, certains représentants avaient suggéré que l’Approche stratégique soit élargie pour combler d’éventuelles lacunes, tandis que d’autres, soulignant l’impossibilité d’atteindre l’objectif d’une 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d’ici 2020, avaient exprimé leur intérêt pour</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processus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arrangements institutionnels supplémentaires qui pourraient améliorer l’actuel cadre international.</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questions soulevées pendant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discussion concernaient :</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manque de sensibilisation du public, de volonté politique et de visibilité du programme pour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dispersion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mesures prises pour assurer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w:t>
      </w:r>
      <w:r w:rsidR="001A790F" w:rsidRPr="00F1660D">
        <w:rPr>
          <w:rStyle w:val="DeltaViewInsertion"/>
          <w:color w:val="auto"/>
          <w:szCs w:val="25"/>
          <w:u w:val="none"/>
          <w:lang w:val="fr-FR"/>
        </w:rPr>
        <w:t xml:space="preserve"> et les</w:t>
      </w:r>
      <w:r w:rsidR="00A50629" w:rsidRPr="00F1660D">
        <w:rPr>
          <w:rStyle w:val="DeltaViewInsertion"/>
          <w:color w:val="auto"/>
          <w:szCs w:val="25"/>
          <w:u w:val="none"/>
          <w:lang w:val="fr-FR"/>
        </w:rPr>
        <w:t> </w:t>
      </w:r>
      <w:r w:rsidRPr="00F1660D">
        <w:rPr>
          <w:rStyle w:val="DeltaViewInsertion"/>
          <w:color w:val="auto"/>
          <w:szCs w:val="25"/>
          <w:u w:val="none"/>
          <w:lang w:val="fr-FR"/>
        </w:rPr>
        <w:t>obstacles internes à</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 xml:space="preserve">coopération </w:t>
      </w:r>
      <w:proofErr w:type="spellStart"/>
      <w:r w:rsidRPr="00F1660D">
        <w:rPr>
          <w:rStyle w:val="DeltaViewInsertion"/>
          <w:color w:val="auto"/>
          <w:szCs w:val="25"/>
          <w:u w:val="none"/>
          <w:lang w:val="fr-FR"/>
        </w:rPr>
        <w:t>interorganisations</w:t>
      </w:r>
      <w:proofErr w:type="spellEnd"/>
      <w:r w:rsidR="001A790F" w:rsidRPr="00F1660D">
        <w:rPr>
          <w:rStyle w:val="DeltaViewInsertion"/>
          <w:color w:val="auto"/>
          <w:szCs w:val="25"/>
          <w:u w:val="none"/>
          <w:lang w:val="fr-FR"/>
        </w:rPr>
        <w:t>, y compris les obstacles financiers</w:t>
      </w:r>
      <w:r w:rsidRPr="00F1660D">
        <w:rPr>
          <w:rStyle w:val="DeltaViewInsertion"/>
          <w:color w:val="auto"/>
          <w:szCs w:val="25"/>
          <w:u w:val="none"/>
          <w:lang w:val="fr-FR"/>
        </w:rPr>
        <w:t xml:space="preserve"> ; l’absence d’objectifs communs et d’une approche partagée pour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planification stratégique, l’établissement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rapports et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suivi</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progrès ;</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manque ou l’insuffisance de mesures pour traiter efficacement de certaines questions telles que</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approches reposant sur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cycle de vie,</w:t>
      </w:r>
      <w:r w:rsidR="00A50629" w:rsidRPr="00F1660D">
        <w:rPr>
          <w:rStyle w:val="DeltaViewInsertion"/>
          <w:color w:val="auto"/>
          <w:szCs w:val="25"/>
          <w:u w:val="none"/>
          <w:lang w:val="fr-FR"/>
        </w:rPr>
        <w:t xml:space="preserve"> y </w:t>
      </w:r>
      <w:r w:rsidRPr="00F1660D">
        <w:rPr>
          <w:rStyle w:val="DeltaViewInsertion"/>
          <w:color w:val="auto"/>
          <w:szCs w:val="25"/>
          <w:u w:val="none"/>
          <w:lang w:val="fr-FR"/>
        </w:rPr>
        <w:t>compris pour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déchets et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pesticides hautement dangereux ;</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désengagement et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manque d’adhésion de certaines organisations et parties prenantes ; une mobilisation insuffisante de ressources à tous</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niveaux et</w:t>
      </w:r>
      <w:r w:rsidR="001A790F" w:rsidRPr="00F1660D">
        <w:rPr>
          <w:rStyle w:val="DeltaViewInsertion"/>
          <w:color w:val="auto"/>
          <w:szCs w:val="25"/>
          <w:u w:val="none"/>
          <w:lang w:val="fr-FR"/>
        </w:rPr>
        <w:t xml:space="preserve">  </w:t>
      </w:r>
      <w:r w:rsidRPr="00F1660D">
        <w:rPr>
          <w:rStyle w:val="DeltaViewInsertion"/>
          <w:color w:val="auto"/>
          <w:szCs w:val="25"/>
          <w:u w:val="none"/>
          <w:lang w:val="fr-FR"/>
        </w:rPr>
        <w:t>l’échec</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efforts visant à obtenir une participation significative du secteur privé dans toute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chaîne de valeurs ou dans</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financement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 et l’absence d’une planification qui permettrait de suivre</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rythme de l’expansion et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complexité croissante d</w:t>
      </w:r>
      <w:r w:rsidR="001A790F" w:rsidRPr="00F1660D">
        <w:rPr>
          <w:rStyle w:val="DeltaViewInsertion"/>
          <w:color w:val="auto"/>
          <w:szCs w:val="25"/>
          <w:u w:val="none"/>
          <w:lang w:val="fr-FR"/>
        </w:rPr>
        <w:t xml:space="preserve">es </w:t>
      </w:r>
      <w:r w:rsidRPr="00F1660D">
        <w:rPr>
          <w:rStyle w:val="DeltaViewInsertion"/>
          <w:color w:val="auto"/>
          <w:szCs w:val="25"/>
          <w:u w:val="none"/>
          <w:lang w:val="fr-FR"/>
        </w:rPr>
        <w:t>secteur</w:t>
      </w:r>
      <w:r w:rsidR="001A790F" w:rsidRPr="00F1660D">
        <w:rPr>
          <w:rStyle w:val="DeltaViewInsertion"/>
          <w:color w:val="auto"/>
          <w:szCs w:val="25"/>
          <w:u w:val="none"/>
          <w:lang w:val="fr-FR"/>
        </w:rPr>
        <w:t>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 xml:space="preserve">déchets. </w:t>
      </w:r>
      <w:bookmarkStart w:id="7" w:name="_DV_C140"/>
      <w:bookmarkEnd w:id="6"/>
    </w:p>
    <w:p w14:paraId="1B475139" w14:textId="7C6AFED3" w:rsidR="00B44E83" w:rsidRPr="00F1660D" w:rsidRDefault="00B44E83" w:rsidP="00B44E83">
      <w:pPr>
        <w:pStyle w:val="Normalnumber"/>
        <w:tabs>
          <w:tab w:val="num" w:pos="624"/>
        </w:tabs>
        <w:rPr>
          <w:szCs w:val="25"/>
          <w:lang w:val="fr-FR"/>
        </w:rPr>
      </w:pPr>
      <w:bookmarkStart w:id="8" w:name="_DV_C141"/>
      <w:bookmarkEnd w:id="7"/>
      <w:r w:rsidRPr="00F1660D">
        <w:rPr>
          <w:rStyle w:val="DeltaViewInsertion"/>
          <w:color w:val="auto"/>
          <w:szCs w:val="25"/>
          <w:u w:val="none"/>
          <w:lang w:val="fr-FR"/>
        </w:rPr>
        <w:t>S’agissant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nécessité de disposer d’un cadre de facilitation transversal et global pour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écologiquement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au-delà de 2020</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niveau international,</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vues divergeaient quant à</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capacité de l’Approche stratégique de combler seule toutes</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lacunes. Selon certains représentants,</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cadre de facilitation amélioré pourrait s’appuyer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travaux</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titre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instruments et organisations existants, tout en respectant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 xml:space="preserve">mandats et l’autonomie de ces entités. </w:t>
      </w:r>
      <w:bookmarkStart w:id="9" w:name="_DV_C142"/>
      <w:bookmarkEnd w:id="8"/>
    </w:p>
    <w:p w14:paraId="1A03A9FD" w14:textId="14CDDCCE" w:rsidR="00B44E83" w:rsidRPr="00F1660D" w:rsidRDefault="00B44E83" w:rsidP="00B44E83">
      <w:pPr>
        <w:pStyle w:val="Normalnumber"/>
        <w:tabs>
          <w:tab w:val="num" w:pos="624"/>
        </w:tabs>
        <w:rPr>
          <w:szCs w:val="25"/>
          <w:lang w:val="fr-FR"/>
        </w:rPr>
      </w:pPr>
      <w:bookmarkStart w:id="10" w:name="_DV_C143"/>
      <w:bookmarkEnd w:id="9"/>
      <w:r w:rsidRPr="00F1660D">
        <w:rPr>
          <w:rStyle w:val="DeltaViewInsertion"/>
          <w:color w:val="auto"/>
          <w:szCs w:val="25"/>
          <w:u w:val="none"/>
          <w:lang w:val="fr-FR"/>
        </w:rPr>
        <w:t>Quant aux questions qui pourraient être abordées dans un cadre de facilitation amélioré,</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sujets suivants ont été proposés : renforcer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prise de conscience et l’engagement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responsables de haut niveau en faveur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afin d’encourager l’action aux niveaux multilatéral, régional et national ; définir une vision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objectifs stratégiques communs pour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qui seraient alignés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objectifs et cibles du Programme de développement durable à l’horizon 2030 ; éviter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doubles emplois et favoriser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complémentarité et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cohérence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politiques et mesures prises,</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planification stratégique et une répartition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tâches convenue d’un commun accord, conformément aux mandats respectifs, afin de promouvoir une meilleure utilisation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ressources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compétences de chaque organisation ; supprimer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obstacles internes qui s’opposent à</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coopération et à</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coordination avec d’autres organisations et l’adoption d’objectifs de référence pour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dans</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cadre du mandat de chacune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 xml:space="preserve">organisations </w:t>
      </w:r>
      <w:r w:rsidR="0066684F" w:rsidRPr="00F1660D">
        <w:rPr>
          <w:rStyle w:val="DeltaViewInsertion"/>
          <w:color w:val="auto"/>
          <w:szCs w:val="25"/>
          <w:u w:val="none"/>
          <w:lang w:val="fr-FR"/>
        </w:rPr>
        <w:t xml:space="preserve">participant au Programme </w:t>
      </w:r>
      <w:proofErr w:type="spellStart"/>
      <w:r w:rsidR="0066684F" w:rsidRPr="00F1660D">
        <w:rPr>
          <w:rStyle w:val="DeltaViewInsertion"/>
          <w:color w:val="auto"/>
          <w:szCs w:val="25"/>
          <w:u w:val="none"/>
          <w:lang w:val="fr-FR"/>
        </w:rPr>
        <w:t>interorganisations</w:t>
      </w:r>
      <w:proofErr w:type="spellEnd"/>
      <w:r w:rsidR="0066684F" w:rsidRPr="00F1660D">
        <w:rPr>
          <w:rStyle w:val="DeltaViewInsertion"/>
          <w:color w:val="auto"/>
          <w:szCs w:val="25"/>
          <w:u w:val="none"/>
          <w:lang w:val="fr-FR"/>
        </w:rPr>
        <w:t xml:space="preserve"> pour la gestion rationnelle des produits chimiques</w:t>
      </w:r>
      <w:r w:rsidRPr="00F1660D">
        <w:rPr>
          <w:rStyle w:val="DeltaViewInsertion"/>
          <w:color w:val="auto"/>
          <w:szCs w:val="25"/>
          <w:u w:val="none"/>
          <w:lang w:val="fr-FR"/>
        </w:rPr>
        <w:t> ; aborder de front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questions de dimension mondiale,</w:t>
      </w:r>
      <w:r w:rsidR="00A50629" w:rsidRPr="00F1660D">
        <w:rPr>
          <w:rStyle w:val="DeltaViewInsertion"/>
          <w:color w:val="auto"/>
          <w:szCs w:val="25"/>
          <w:u w:val="none"/>
          <w:lang w:val="fr-FR"/>
        </w:rPr>
        <w:t xml:space="preserve"> y </w:t>
      </w:r>
      <w:r w:rsidRPr="00F1660D">
        <w:rPr>
          <w:rStyle w:val="DeltaViewInsertion"/>
          <w:color w:val="auto"/>
          <w:szCs w:val="25"/>
          <w:u w:val="none"/>
          <w:lang w:val="fr-FR"/>
        </w:rPr>
        <w:t>compris pour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groupes vulnérables, et renforcer l’utilisation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science pour éclairer l’action politique ; mobiliser à tous</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niveaux</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ressources suffisantes à l’appui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en mettant pleinement en œuvre une approche intégrée du financement ; un examen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nécessité d’adopter</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instruments juridiquement contraignants ainsi que l’établissement possible de normes et de codes de conduite ; favoriser l’engagement du secteur privé,</w:t>
      </w:r>
      <w:r w:rsidR="00A50629" w:rsidRPr="00F1660D">
        <w:rPr>
          <w:rStyle w:val="DeltaViewInsertion"/>
          <w:color w:val="auto"/>
          <w:szCs w:val="25"/>
          <w:u w:val="none"/>
          <w:lang w:val="fr-FR"/>
        </w:rPr>
        <w:t xml:space="preserve"> y </w:t>
      </w:r>
      <w:r w:rsidRPr="00F1660D">
        <w:rPr>
          <w:rStyle w:val="DeltaViewInsertion"/>
          <w:color w:val="auto"/>
          <w:szCs w:val="25"/>
          <w:u w:val="none"/>
          <w:lang w:val="fr-FR"/>
        </w:rPr>
        <w:t>compris en appliquant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principe pollueur-payeur et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principe de responsabilité élargie du producteur ; promouvoir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développement et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partage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connaissances,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données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meilleures pratiques ; faciliter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communication et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suivi</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progrès sur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globalement et</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niveau intersectoriel ; et remédier</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manque de responsabilisation en prenant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mesures efficaces.</w:t>
      </w:r>
      <w:bookmarkStart w:id="11" w:name="_DV_C144"/>
      <w:bookmarkEnd w:id="10"/>
    </w:p>
    <w:p w14:paraId="199CFDD1" w14:textId="2C2D1896" w:rsidR="00B44E83" w:rsidRPr="00F1660D" w:rsidRDefault="00B44E83" w:rsidP="00B44E83">
      <w:pPr>
        <w:pStyle w:val="Normalnumber"/>
        <w:tabs>
          <w:tab w:val="num" w:pos="624"/>
        </w:tabs>
        <w:rPr>
          <w:szCs w:val="25"/>
          <w:lang w:val="fr-FR"/>
        </w:rPr>
      </w:pPr>
      <w:bookmarkStart w:id="12" w:name="_DV_C145"/>
      <w:bookmarkEnd w:id="11"/>
      <w:r w:rsidRPr="00F1660D">
        <w:rPr>
          <w:rStyle w:val="DeltaViewInsertion"/>
          <w:color w:val="auto"/>
          <w:szCs w:val="25"/>
          <w:u w:val="none"/>
          <w:lang w:val="fr-FR"/>
        </w:rPr>
        <w:t>En outre, certains représentants ont dit souhaiter envisager une résolution multilatérale de haut niveau qui serait soumise à l’Assemblée générale</w:t>
      </w:r>
      <w:r w:rsidR="00A50629" w:rsidRPr="00F1660D">
        <w:rPr>
          <w:rStyle w:val="DeltaViewInsertion"/>
          <w:color w:val="auto"/>
          <w:szCs w:val="25"/>
          <w:u w:val="none"/>
          <w:lang w:val="fr-FR"/>
        </w:rPr>
        <w:t xml:space="preserve"> des </w:t>
      </w:r>
      <w:r w:rsidR="002C67A2" w:rsidRPr="00F1660D">
        <w:rPr>
          <w:rStyle w:val="DeltaViewInsertion"/>
          <w:color w:val="auto"/>
          <w:szCs w:val="25"/>
          <w:u w:val="none"/>
          <w:lang w:val="fr-FR"/>
        </w:rPr>
        <w:t>Nations Unies</w:t>
      </w:r>
      <w:r w:rsidRPr="00F1660D">
        <w:rPr>
          <w:rStyle w:val="DeltaViewInsertion"/>
          <w:color w:val="auto"/>
          <w:szCs w:val="25"/>
          <w:u w:val="none"/>
          <w:lang w:val="fr-FR"/>
        </w:rPr>
        <w:t xml:space="preserve"> pour examen et qui pourrait être élaborée comme suite à une déclaration de haut niveau sur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en tant que texte final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cinquième session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Conférence internationale sur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ou d’une conférence ministérielle multisectorielle ou encore d’un espace gouvernemental multilatéral pour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mise en œuvre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 et une plateforme ou un comité global qui favoriserait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complémentarité de l’action engagée par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organisations multilatérales, qui pourrait être une</w:t>
      </w:r>
      <w:r w:rsidR="002C67A2" w:rsidRPr="00F1660D">
        <w:rPr>
          <w:rStyle w:val="DeltaViewInsertion"/>
          <w:color w:val="auto"/>
          <w:szCs w:val="25"/>
          <w:u w:val="none"/>
          <w:lang w:val="fr-FR"/>
        </w:rPr>
        <w:t> </w:t>
      </w:r>
      <w:r w:rsidRPr="00F1660D">
        <w:rPr>
          <w:rStyle w:val="DeltaViewInsertion"/>
          <w:color w:val="auto"/>
          <w:szCs w:val="25"/>
          <w:u w:val="none"/>
          <w:lang w:val="fr-FR"/>
        </w:rPr>
        <w:t>composante de l’Approche stratégique.</w:t>
      </w:r>
      <w:bookmarkStart w:id="13" w:name="_DV_C146"/>
      <w:bookmarkEnd w:id="12"/>
    </w:p>
    <w:bookmarkEnd w:id="13"/>
    <w:p w14:paraId="4404E232" w14:textId="4B925F82" w:rsidR="00452691" w:rsidRPr="00F1660D" w:rsidRDefault="00B44E83" w:rsidP="00B44E83">
      <w:pPr>
        <w:pStyle w:val="Normalnumber"/>
        <w:rPr>
          <w:lang w:val="fr-FR"/>
        </w:rPr>
      </w:pPr>
      <w:r w:rsidRPr="00F1660D">
        <w:rPr>
          <w:rStyle w:val="DeltaViewInsertion"/>
          <w:color w:val="auto"/>
          <w:szCs w:val="25"/>
          <w:u w:val="none"/>
          <w:lang w:val="fr-FR"/>
        </w:rPr>
        <w:t>La Présidente a conclu cet exposé en indiquant que</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propositions du groupe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amis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Présidente pourraient venir s’ajouter</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résultat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délibérations du groupe de contact pour éclairer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travaux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troisième réunion du processus intersessions. Il importait de laisser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champ ouvert à</w:t>
      </w:r>
      <w:r w:rsidR="002C67A2" w:rsidRPr="00F1660D">
        <w:rPr>
          <w:rStyle w:val="DeltaViewInsertion"/>
          <w:color w:val="auto"/>
          <w:szCs w:val="25"/>
          <w:u w:val="none"/>
          <w:lang w:val="fr-FR"/>
        </w:rPr>
        <w:t> </w:t>
      </w:r>
      <w:r w:rsidRPr="00F1660D">
        <w:rPr>
          <w:rStyle w:val="DeltaViewInsertion"/>
          <w:color w:val="auto"/>
          <w:szCs w:val="25"/>
          <w:u w:val="none"/>
          <w:lang w:val="fr-FR"/>
        </w:rPr>
        <w:t>tou</w:t>
      </w:r>
      <w:r w:rsidR="006D3112" w:rsidRPr="00F1660D">
        <w:rPr>
          <w:rStyle w:val="DeltaViewInsertion"/>
          <w:color w:val="auto"/>
          <w:szCs w:val="25"/>
          <w:u w:val="none"/>
          <w:lang w:val="fr-FR"/>
        </w:rPr>
        <w:t>te</w:t>
      </w:r>
      <w:r w:rsidRPr="00F1660D">
        <w:rPr>
          <w:rStyle w:val="DeltaViewInsertion"/>
          <w:color w:val="auto"/>
          <w:szCs w:val="25"/>
          <w:u w:val="none"/>
          <w:lang w:val="fr-FR"/>
        </w:rPr>
        <w:t>s</w:t>
      </w:r>
      <w:r w:rsidR="00A50629" w:rsidRPr="00F1660D">
        <w:rPr>
          <w:rStyle w:val="DeltaViewInsertion"/>
          <w:color w:val="auto"/>
          <w:szCs w:val="25"/>
          <w:u w:val="none"/>
          <w:lang w:val="fr-FR"/>
        </w:rPr>
        <w:t xml:space="preserve"> les </w:t>
      </w:r>
      <w:r w:rsidR="00266346" w:rsidRPr="00F1660D">
        <w:rPr>
          <w:rStyle w:val="DeltaViewInsertion"/>
          <w:color w:val="auto"/>
          <w:szCs w:val="25"/>
          <w:u w:val="none"/>
          <w:lang w:val="fr-FR"/>
        </w:rPr>
        <w:t xml:space="preserve">options </w:t>
      </w:r>
      <w:r w:rsidRPr="00F1660D">
        <w:rPr>
          <w:rStyle w:val="DeltaViewInsertion"/>
          <w:color w:val="auto"/>
          <w:szCs w:val="25"/>
          <w:u w:val="none"/>
          <w:lang w:val="fr-FR"/>
        </w:rPr>
        <w:t>possibles et de faire preuve de créativité et d’imagination pour parvenir à combler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lacunes et proposer</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solutions.</w:t>
      </w:r>
    </w:p>
    <w:p w14:paraId="14AA8FD8" w14:textId="36AAD68A" w:rsidR="00452691" w:rsidRPr="00F1660D" w:rsidRDefault="00452691" w:rsidP="00733A1C">
      <w:pPr>
        <w:pStyle w:val="CH4"/>
        <w:rPr>
          <w:lang w:val="fr-FR"/>
        </w:rPr>
      </w:pPr>
      <w:r w:rsidRPr="00F1660D">
        <w:rPr>
          <w:lang w:val="fr-FR"/>
        </w:rPr>
        <w:tab/>
        <w:t>2.</w:t>
      </w:r>
      <w:r w:rsidRPr="00F1660D">
        <w:rPr>
          <w:lang w:val="fr-FR"/>
        </w:rPr>
        <w:tab/>
        <w:t>Calendrier du processus intersessions d</w:t>
      </w:r>
      <w:r w:rsidR="00CE30FD" w:rsidRPr="00F1660D">
        <w:rPr>
          <w:lang w:val="fr-FR"/>
        </w:rPr>
        <w:t>’</w:t>
      </w:r>
      <w:r w:rsidRPr="00F1660D">
        <w:rPr>
          <w:lang w:val="fr-FR"/>
        </w:rPr>
        <w:t>examen de l</w:t>
      </w:r>
      <w:r w:rsidR="00CE30FD" w:rsidRPr="00F1660D">
        <w:rPr>
          <w:lang w:val="fr-FR"/>
        </w:rPr>
        <w:t>’</w:t>
      </w:r>
      <w:r w:rsidRPr="00F1660D">
        <w:rPr>
          <w:lang w:val="fr-FR"/>
        </w:rPr>
        <w:t>Approche stratégique et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au-delà de 2020</w:t>
      </w:r>
    </w:p>
    <w:p w14:paraId="135C639A" w14:textId="18EFAED5" w:rsidR="00B44E83" w:rsidRPr="00F1660D" w:rsidRDefault="002C67A2" w:rsidP="00B44E83">
      <w:pPr>
        <w:pStyle w:val="Normalnumber"/>
        <w:rPr>
          <w:szCs w:val="25"/>
          <w:lang w:val="fr-FR"/>
        </w:rPr>
      </w:pPr>
      <w:bookmarkStart w:id="14" w:name="_DV_C151"/>
      <w:r w:rsidRPr="00F1660D">
        <w:rPr>
          <w:rStyle w:val="DeltaViewInsertion"/>
          <w:color w:val="auto"/>
          <w:szCs w:val="25"/>
          <w:u w:val="none"/>
          <w:lang w:val="fr-FR"/>
        </w:rPr>
        <w:t>L</w:t>
      </w:r>
      <w:r w:rsidR="00B44E83" w:rsidRPr="00F1660D">
        <w:rPr>
          <w:rStyle w:val="DeltaViewInsertion"/>
          <w:color w:val="auto"/>
          <w:szCs w:val="25"/>
          <w:u w:val="none"/>
          <w:lang w:val="fr-FR"/>
        </w:rPr>
        <w:t>e Groupe de travail à composition non limitée était saisi d’une note du secrétariat sur</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préparation de</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cinquième session de</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Conférence</w:t>
      </w:r>
      <w:r w:rsidR="000D0373" w:rsidRPr="00F1660D">
        <w:rPr>
          <w:rStyle w:val="DeltaViewInsertion"/>
          <w:color w:val="auto"/>
          <w:szCs w:val="25"/>
          <w:u w:val="none"/>
          <w:lang w:val="fr-FR"/>
        </w:rPr>
        <w:t xml:space="preserve"> internationale sur la gestion des produits chimiques </w:t>
      </w:r>
      <w:r w:rsidR="00B44E83" w:rsidRPr="00F1660D">
        <w:rPr>
          <w:rStyle w:val="DeltaViewInsertion"/>
          <w:color w:val="auto"/>
          <w:szCs w:val="25"/>
          <w:u w:val="none"/>
          <w:lang w:val="fr-FR"/>
        </w:rPr>
        <w:t>(SAICM/OEWG.3/INF/14). La Présidente a rappelé que</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troisième réunion du processus intersessions se tiendrait à Bangkok du 30 septembre</w:t>
      </w:r>
      <w:r w:rsidR="00A50629" w:rsidRPr="00F1660D">
        <w:rPr>
          <w:rStyle w:val="DeltaViewInsertion"/>
          <w:color w:val="auto"/>
          <w:szCs w:val="25"/>
          <w:u w:val="none"/>
          <w:lang w:val="fr-FR"/>
        </w:rPr>
        <w:t xml:space="preserve"> au </w:t>
      </w:r>
      <w:r w:rsidR="00B44E83" w:rsidRPr="00F1660D">
        <w:rPr>
          <w:rStyle w:val="DeltaViewInsertion"/>
          <w:color w:val="auto"/>
          <w:szCs w:val="25"/>
          <w:u w:val="none"/>
          <w:lang w:val="fr-FR"/>
        </w:rPr>
        <w:t>4 octobre 2019, à moins qu’un pays hôte ne se propose pour offrir un autre lieu de réunion, et sous réserve que, conformément à</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résolution IV/4 de</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Conférence,</w:t>
      </w:r>
      <w:r w:rsidR="00A50629" w:rsidRPr="00F1660D">
        <w:rPr>
          <w:rStyle w:val="DeltaViewInsertion"/>
          <w:color w:val="auto"/>
          <w:szCs w:val="25"/>
          <w:u w:val="none"/>
          <w:lang w:val="fr-FR"/>
        </w:rPr>
        <w:t xml:space="preserve"> le </w:t>
      </w:r>
      <w:r w:rsidR="00B44E83" w:rsidRPr="00F1660D">
        <w:rPr>
          <w:rStyle w:val="DeltaViewInsertion"/>
          <w:color w:val="auto"/>
          <w:szCs w:val="25"/>
          <w:u w:val="none"/>
          <w:lang w:val="fr-FR"/>
        </w:rPr>
        <w:t>Groupe de travail statue sur</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nécessité de convoquer une quatrième réunion du processus intersessions qui se tiendrait avant</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cinquième session de</w:t>
      </w:r>
      <w:r w:rsidR="00A50629" w:rsidRPr="00F1660D">
        <w:rPr>
          <w:rStyle w:val="DeltaViewInsertion"/>
          <w:color w:val="auto"/>
          <w:szCs w:val="25"/>
          <w:u w:val="none"/>
          <w:lang w:val="fr-FR"/>
        </w:rPr>
        <w:t xml:space="preserve"> la </w:t>
      </w:r>
      <w:r w:rsidR="00B44E83" w:rsidRPr="00F1660D">
        <w:rPr>
          <w:rStyle w:val="DeltaViewInsertion"/>
          <w:color w:val="auto"/>
          <w:szCs w:val="25"/>
          <w:u w:val="none"/>
          <w:lang w:val="fr-FR"/>
        </w:rPr>
        <w:t>Conférence.</w:t>
      </w:r>
      <w:bookmarkStart w:id="15" w:name="_DV_C153"/>
      <w:bookmarkEnd w:id="14"/>
    </w:p>
    <w:p w14:paraId="5A65B98D" w14:textId="03903AB0" w:rsidR="00B44E83" w:rsidRPr="00F1660D" w:rsidRDefault="00B44E83" w:rsidP="00B44E83">
      <w:pPr>
        <w:pStyle w:val="Normalnumber"/>
        <w:rPr>
          <w:szCs w:val="25"/>
          <w:lang w:val="fr-FR"/>
        </w:rPr>
      </w:pPr>
      <w:bookmarkStart w:id="16" w:name="_DV_C154"/>
      <w:bookmarkEnd w:id="15"/>
      <w:r w:rsidRPr="00F1660D">
        <w:rPr>
          <w:rStyle w:val="DeltaViewInsertion"/>
          <w:color w:val="auto"/>
          <w:szCs w:val="25"/>
          <w:u w:val="none"/>
          <w:lang w:val="fr-FR"/>
        </w:rPr>
        <w:t>Comme recommandé par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groupe de contact chargé,</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titre du point 3 b) i) de l’ordre du jour, de formuler</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recommandations concernant l’Approche stratégique et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rationnelle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chimiques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après 2020 et par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Bureau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Conférence à sa</w:t>
      </w:r>
      <w:r w:rsidR="002C67A2" w:rsidRPr="00F1660D">
        <w:rPr>
          <w:rStyle w:val="DeltaViewInsertion"/>
          <w:color w:val="auto"/>
          <w:szCs w:val="25"/>
          <w:u w:val="none"/>
          <w:lang w:val="fr-FR"/>
        </w:rPr>
        <w:t> </w:t>
      </w:r>
      <w:r w:rsidRPr="00F1660D">
        <w:rPr>
          <w:rStyle w:val="DeltaViewInsertion"/>
          <w:color w:val="auto"/>
          <w:szCs w:val="25"/>
          <w:u w:val="none"/>
          <w:lang w:val="fr-FR"/>
        </w:rPr>
        <w:t>cinquième</w:t>
      </w:r>
      <w:r w:rsidR="002C67A2" w:rsidRPr="00F1660D">
        <w:rPr>
          <w:rStyle w:val="DeltaViewInsertion"/>
          <w:color w:val="auto"/>
          <w:szCs w:val="25"/>
          <w:u w:val="none"/>
          <w:lang w:val="fr-FR"/>
        </w:rPr>
        <w:t> </w:t>
      </w:r>
      <w:r w:rsidRPr="00F1660D">
        <w:rPr>
          <w:rStyle w:val="DeltaViewInsertion"/>
          <w:color w:val="auto"/>
          <w:szCs w:val="25"/>
          <w:u w:val="none"/>
          <w:lang w:val="fr-FR"/>
        </w:rPr>
        <w:t>session,</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Présidente a proposé, et</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Groupe de travail a accepté, qu’une</w:t>
      </w:r>
      <w:r w:rsidR="002C67A2" w:rsidRPr="00F1660D">
        <w:rPr>
          <w:rStyle w:val="DeltaViewInsertion"/>
          <w:color w:val="auto"/>
          <w:szCs w:val="25"/>
          <w:u w:val="none"/>
          <w:lang w:val="fr-FR"/>
        </w:rPr>
        <w:t> </w:t>
      </w:r>
      <w:r w:rsidRPr="00F1660D">
        <w:rPr>
          <w:rStyle w:val="DeltaViewInsertion"/>
          <w:color w:val="auto"/>
          <w:szCs w:val="25"/>
          <w:u w:val="none"/>
          <w:lang w:val="fr-FR"/>
        </w:rPr>
        <w:t>quatrième</w:t>
      </w:r>
      <w:r w:rsidR="002C67A2" w:rsidRPr="00F1660D">
        <w:rPr>
          <w:rStyle w:val="DeltaViewInsertion"/>
          <w:color w:val="auto"/>
          <w:szCs w:val="25"/>
          <w:u w:val="none"/>
          <w:lang w:val="fr-FR"/>
        </w:rPr>
        <w:t> </w:t>
      </w:r>
      <w:r w:rsidRPr="00F1660D">
        <w:rPr>
          <w:rStyle w:val="DeltaViewInsertion"/>
          <w:color w:val="auto"/>
          <w:szCs w:val="25"/>
          <w:u w:val="none"/>
          <w:lang w:val="fr-FR"/>
        </w:rPr>
        <w:t>réunion du processus intersessions se tienne à</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fin du premier trimestre ou</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début</w:t>
      </w:r>
      <w:r w:rsidR="002C67A2" w:rsidRPr="00F1660D">
        <w:rPr>
          <w:rStyle w:val="DeltaViewInsertion"/>
          <w:color w:val="auto"/>
          <w:szCs w:val="25"/>
          <w:u w:val="none"/>
          <w:lang w:val="fr-FR"/>
        </w:rPr>
        <w:t> </w:t>
      </w:r>
      <w:r w:rsidRPr="00F1660D">
        <w:rPr>
          <w:rStyle w:val="DeltaViewInsertion"/>
          <w:color w:val="auto"/>
          <w:szCs w:val="25"/>
          <w:u w:val="none"/>
          <w:lang w:val="fr-FR"/>
        </w:rPr>
        <w:t>du deuxième trimestre de l’année 2020. Elle a demandé</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Bureau de fixer, en consultation avec</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secrétariat, une date appropriée pour cette réunion.</w:t>
      </w:r>
      <w:bookmarkStart w:id="17" w:name="_DV_C155"/>
      <w:bookmarkEnd w:id="16"/>
    </w:p>
    <w:bookmarkEnd w:id="17"/>
    <w:p w14:paraId="2F1817B7" w14:textId="50895B2C" w:rsidR="0026169C" w:rsidRPr="00F1660D" w:rsidRDefault="00B44E83" w:rsidP="00B44E83">
      <w:pPr>
        <w:pStyle w:val="Normalnumber"/>
        <w:rPr>
          <w:lang w:val="fr-FR"/>
        </w:rPr>
      </w:pPr>
      <w:r w:rsidRPr="00F1660D">
        <w:rPr>
          <w:rStyle w:val="DeltaViewInsertion"/>
          <w:color w:val="auto"/>
          <w:szCs w:val="25"/>
          <w:u w:val="none"/>
          <w:lang w:val="fr-FR"/>
        </w:rPr>
        <w:t>Au nom du Gouvernement roumain,</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représentante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Roumaine a offert d’accueillir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quatrième réunion du processus intersessions à Bucarest début 2020</w:t>
      </w:r>
      <w:r w:rsidR="00B639EE" w:rsidRPr="00F1660D">
        <w:rPr>
          <w:rStyle w:val="DeltaViewInsertion"/>
          <w:color w:val="auto"/>
          <w:szCs w:val="25"/>
          <w:u w:val="none"/>
          <w:lang w:val="fr-FR"/>
        </w:rPr>
        <w:t>.</w:t>
      </w:r>
    </w:p>
    <w:p w14:paraId="44F7A051" w14:textId="3A5703D5" w:rsidR="00452691" w:rsidRPr="00F1660D" w:rsidRDefault="00BD53D7" w:rsidP="00BD53D7">
      <w:pPr>
        <w:pStyle w:val="CH1"/>
        <w:rPr>
          <w:lang w:val="fr-FR"/>
        </w:rPr>
      </w:pPr>
      <w:r w:rsidRPr="00F1660D">
        <w:rPr>
          <w:lang w:val="fr-FR"/>
        </w:rPr>
        <w:tab/>
        <w:t>V.</w:t>
      </w:r>
      <w:r w:rsidRPr="00F1660D">
        <w:rPr>
          <w:lang w:val="fr-FR"/>
        </w:rPr>
        <w:tab/>
      </w:r>
      <w:r w:rsidR="00452691" w:rsidRPr="00F1660D">
        <w:rPr>
          <w:lang w:val="fr-FR"/>
        </w:rPr>
        <w:t>Progrès accomplis dans</w:t>
      </w:r>
      <w:r w:rsidR="00A50629" w:rsidRPr="00F1660D">
        <w:rPr>
          <w:lang w:val="fr-FR"/>
        </w:rPr>
        <w:t xml:space="preserve"> la </w:t>
      </w:r>
      <w:r w:rsidR="00452691" w:rsidRPr="00F1660D">
        <w:rPr>
          <w:lang w:val="fr-FR"/>
        </w:rPr>
        <w:t>réalisation de l</w:t>
      </w:r>
      <w:r w:rsidR="00CE30FD" w:rsidRPr="00F1660D">
        <w:rPr>
          <w:lang w:val="fr-FR"/>
        </w:rPr>
        <w:t>’</w:t>
      </w:r>
      <w:r w:rsidR="00452691" w:rsidRPr="00F1660D">
        <w:rPr>
          <w:lang w:val="fr-FR"/>
        </w:rPr>
        <w:t>objectif global d</w:t>
      </w:r>
      <w:r w:rsidR="00CE30FD" w:rsidRPr="00F1660D">
        <w:rPr>
          <w:lang w:val="fr-FR"/>
        </w:rPr>
        <w:t>’</w:t>
      </w:r>
      <w:r w:rsidR="00452691" w:rsidRPr="00F1660D">
        <w:rPr>
          <w:lang w:val="fr-FR"/>
        </w:rPr>
        <w:t>un</w:t>
      </w:r>
      <w:r w:rsidRPr="00F1660D">
        <w:rPr>
          <w:lang w:val="fr-FR"/>
        </w:rPr>
        <w:t>e </w:t>
      </w:r>
      <w:r w:rsidR="00452691" w:rsidRPr="00F1660D">
        <w:rPr>
          <w:lang w:val="fr-FR"/>
        </w:rPr>
        <w:t>gestion rationnelle</w:t>
      </w:r>
      <w:r w:rsidR="00A50629" w:rsidRPr="00F1660D">
        <w:rPr>
          <w:lang w:val="fr-FR"/>
        </w:rPr>
        <w:t xml:space="preserve"> des </w:t>
      </w:r>
      <w:r w:rsidR="00452691" w:rsidRPr="00F1660D">
        <w:rPr>
          <w:lang w:val="fr-FR"/>
        </w:rPr>
        <w:t>produits chimiques fixé pour 2020</w:t>
      </w:r>
    </w:p>
    <w:p w14:paraId="665941CC" w14:textId="5319E182" w:rsidR="00452691" w:rsidRPr="00F1660D" w:rsidRDefault="00BD53D7" w:rsidP="00BD53D7">
      <w:pPr>
        <w:pStyle w:val="CH2"/>
        <w:rPr>
          <w:lang w:val="fr-FR"/>
        </w:rPr>
      </w:pPr>
      <w:r w:rsidRPr="00F1660D">
        <w:rPr>
          <w:lang w:val="fr-FR"/>
        </w:rPr>
        <w:tab/>
        <w:t>A.</w:t>
      </w:r>
      <w:r w:rsidRPr="00F1660D">
        <w:rPr>
          <w:lang w:val="fr-FR"/>
        </w:rPr>
        <w:tab/>
      </w:r>
      <w:r w:rsidR="00452691" w:rsidRPr="00F1660D">
        <w:rPr>
          <w:lang w:val="fr-FR"/>
        </w:rPr>
        <w:t>Rapport d</w:t>
      </w:r>
      <w:r w:rsidR="00CE30FD" w:rsidRPr="00F1660D">
        <w:rPr>
          <w:lang w:val="fr-FR"/>
        </w:rPr>
        <w:t>’</w:t>
      </w:r>
      <w:r w:rsidR="00452691" w:rsidRPr="00F1660D">
        <w:rPr>
          <w:lang w:val="fr-FR"/>
        </w:rPr>
        <w:t>activité pour</w:t>
      </w:r>
      <w:r w:rsidR="00A50629" w:rsidRPr="00F1660D">
        <w:rPr>
          <w:lang w:val="fr-FR"/>
        </w:rPr>
        <w:t xml:space="preserve"> la </w:t>
      </w:r>
      <w:r w:rsidR="00452691" w:rsidRPr="00F1660D">
        <w:rPr>
          <w:lang w:val="fr-FR"/>
        </w:rPr>
        <w:t>période 2014–2016 </w:t>
      </w:r>
    </w:p>
    <w:p w14:paraId="45A3B674" w14:textId="214777CE" w:rsidR="003D2C44" w:rsidRPr="00F1660D" w:rsidRDefault="003D2C44" w:rsidP="00BD53D7">
      <w:pPr>
        <w:pStyle w:val="Normalnumber"/>
        <w:rPr>
          <w:lang w:val="fr-FR"/>
        </w:rPr>
      </w:pPr>
      <w:r w:rsidRPr="00F1660D">
        <w:rPr>
          <w:lang w:val="fr-FR"/>
        </w:rPr>
        <w:t>Présentant ce sous-point,</w:t>
      </w:r>
      <w:r w:rsidR="00A50629" w:rsidRPr="00F1660D">
        <w:rPr>
          <w:lang w:val="fr-FR"/>
        </w:rPr>
        <w:t xml:space="preserve"> la </w:t>
      </w:r>
      <w:r w:rsidRPr="00F1660D">
        <w:rPr>
          <w:lang w:val="fr-FR"/>
        </w:rPr>
        <w:t>Présidente a précisé qu</w:t>
      </w:r>
      <w:r w:rsidR="00CE30FD" w:rsidRPr="00F1660D">
        <w:rPr>
          <w:lang w:val="fr-FR"/>
        </w:rPr>
        <w:t>’</w:t>
      </w:r>
      <w:r w:rsidRPr="00F1660D">
        <w:rPr>
          <w:lang w:val="fr-FR"/>
        </w:rPr>
        <w:t>il avait pour objet de donner aux participants</w:t>
      </w:r>
      <w:r w:rsidR="00A50629" w:rsidRPr="00F1660D">
        <w:rPr>
          <w:lang w:val="fr-FR"/>
        </w:rPr>
        <w:t xml:space="preserve"> des </w:t>
      </w:r>
      <w:r w:rsidRPr="00F1660D">
        <w:rPr>
          <w:lang w:val="fr-FR"/>
        </w:rPr>
        <w:t>informations sur l</w:t>
      </w:r>
      <w:r w:rsidR="00CE30FD" w:rsidRPr="00F1660D">
        <w:rPr>
          <w:lang w:val="fr-FR"/>
        </w:rPr>
        <w:t>’</w:t>
      </w:r>
      <w:r w:rsidRPr="00F1660D">
        <w:rPr>
          <w:lang w:val="fr-FR"/>
        </w:rPr>
        <w:t>état d</w:t>
      </w:r>
      <w:r w:rsidR="00CE30FD" w:rsidRPr="00F1660D">
        <w:rPr>
          <w:lang w:val="fr-FR"/>
        </w:rPr>
        <w:t>’</w:t>
      </w:r>
      <w:r w:rsidRPr="00F1660D">
        <w:rPr>
          <w:lang w:val="fr-FR"/>
        </w:rPr>
        <w:t xml:space="preserve">avancement </w:t>
      </w:r>
      <w:r w:rsidR="00733FEB" w:rsidRPr="00F1660D">
        <w:rPr>
          <w:lang w:val="fr-FR"/>
        </w:rPr>
        <w:t>de</w:t>
      </w:r>
      <w:r w:rsidR="00A50629" w:rsidRPr="00F1660D">
        <w:rPr>
          <w:lang w:val="fr-FR"/>
        </w:rPr>
        <w:t xml:space="preserve"> la </w:t>
      </w:r>
      <w:r w:rsidR="00733FEB" w:rsidRPr="00F1660D">
        <w:rPr>
          <w:lang w:val="fr-FR"/>
        </w:rPr>
        <w:t xml:space="preserve">mise en œuvre </w:t>
      </w:r>
      <w:r w:rsidRPr="00F1660D">
        <w:rPr>
          <w:lang w:val="fr-FR"/>
        </w:rPr>
        <w:t>de l</w:t>
      </w:r>
      <w:r w:rsidR="00CE30FD" w:rsidRPr="00F1660D">
        <w:rPr>
          <w:lang w:val="fr-FR"/>
        </w:rPr>
        <w:t>’</w:t>
      </w:r>
      <w:r w:rsidRPr="00F1660D">
        <w:rPr>
          <w:lang w:val="fr-FR"/>
        </w:rPr>
        <w:t>Approche stratégique. Après avoir rappelé que l</w:t>
      </w:r>
      <w:r w:rsidR="00CE30FD" w:rsidRPr="00F1660D">
        <w:rPr>
          <w:lang w:val="fr-FR"/>
        </w:rPr>
        <w:t>’</w:t>
      </w:r>
      <w:r w:rsidRPr="00F1660D">
        <w:rPr>
          <w:lang w:val="fr-FR"/>
        </w:rPr>
        <w:t>une</w:t>
      </w:r>
      <w:r w:rsidR="00A50629" w:rsidRPr="00F1660D">
        <w:rPr>
          <w:lang w:val="fr-FR"/>
        </w:rPr>
        <w:t xml:space="preserve"> des </w:t>
      </w:r>
      <w:r w:rsidRPr="00F1660D">
        <w:rPr>
          <w:lang w:val="fr-FR"/>
        </w:rPr>
        <w:t>fonctions de</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était d</w:t>
      </w:r>
      <w:r w:rsidR="00CE30FD" w:rsidRPr="00F1660D">
        <w:rPr>
          <w:lang w:val="fr-FR"/>
        </w:rPr>
        <w:t>’</w:t>
      </w:r>
      <w:r w:rsidRPr="00F1660D">
        <w:rPr>
          <w:lang w:val="fr-FR"/>
        </w:rPr>
        <w:t>évaluer</w:t>
      </w:r>
      <w:r w:rsidR="00A50629" w:rsidRPr="00F1660D">
        <w:rPr>
          <w:lang w:val="fr-FR"/>
        </w:rPr>
        <w:t xml:space="preserve"> la </w:t>
      </w:r>
      <w:r w:rsidRPr="00F1660D">
        <w:rPr>
          <w:lang w:val="fr-FR"/>
        </w:rPr>
        <w:t>mise en œuvre de l</w:t>
      </w:r>
      <w:r w:rsidR="00CE30FD" w:rsidRPr="00F1660D">
        <w:rPr>
          <w:lang w:val="fr-FR"/>
        </w:rPr>
        <w:t>’</w:t>
      </w:r>
      <w:r w:rsidRPr="00F1660D">
        <w:rPr>
          <w:lang w:val="fr-FR"/>
        </w:rPr>
        <w:t>Approche stratégique et de faire rapport aux parties prenantes sur</w:t>
      </w:r>
      <w:r w:rsidR="00A50629" w:rsidRPr="00F1660D">
        <w:rPr>
          <w:lang w:val="fr-FR"/>
        </w:rPr>
        <w:t xml:space="preserve"> les </w:t>
      </w:r>
      <w:r w:rsidRPr="00F1660D">
        <w:rPr>
          <w:lang w:val="fr-FR"/>
        </w:rPr>
        <w:t>progrès accomplis,</w:t>
      </w:r>
      <w:r w:rsidR="00A50629" w:rsidRPr="00F1660D">
        <w:rPr>
          <w:lang w:val="fr-FR"/>
        </w:rPr>
        <w:t xml:space="preserve"> le </w:t>
      </w:r>
      <w:r w:rsidRPr="00F1660D">
        <w:rPr>
          <w:lang w:val="fr-FR"/>
        </w:rPr>
        <w:t>représentant du secrétariat a présenté un certain nombre de documents sur</w:t>
      </w:r>
      <w:r w:rsidR="00A50629" w:rsidRPr="00F1660D">
        <w:rPr>
          <w:lang w:val="fr-FR"/>
        </w:rPr>
        <w:t xml:space="preserve"> la </w:t>
      </w:r>
      <w:r w:rsidRPr="00F1660D">
        <w:rPr>
          <w:lang w:val="fr-FR"/>
        </w:rPr>
        <w:t>question, notamment un rapport de synthèse sur</w:t>
      </w:r>
      <w:r w:rsidR="00A50629" w:rsidRPr="00F1660D">
        <w:rPr>
          <w:lang w:val="fr-FR"/>
        </w:rPr>
        <w:t xml:space="preserve"> les </w:t>
      </w:r>
      <w:r w:rsidRPr="00F1660D">
        <w:rPr>
          <w:lang w:val="fr-FR"/>
        </w:rPr>
        <w:t>progrès accomplis dans</w:t>
      </w:r>
      <w:r w:rsidR="00A50629" w:rsidRPr="00F1660D">
        <w:rPr>
          <w:lang w:val="fr-FR"/>
        </w:rPr>
        <w:t xml:space="preserve"> la </w:t>
      </w:r>
      <w:r w:rsidRPr="00F1660D">
        <w:rPr>
          <w:lang w:val="fr-FR"/>
        </w:rPr>
        <w:t>mise en œuvre de l</w:t>
      </w:r>
      <w:r w:rsidR="00CE30FD" w:rsidRPr="00F1660D">
        <w:rPr>
          <w:lang w:val="fr-FR"/>
        </w:rPr>
        <w:t>’</w:t>
      </w:r>
      <w:r w:rsidRPr="00F1660D">
        <w:rPr>
          <w:lang w:val="fr-FR"/>
        </w:rPr>
        <w:t>Approche stratégique</w:t>
      </w:r>
      <w:r w:rsidR="00A50629" w:rsidRPr="00F1660D">
        <w:rPr>
          <w:lang w:val="fr-FR"/>
        </w:rPr>
        <w:t xml:space="preserve"> au </w:t>
      </w:r>
      <w:r w:rsidR="00733FEB" w:rsidRPr="00F1660D">
        <w:rPr>
          <w:lang w:val="fr-FR"/>
        </w:rPr>
        <w:t>cours de</w:t>
      </w:r>
      <w:r w:rsidR="00A50629" w:rsidRPr="00F1660D">
        <w:rPr>
          <w:lang w:val="fr-FR"/>
        </w:rPr>
        <w:t xml:space="preserve"> la </w:t>
      </w:r>
      <w:r w:rsidR="00747423" w:rsidRPr="00F1660D">
        <w:rPr>
          <w:lang w:val="fr-FR"/>
        </w:rPr>
        <w:t>période 2014–</w:t>
      </w:r>
      <w:r w:rsidRPr="00F1660D">
        <w:rPr>
          <w:lang w:val="fr-FR"/>
        </w:rPr>
        <w:t>2016 et une analyse</w:t>
      </w:r>
      <w:r w:rsidR="00A50629" w:rsidRPr="00F1660D">
        <w:rPr>
          <w:lang w:val="fr-FR"/>
        </w:rPr>
        <w:t xml:space="preserve"> des </w:t>
      </w:r>
      <w:r w:rsidRPr="00F1660D">
        <w:rPr>
          <w:lang w:val="fr-FR"/>
        </w:rPr>
        <w:t>20</w:t>
      </w:r>
      <w:r w:rsidR="00BD53D7" w:rsidRPr="00F1660D">
        <w:rPr>
          <w:lang w:val="fr-FR"/>
        </w:rPr>
        <w:t> </w:t>
      </w:r>
      <w:r w:rsidRPr="00F1660D">
        <w:rPr>
          <w:lang w:val="fr-FR"/>
        </w:rPr>
        <w:t>indicateurs de progrès (SAICM/OEWG.3/5),</w:t>
      </w:r>
      <w:r w:rsidR="00A50629" w:rsidRPr="00F1660D">
        <w:rPr>
          <w:lang w:val="fr-FR"/>
        </w:rPr>
        <w:t xml:space="preserve"> le </w:t>
      </w:r>
      <w:r w:rsidRPr="00F1660D">
        <w:rPr>
          <w:lang w:val="fr-FR"/>
        </w:rPr>
        <w:t>rapport complet sur</w:t>
      </w:r>
      <w:r w:rsidR="00A50629" w:rsidRPr="00F1660D">
        <w:rPr>
          <w:lang w:val="fr-FR"/>
        </w:rPr>
        <w:t xml:space="preserve"> la </w:t>
      </w:r>
      <w:r w:rsidRPr="00F1660D">
        <w:rPr>
          <w:lang w:val="fr-FR"/>
        </w:rPr>
        <w:t>mise en œuvre (SAICM/OEWG.3/INF/4) ainsi qu</w:t>
      </w:r>
      <w:r w:rsidR="00CE30FD" w:rsidRPr="00F1660D">
        <w:rPr>
          <w:lang w:val="fr-FR"/>
        </w:rPr>
        <w:t>’</w:t>
      </w:r>
      <w:r w:rsidRPr="00F1660D">
        <w:rPr>
          <w:lang w:val="fr-FR"/>
        </w:rPr>
        <w:t xml:space="preserve">un rapport actualisé du 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(IOMC) sur</w:t>
      </w:r>
      <w:r w:rsidR="00A50629" w:rsidRPr="00F1660D">
        <w:rPr>
          <w:lang w:val="fr-FR"/>
        </w:rPr>
        <w:t xml:space="preserve"> les </w:t>
      </w:r>
      <w:r w:rsidRPr="00F1660D">
        <w:rPr>
          <w:lang w:val="fr-FR"/>
        </w:rPr>
        <w:t>activités entreprises à l</w:t>
      </w:r>
      <w:r w:rsidR="00CE30FD" w:rsidRPr="00F1660D">
        <w:rPr>
          <w:lang w:val="fr-FR"/>
        </w:rPr>
        <w:t>’</w:t>
      </w:r>
      <w:r w:rsidRPr="00F1660D">
        <w:rPr>
          <w:lang w:val="fr-FR"/>
        </w:rPr>
        <w:t>appui de l</w:t>
      </w:r>
      <w:r w:rsidR="00CE30FD" w:rsidRPr="00F1660D">
        <w:rPr>
          <w:lang w:val="fr-FR"/>
        </w:rPr>
        <w:t>’</w:t>
      </w:r>
      <w:r w:rsidRPr="00F1660D">
        <w:rPr>
          <w:lang w:val="fr-FR"/>
        </w:rPr>
        <w:t xml:space="preserve">Approche stratégique (SAICM/OEWG.3/INF/6). </w:t>
      </w:r>
    </w:p>
    <w:p w14:paraId="349B52CA" w14:textId="669C3FA0" w:rsidR="003D2C44" w:rsidRPr="00F1660D" w:rsidRDefault="003D2C44" w:rsidP="00BD53D7">
      <w:pPr>
        <w:pStyle w:val="Normalnumber"/>
        <w:rPr>
          <w:lang w:val="fr-FR"/>
        </w:rPr>
      </w:pPr>
      <w:r w:rsidRPr="00F1660D">
        <w:rPr>
          <w:lang w:val="fr-FR"/>
        </w:rPr>
        <w:t>Sur</w:t>
      </w:r>
      <w:r w:rsidR="00A50629" w:rsidRPr="00F1660D">
        <w:rPr>
          <w:lang w:val="fr-FR"/>
        </w:rPr>
        <w:t xml:space="preserve"> la </w:t>
      </w:r>
      <w:r w:rsidRPr="00F1660D">
        <w:rPr>
          <w:lang w:val="fr-FR"/>
        </w:rPr>
        <w:t>base</w:t>
      </w:r>
      <w:r w:rsidR="00A50629" w:rsidRPr="00F1660D">
        <w:rPr>
          <w:lang w:val="fr-FR"/>
        </w:rPr>
        <w:t xml:space="preserve"> des </w:t>
      </w:r>
      <w:r w:rsidRPr="00F1660D">
        <w:rPr>
          <w:lang w:val="fr-FR"/>
        </w:rPr>
        <w:t>informations présentées dans</w:t>
      </w:r>
      <w:r w:rsidR="00A50629" w:rsidRPr="00F1660D">
        <w:rPr>
          <w:lang w:val="fr-FR"/>
        </w:rPr>
        <w:t xml:space="preserve"> le </w:t>
      </w:r>
      <w:r w:rsidRPr="00F1660D">
        <w:rPr>
          <w:lang w:val="fr-FR"/>
        </w:rPr>
        <w:t>rapport actualisé,</w:t>
      </w:r>
      <w:r w:rsidR="00A50629" w:rsidRPr="00F1660D">
        <w:rPr>
          <w:lang w:val="fr-FR"/>
        </w:rPr>
        <w:t xml:space="preserve"> des </w:t>
      </w:r>
      <w:r w:rsidRPr="00F1660D">
        <w:rPr>
          <w:lang w:val="fr-FR"/>
        </w:rPr>
        <w:t>représentants</w:t>
      </w:r>
      <w:r w:rsidR="00A50629" w:rsidRPr="00F1660D">
        <w:rPr>
          <w:lang w:val="fr-FR"/>
        </w:rPr>
        <w:t xml:space="preserve"> des </w:t>
      </w:r>
      <w:r w:rsidRPr="00F1660D">
        <w:rPr>
          <w:lang w:val="fr-FR"/>
        </w:rPr>
        <w:t xml:space="preserve">organisations suivantes </w:t>
      </w:r>
      <w:r w:rsidR="000D0373" w:rsidRPr="00F1660D">
        <w:rPr>
          <w:lang w:val="fr-FR"/>
        </w:rPr>
        <w:t>membres du</w:t>
      </w:r>
      <w:r w:rsidR="00A50629" w:rsidRPr="00F1660D">
        <w:rPr>
          <w:lang w:val="fr-FR"/>
        </w:rPr>
        <w:t> </w:t>
      </w:r>
      <w:r w:rsidRPr="00F1660D">
        <w:rPr>
          <w:lang w:val="fr-FR"/>
        </w:rPr>
        <w:t xml:space="preserve">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ont brièvement présenté</w:t>
      </w:r>
      <w:r w:rsidR="00A50629" w:rsidRPr="00F1660D">
        <w:rPr>
          <w:lang w:val="fr-FR"/>
        </w:rPr>
        <w:t xml:space="preserve"> les </w:t>
      </w:r>
      <w:r w:rsidRPr="00F1660D">
        <w:rPr>
          <w:lang w:val="fr-FR"/>
        </w:rPr>
        <w:t>activités de leurs organisations respectives à l</w:t>
      </w:r>
      <w:r w:rsidR="00CE30FD" w:rsidRPr="00F1660D">
        <w:rPr>
          <w:lang w:val="fr-FR"/>
        </w:rPr>
        <w:t>’</w:t>
      </w:r>
      <w:r w:rsidRPr="00F1660D">
        <w:rPr>
          <w:lang w:val="fr-FR"/>
        </w:rPr>
        <w:t>appui</w:t>
      </w:r>
      <w:r w:rsidR="00A50629" w:rsidRPr="00F1660D">
        <w:rPr>
          <w:lang w:val="fr-FR"/>
        </w:rPr>
        <w:t xml:space="preserve"> des </w:t>
      </w:r>
      <w:r w:rsidRPr="00F1660D">
        <w:rPr>
          <w:lang w:val="fr-FR"/>
        </w:rPr>
        <w:t>objectifs de l</w:t>
      </w:r>
      <w:r w:rsidR="00CE30FD" w:rsidRPr="00F1660D">
        <w:rPr>
          <w:lang w:val="fr-FR"/>
        </w:rPr>
        <w:t>’</w:t>
      </w:r>
      <w:r w:rsidRPr="00F1660D">
        <w:rPr>
          <w:lang w:val="fr-FR"/>
        </w:rPr>
        <w:t xml:space="preserve">Approche stratégique : </w:t>
      </w:r>
      <w:r w:rsidR="00EB4BE4" w:rsidRPr="00F1660D">
        <w:rPr>
          <w:lang w:val="fr-FR"/>
        </w:rPr>
        <w:t xml:space="preserve">Banque mondiale ; </w:t>
      </w:r>
      <w:r w:rsidRPr="00F1660D">
        <w:rPr>
          <w:lang w:val="fr-FR"/>
        </w:rPr>
        <w:t>Organisation</w:t>
      </w:r>
      <w:r w:rsidR="00A50629" w:rsidRPr="00F1660D">
        <w:rPr>
          <w:lang w:val="fr-FR"/>
        </w:rPr>
        <w:t xml:space="preserve"> des </w:t>
      </w:r>
      <w:r w:rsidR="002C67A2" w:rsidRPr="00F1660D">
        <w:rPr>
          <w:lang w:val="fr-FR"/>
        </w:rPr>
        <w:t>Nations Unies</w:t>
      </w:r>
      <w:r w:rsidRPr="00F1660D">
        <w:rPr>
          <w:lang w:val="fr-FR"/>
        </w:rPr>
        <w:t xml:space="preserve"> pour l</w:t>
      </w:r>
      <w:r w:rsidR="00CE30FD" w:rsidRPr="00F1660D">
        <w:rPr>
          <w:lang w:val="fr-FR"/>
        </w:rPr>
        <w:t>’</w:t>
      </w:r>
      <w:r w:rsidRPr="00F1660D">
        <w:rPr>
          <w:lang w:val="fr-FR"/>
        </w:rPr>
        <w:t>alimentation et l</w:t>
      </w:r>
      <w:r w:rsidR="00CE30FD" w:rsidRPr="00F1660D">
        <w:rPr>
          <w:lang w:val="fr-FR"/>
        </w:rPr>
        <w:t>’</w:t>
      </w:r>
      <w:r w:rsidRPr="00F1660D">
        <w:rPr>
          <w:lang w:val="fr-FR"/>
        </w:rPr>
        <w:t>agriculture</w:t>
      </w:r>
      <w:r w:rsidR="00EB4BE4" w:rsidRPr="00F1660D">
        <w:rPr>
          <w:lang w:val="fr-FR"/>
        </w:rPr>
        <w:t xml:space="preserve"> (FAO)</w:t>
      </w:r>
      <w:r w:rsidRPr="00F1660D">
        <w:rPr>
          <w:lang w:val="fr-FR"/>
        </w:rPr>
        <w:t> ; Organisation de coopération et de développement économiques</w:t>
      </w:r>
      <w:r w:rsidR="00EB4BE4" w:rsidRPr="00F1660D">
        <w:rPr>
          <w:lang w:val="fr-FR"/>
        </w:rPr>
        <w:t xml:space="preserve"> (OCDE)</w:t>
      </w:r>
      <w:r w:rsidRPr="00F1660D">
        <w:rPr>
          <w:lang w:val="fr-FR"/>
        </w:rPr>
        <w:t xml:space="preserve"> ; </w:t>
      </w:r>
      <w:r w:rsidR="00EB4BE4" w:rsidRPr="00F1660D">
        <w:rPr>
          <w:lang w:val="fr-FR"/>
        </w:rPr>
        <w:t xml:space="preserve">OIT ; OMS ; </w:t>
      </w:r>
      <w:r w:rsidRPr="00F1660D">
        <w:rPr>
          <w:lang w:val="fr-FR"/>
        </w:rPr>
        <w:t>Programme</w:t>
      </w:r>
      <w:r w:rsidR="00A50629" w:rsidRPr="00F1660D">
        <w:rPr>
          <w:lang w:val="fr-FR"/>
        </w:rPr>
        <w:t xml:space="preserve"> des </w:t>
      </w:r>
      <w:r w:rsidR="002C67A2" w:rsidRPr="00F1660D">
        <w:rPr>
          <w:lang w:val="fr-FR"/>
        </w:rPr>
        <w:t>Nations Unies</w:t>
      </w:r>
      <w:r w:rsidRPr="00F1660D">
        <w:rPr>
          <w:lang w:val="fr-FR"/>
        </w:rPr>
        <w:t xml:space="preserve"> pour</w:t>
      </w:r>
      <w:r w:rsidR="00A50629" w:rsidRPr="00F1660D">
        <w:rPr>
          <w:lang w:val="fr-FR"/>
        </w:rPr>
        <w:t xml:space="preserve"> le </w:t>
      </w:r>
      <w:r w:rsidRPr="00F1660D">
        <w:rPr>
          <w:lang w:val="fr-FR"/>
        </w:rPr>
        <w:t>développement</w:t>
      </w:r>
      <w:r w:rsidR="00EB4BE4" w:rsidRPr="00F1660D">
        <w:rPr>
          <w:lang w:val="fr-FR"/>
        </w:rPr>
        <w:t xml:space="preserve"> (PNUD)</w:t>
      </w:r>
      <w:r w:rsidRPr="00F1660D">
        <w:rPr>
          <w:lang w:val="fr-FR"/>
        </w:rPr>
        <w:t xml:space="preserve"> ; </w:t>
      </w:r>
      <w:r w:rsidR="00EB4BE4" w:rsidRPr="00F1660D">
        <w:rPr>
          <w:lang w:val="fr-FR"/>
        </w:rPr>
        <w:t xml:space="preserve">PNUE ; </w:t>
      </w:r>
      <w:r w:rsidR="00C21E1E" w:rsidRPr="00F1660D">
        <w:rPr>
          <w:lang w:val="fr-FR"/>
        </w:rPr>
        <w:t xml:space="preserve">et </w:t>
      </w:r>
      <w:r w:rsidRPr="00F1660D">
        <w:rPr>
          <w:lang w:val="fr-FR"/>
        </w:rPr>
        <w:t>Institut</w:t>
      </w:r>
      <w:r w:rsidR="00A50629" w:rsidRPr="00F1660D">
        <w:rPr>
          <w:lang w:val="fr-FR"/>
        </w:rPr>
        <w:t xml:space="preserve"> des </w:t>
      </w:r>
      <w:r w:rsidR="002C67A2" w:rsidRPr="00F1660D">
        <w:rPr>
          <w:lang w:val="fr-FR"/>
        </w:rPr>
        <w:t>Nations Unies</w:t>
      </w:r>
      <w:r w:rsidRPr="00F1660D">
        <w:rPr>
          <w:lang w:val="fr-FR"/>
        </w:rPr>
        <w:t xml:space="preserve"> pour</w:t>
      </w:r>
      <w:r w:rsidR="00A50629" w:rsidRPr="00F1660D">
        <w:rPr>
          <w:lang w:val="fr-FR"/>
        </w:rPr>
        <w:t xml:space="preserve"> la </w:t>
      </w:r>
      <w:r w:rsidRPr="00F1660D">
        <w:rPr>
          <w:lang w:val="fr-FR"/>
        </w:rPr>
        <w:t>formation et</w:t>
      </w:r>
      <w:r w:rsidR="00A50629" w:rsidRPr="00F1660D">
        <w:rPr>
          <w:lang w:val="fr-FR"/>
        </w:rPr>
        <w:t xml:space="preserve"> la </w:t>
      </w:r>
      <w:r w:rsidRPr="00F1660D">
        <w:rPr>
          <w:lang w:val="fr-FR"/>
        </w:rPr>
        <w:t>recherche</w:t>
      </w:r>
      <w:r w:rsidR="00EB4BE4" w:rsidRPr="00F1660D">
        <w:rPr>
          <w:lang w:val="fr-FR"/>
        </w:rPr>
        <w:t xml:space="preserve"> (UNITAR)</w:t>
      </w:r>
      <w:r w:rsidRPr="00F1660D">
        <w:rPr>
          <w:lang w:val="fr-FR"/>
        </w:rPr>
        <w:t xml:space="preserve">. </w:t>
      </w:r>
    </w:p>
    <w:p w14:paraId="46268656" w14:textId="0308AB71" w:rsidR="003D2C44" w:rsidRPr="00F1660D" w:rsidRDefault="003D2C44" w:rsidP="00BD53D7">
      <w:pPr>
        <w:pStyle w:val="Normalnumber"/>
        <w:rPr>
          <w:lang w:val="fr-FR"/>
        </w:rPr>
      </w:pPr>
      <w:r w:rsidRPr="00F1660D">
        <w:rPr>
          <w:rFonts w:eastAsia="Calibri"/>
          <w:lang w:val="fr-FR"/>
        </w:rPr>
        <w:t>Faisant observer que l</w:t>
      </w:r>
      <w:r w:rsidR="00CE30FD" w:rsidRPr="00F1660D">
        <w:rPr>
          <w:rFonts w:eastAsia="Calibri"/>
          <w:lang w:val="fr-FR"/>
        </w:rPr>
        <w:t>’</w:t>
      </w:r>
      <w:r w:rsidRPr="00F1660D">
        <w:rPr>
          <w:rFonts w:eastAsia="Calibri"/>
          <w:lang w:val="fr-FR"/>
        </w:rPr>
        <w:t>établissement de rapports d</w:t>
      </w:r>
      <w:r w:rsidR="00CE30FD" w:rsidRPr="00F1660D">
        <w:rPr>
          <w:rFonts w:eastAsia="Calibri"/>
          <w:lang w:val="fr-FR"/>
        </w:rPr>
        <w:t>’</w:t>
      </w:r>
      <w:r w:rsidRPr="00F1660D">
        <w:rPr>
          <w:rFonts w:eastAsia="Calibri"/>
          <w:lang w:val="fr-FR"/>
        </w:rPr>
        <w:t>activité était une activité qui prenait beaucoup de temps et mobilisait beaucoup de ressources,</w:t>
      </w:r>
      <w:r w:rsidR="00A50629" w:rsidRPr="00F1660D">
        <w:rPr>
          <w:rFonts w:eastAsia="Calibri"/>
          <w:lang w:val="fr-FR"/>
        </w:rPr>
        <w:t xml:space="preserve"> la </w:t>
      </w:r>
      <w:r w:rsidRPr="00F1660D">
        <w:rPr>
          <w:rFonts w:eastAsia="Calibri"/>
          <w:lang w:val="fr-FR"/>
        </w:rPr>
        <w:t xml:space="preserve">Présidente a signalé que très peu de communications avaient été </w:t>
      </w:r>
      <w:r w:rsidRPr="00F1660D">
        <w:rPr>
          <w:lang w:val="fr-FR"/>
        </w:rPr>
        <w:t>reçues</w:t>
      </w:r>
      <w:r w:rsidR="00A50629" w:rsidRPr="00F1660D">
        <w:rPr>
          <w:rFonts w:eastAsia="Calibri"/>
          <w:lang w:val="fr-FR"/>
        </w:rPr>
        <w:t xml:space="preserve"> des </w:t>
      </w:r>
      <w:r w:rsidRPr="00F1660D">
        <w:rPr>
          <w:rFonts w:eastAsia="Calibri"/>
          <w:lang w:val="fr-FR"/>
        </w:rPr>
        <w:t>gouvernements et</w:t>
      </w:r>
      <w:r w:rsidR="00A50629" w:rsidRPr="00F1660D">
        <w:rPr>
          <w:rFonts w:eastAsia="Calibri"/>
          <w:lang w:val="fr-FR"/>
        </w:rPr>
        <w:t xml:space="preserve"> des </w:t>
      </w:r>
      <w:r w:rsidRPr="00F1660D">
        <w:rPr>
          <w:rFonts w:eastAsia="Calibri"/>
          <w:lang w:val="fr-FR"/>
        </w:rPr>
        <w:t>parties prenantes. Elle a proposé qu</w:t>
      </w:r>
      <w:r w:rsidR="00CE30FD" w:rsidRPr="00F1660D">
        <w:rPr>
          <w:rFonts w:eastAsia="Calibri"/>
          <w:lang w:val="fr-FR"/>
        </w:rPr>
        <w:t>’</w:t>
      </w:r>
      <w:r w:rsidRPr="00F1660D">
        <w:rPr>
          <w:rFonts w:eastAsia="Calibri"/>
          <w:lang w:val="fr-FR"/>
        </w:rPr>
        <w:t>au lieu d</w:t>
      </w:r>
      <w:r w:rsidR="00CE30FD" w:rsidRPr="00F1660D">
        <w:rPr>
          <w:rFonts w:eastAsia="Calibri"/>
          <w:lang w:val="fr-FR"/>
        </w:rPr>
        <w:t>’</w:t>
      </w:r>
      <w:r w:rsidRPr="00F1660D">
        <w:rPr>
          <w:rFonts w:eastAsia="Calibri"/>
          <w:lang w:val="fr-FR"/>
        </w:rPr>
        <w:t>un rapport d</w:t>
      </w:r>
      <w:r w:rsidR="00CE30FD" w:rsidRPr="00F1660D">
        <w:rPr>
          <w:rFonts w:eastAsia="Calibri"/>
          <w:lang w:val="fr-FR"/>
        </w:rPr>
        <w:t>’</w:t>
      </w:r>
      <w:r w:rsidRPr="00F1660D">
        <w:rPr>
          <w:rFonts w:eastAsia="Calibri"/>
          <w:lang w:val="fr-FR"/>
        </w:rPr>
        <w:t>activité pour</w:t>
      </w:r>
      <w:r w:rsidR="00A50629" w:rsidRPr="00F1660D">
        <w:rPr>
          <w:rFonts w:eastAsia="Calibri"/>
          <w:lang w:val="fr-FR"/>
        </w:rPr>
        <w:t xml:space="preserve"> la </w:t>
      </w:r>
      <w:r w:rsidRPr="00F1660D">
        <w:rPr>
          <w:rFonts w:eastAsia="Calibri"/>
          <w:lang w:val="fr-FR"/>
        </w:rPr>
        <w:t>période 2017</w:t>
      </w:r>
      <w:r w:rsidR="003647E1" w:rsidRPr="00F1660D">
        <w:rPr>
          <w:b/>
          <w:lang w:val="fr-FR"/>
        </w:rPr>
        <w:t>–</w:t>
      </w:r>
      <w:r w:rsidRPr="00F1660D">
        <w:rPr>
          <w:rFonts w:eastAsia="Calibri"/>
          <w:lang w:val="fr-FR"/>
        </w:rPr>
        <w:t>2019,</w:t>
      </w:r>
      <w:r w:rsidR="00A50629" w:rsidRPr="00F1660D">
        <w:rPr>
          <w:rFonts w:eastAsia="Calibri"/>
          <w:lang w:val="fr-FR"/>
        </w:rPr>
        <w:t xml:space="preserve"> les </w:t>
      </w:r>
      <w:r w:rsidRPr="00F1660D">
        <w:rPr>
          <w:rFonts w:eastAsia="Calibri"/>
          <w:lang w:val="fr-FR"/>
        </w:rPr>
        <w:t>participants envisagent une autre solution, plus efficace, pour faire rapport sur</w:t>
      </w:r>
      <w:r w:rsidR="00A50629" w:rsidRPr="00F1660D">
        <w:rPr>
          <w:rFonts w:eastAsia="Calibri"/>
          <w:lang w:val="fr-FR"/>
        </w:rPr>
        <w:t xml:space="preserve"> les </w:t>
      </w:r>
      <w:r w:rsidRPr="00F1660D">
        <w:rPr>
          <w:rFonts w:eastAsia="Calibri"/>
          <w:lang w:val="fr-FR"/>
        </w:rPr>
        <w:t>progrès accomplis.</w:t>
      </w:r>
    </w:p>
    <w:p w14:paraId="4C6587E8" w14:textId="22AC7477" w:rsidR="003F205C" w:rsidRPr="00F1660D" w:rsidRDefault="003F205C" w:rsidP="003F205C">
      <w:pPr>
        <w:pStyle w:val="Normalnumber"/>
        <w:rPr>
          <w:lang w:val="fr-FR"/>
        </w:rPr>
      </w:pPr>
      <w:r w:rsidRPr="00F1660D">
        <w:rPr>
          <w:lang w:val="fr-FR"/>
        </w:rPr>
        <w:t>Au cours</w:t>
      </w:r>
      <w:r w:rsidR="00A50629" w:rsidRPr="00F1660D">
        <w:rPr>
          <w:lang w:val="fr-FR"/>
        </w:rPr>
        <w:t xml:space="preserve"> d</w:t>
      </w:r>
      <w:r w:rsidR="000D0373" w:rsidRPr="00F1660D">
        <w:rPr>
          <w:lang w:val="fr-FR"/>
        </w:rPr>
        <w:t>u</w:t>
      </w:r>
      <w:r w:rsidR="00A50629" w:rsidRPr="00F1660D">
        <w:rPr>
          <w:lang w:val="fr-FR"/>
        </w:rPr>
        <w:t> </w:t>
      </w:r>
      <w:r w:rsidRPr="00F1660D">
        <w:rPr>
          <w:lang w:val="fr-FR"/>
        </w:rPr>
        <w:t xml:space="preserve">débat qui </w:t>
      </w:r>
      <w:r w:rsidR="000D0373" w:rsidRPr="00F1660D">
        <w:rPr>
          <w:lang w:val="fr-FR"/>
        </w:rPr>
        <w:t>a</w:t>
      </w:r>
      <w:r w:rsidRPr="00F1660D">
        <w:rPr>
          <w:lang w:val="fr-FR"/>
        </w:rPr>
        <w:t xml:space="preserve"> suivi,</w:t>
      </w:r>
      <w:r w:rsidR="00A50629" w:rsidRPr="00F1660D">
        <w:rPr>
          <w:lang w:val="fr-FR"/>
        </w:rPr>
        <w:t xml:space="preserve"> les </w:t>
      </w:r>
      <w:r w:rsidRPr="00F1660D">
        <w:rPr>
          <w:lang w:val="fr-FR"/>
        </w:rPr>
        <w:t>représentants ont remercié</w:t>
      </w:r>
      <w:r w:rsidR="00A50629" w:rsidRPr="00F1660D">
        <w:rPr>
          <w:lang w:val="fr-FR"/>
        </w:rPr>
        <w:t xml:space="preserve"> le </w:t>
      </w:r>
      <w:r w:rsidRPr="00F1660D">
        <w:rPr>
          <w:lang w:val="fr-FR"/>
        </w:rPr>
        <w:t>secrétariat d</w:t>
      </w:r>
      <w:r w:rsidR="00CE30FD" w:rsidRPr="00F1660D">
        <w:rPr>
          <w:lang w:val="fr-FR"/>
        </w:rPr>
        <w:t>’</w:t>
      </w:r>
      <w:r w:rsidRPr="00F1660D">
        <w:rPr>
          <w:lang w:val="fr-FR"/>
        </w:rPr>
        <w:t>avoir élaboré</w:t>
      </w:r>
      <w:r w:rsidR="00A50629" w:rsidRPr="00F1660D">
        <w:rPr>
          <w:lang w:val="fr-FR"/>
        </w:rPr>
        <w:t xml:space="preserve"> le </w:t>
      </w:r>
      <w:r w:rsidRPr="00F1660D">
        <w:rPr>
          <w:lang w:val="fr-FR"/>
        </w:rPr>
        <w:t>rapport d</w:t>
      </w:r>
      <w:r w:rsidR="00CE30FD" w:rsidRPr="00F1660D">
        <w:rPr>
          <w:lang w:val="fr-FR"/>
        </w:rPr>
        <w:t>’</w:t>
      </w:r>
      <w:r w:rsidRPr="00F1660D">
        <w:rPr>
          <w:lang w:val="fr-FR"/>
        </w:rPr>
        <w:t>activité (SAICM/OEWG.3/INF/4) et ont également remercié tous ceux qui avaient contribué à sa rédaction et à l</w:t>
      </w:r>
      <w:r w:rsidR="00CE30FD" w:rsidRPr="00F1660D">
        <w:rPr>
          <w:lang w:val="fr-FR"/>
        </w:rPr>
        <w:t>’</w:t>
      </w:r>
      <w:r w:rsidRPr="00F1660D">
        <w:rPr>
          <w:lang w:val="fr-FR"/>
        </w:rPr>
        <w:t>amélioration de sa qualité, notamment</w:t>
      </w:r>
      <w:r w:rsidR="00A50629" w:rsidRPr="00F1660D">
        <w:rPr>
          <w:lang w:val="fr-FR"/>
        </w:rPr>
        <w:t xml:space="preserve"> les </w:t>
      </w:r>
      <w:r w:rsidRPr="00F1660D">
        <w:rPr>
          <w:lang w:val="fr-FR"/>
        </w:rPr>
        <w:t xml:space="preserve">organisations </w:t>
      </w:r>
      <w:r w:rsidR="0066684F" w:rsidRPr="00F1660D">
        <w:rPr>
          <w:lang w:val="fr-FR"/>
        </w:rPr>
        <w:t xml:space="preserve">participant au </w:t>
      </w:r>
      <w:r w:rsidR="0066684F" w:rsidRPr="00F1660D">
        <w:rPr>
          <w:rStyle w:val="DeltaViewInsertion"/>
          <w:color w:val="auto"/>
          <w:szCs w:val="25"/>
          <w:u w:val="none"/>
          <w:lang w:val="fr-FR"/>
        </w:rPr>
        <w:t xml:space="preserve">Programme </w:t>
      </w:r>
      <w:proofErr w:type="spellStart"/>
      <w:r w:rsidR="0066684F" w:rsidRPr="00F1660D">
        <w:rPr>
          <w:rStyle w:val="DeltaViewInsertion"/>
          <w:color w:val="auto"/>
          <w:szCs w:val="25"/>
          <w:u w:val="none"/>
          <w:lang w:val="fr-FR"/>
        </w:rPr>
        <w:t>interorganisations</w:t>
      </w:r>
      <w:proofErr w:type="spellEnd"/>
      <w:r w:rsidR="0066684F" w:rsidRPr="00F1660D">
        <w:rPr>
          <w:rStyle w:val="DeltaViewInsertion"/>
          <w:color w:val="auto"/>
          <w:szCs w:val="25"/>
          <w:u w:val="none"/>
          <w:lang w:val="fr-FR"/>
        </w:rPr>
        <w:t xml:space="preserve"> pour la gestion rationnelle des produits chimiques</w:t>
      </w:r>
      <w:r w:rsidRPr="00F1660D">
        <w:rPr>
          <w:lang w:val="fr-FR"/>
        </w:rPr>
        <w:t>.</w:t>
      </w:r>
    </w:p>
    <w:p w14:paraId="6E1BACA4" w14:textId="2F6B3B99" w:rsidR="003F205C" w:rsidRPr="00F1660D" w:rsidRDefault="003F205C" w:rsidP="003F205C">
      <w:pPr>
        <w:pStyle w:val="Normalnumber"/>
        <w:rPr>
          <w:lang w:val="fr-FR"/>
        </w:rPr>
      </w:pPr>
      <w:r w:rsidRPr="00F1660D">
        <w:rPr>
          <w:lang w:val="fr-FR"/>
        </w:rPr>
        <w:t>De nombreux représentants, dont l</w:t>
      </w:r>
      <w:r w:rsidR="00CE30FD" w:rsidRPr="00F1660D">
        <w:rPr>
          <w:lang w:val="fr-FR"/>
        </w:rPr>
        <w:t>’</w:t>
      </w:r>
      <w:r w:rsidRPr="00F1660D">
        <w:rPr>
          <w:lang w:val="fr-FR"/>
        </w:rPr>
        <w:t>un s</w:t>
      </w:r>
      <w:r w:rsidR="00CE30FD" w:rsidRPr="00F1660D">
        <w:rPr>
          <w:lang w:val="fr-FR"/>
        </w:rPr>
        <w:t>’</w:t>
      </w:r>
      <w:r w:rsidRPr="00F1660D">
        <w:rPr>
          <w:lang w:val="fr-FR"/>
        </w:rPr>
        <w:t>exprimait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se sont dit préoccupés par</w:t>
      </w:r>
      <w:r w:rsidR="00A50629" w:rsidRPr="00F1660D">
        <w:rPr>
          <w:lang w:val="fr-FR"/>
        </w:rPr>
        <w:t xml:space="preserve"> le </w:t>
      </w:r>
      <w:r w:rsidRPr="00F1660D">
        <w:rPr>
          <w:lang w:val="fr-FR"/>
        </w:rPr>
        <w:t>faible taux de réponse, en particulier de</w:t>
      </w:r>
      <w:r w:rsidR="00A50629" w:rsidRPr="00F1660D">
        <w:rPr>
          <w:lang w:val="fr-FR"/>
        </w:rPr>
        <w:t xml:space="preserve"> la </w:t>
      </w:r>
      <w:r w:rsidRPr="00F1660D">
        <w:rPr>
          <w:lang w:val="fr-FR"/>
        </w:rPr>
        <w:t>part</w:t>
      </w:r>
      <w:r w:rsidR="00A50629" w:rsidRPr="00F1660D">
        <w:rPr>
          <w:lang w:val="fr-FR"/>
        </w:rPr>
        <w:t xml:space="preserve"> des </w:t>
      </w:r>
      <w:r w:rsidRPr="00F1660D">
        <w:rPr>
          <w:lang w:val="fr-FR"/>
        </w:rPr>
        <w:t>gouvernements, et une représentante a souligné qu</w:t>
      </w:r>
      <w:r w:rsidR="00CE30FD" w:rsidRPr="00F1660D">
        <w:rPr>
          <w:lang w:val="fr-FR"/>
        </w:rPr>
        <w:t>’</w:t>
      </w:r>
      <w:r w:rsidRPr="00F1660D">
        <w:rPr>
          <w:lang w:val="fr-FR"/>
        </w:rPr>
        <w:t>il était difficile de dégager</w:t>
      </w:r>
      <w:r w:rsidR="00A50629" w:rsidRPr="00F1660D">
        <w:rPr>
          <w:lang w:val="fr-FR"/>
        </w:rPr>
        <w:t xml:space="preserve"> des </w:t>
      </w:r>
      <w:r w:rsidRPr="00F1660D">
        <w:rPr>
          <w:lang w:val="fr-FR"/>
        </w:rPr>
        <w:t>tendances ou d</w:t>
      </w:r>
      <w:r w:rsidR="00CE30FD" w:rsidRPr="00F1660D">
        <w:rPr>
          <w:lang w:val="fr-FR"/>
        </w:rPr>
        <w:t>’</w:t>
      </w:r>
      <w:r w:rsidRPr="00F1660D">
        <w:rPr>
          <w:lang w:val="fr-FR"/>
        </w:rPr>
        <w:t>évaluer</w:t>
      </w:r>
      <w:r w:rsidR="00A50629" w:rsidRPr="00F1660D">
        <w:rPr>
          <w:lang w:val="fr-FR"/>
        </w:rPr>
        <w:t xml:space="preserve"> les </w:t>
      </w:r>
      <w:r w:rsidRPr="00F1660D">
        <w:rPr>
          <w:lang w:val="fr-FR"/>
        </w:rPr>
        <w:t>progrès réalisés</w:t>
      </w:r>
      <w:r w:rsidR="00A50629" w:rsidRPr="00F1660D">
        <w:rPr>
          <w:lang w:val="fr-FR"/>
        </w:rPr>
        <w:t xml:space="preserve"> au </w:t>
      </w:r>
      <w:r w:rsidRPr="00F1660D">
        <w:rPr>
          <w:lang w:val="fr-FR"/>
        </w:rPr>
        <w:t>fil du temps lorsque différents pays communiquaient</w:t>
      </w:r>
      <w:r w:rsidR="00A50629" w:rsidRPr="00F1660D">
        <w:rPr>
          <w:lang w:val="fr-FR"/>
        </w:rPr>
        <w:t xml:space="preserve"> des </w:t>
      </w:r>
      <w:r w:rsidRPr="00F1660D">
        <w:rPr>
          <w:lang w:val="fr-FR"/>
        </w:rPr>
        <w:t xml:space="preserve">informations correspondant à différentes périodes. Plusieurs représentants se sont </w:t>
      </w:r>
      <w:proofErr w:type="gramStart"/>
      <w:r w:rsidRPr="00F1660D">
        <w:rPr>
          <w:lang w:val="fr-FR"/>
        </w:rPr>
        <w:t>demandé</w:t>
      </w:r>
      <w:r w:rsidR="00747423" w:rsidRPr="00F1660D">
        <w:rPr>
          <w:lang w:val="fr-FR"/>
        </w:rPr>
        <w:t>s</w:t>
      </w:r>
      <w:proofErr w:type="gramEnd"/>
      <w:r w:rsidRPr="00F1660D">
        <w:rPr>
          <w:lang w:val="fr-FR"/>
        </w:rPr>
        <w:t xml:space="preserve"> s</w:t>
      </w:r>
      <w:r w:rsidR="00CE30FD" w:rsidRPr="00F1660D">
        <w:rPr>
          <w:lang w:val="fr-FR"/>
        </w:rPr>
        <w:t>’</w:t>
      </w:r>
      <w:r w:rsidRPr="00F1660D">
        <w:rPr>
          <w:lang w:val="fr-FR"/>
        </w:rPr>
        <w:t>il ne fallait pas réviser</w:t>
      </w:r>
      <w:r w:rsidR="00A50629" w:rsidRPr="00F1660D">
        <w:rPr>
          <w:lang w:val="fr-FR"/>
        </w:rPr>
        <w:t xml:space="preserve"> le </w:t>
      </w:r>
      <w:r w:rsidRPr="00F1660D">
        <w:rPr>
          <w:lang w:val="fr-FR"/>
        </w:rPr>
        <w:t>système actuel de communication</w:t>
      </w:r>
      <w:r w:rsidR="00A50629" w:rsidRPr="00F1660D">
        <w:rPr>
          <w:lang w:val="fr-FR"/>
        </w:rPr>
        <w:t xml:space="preserve"> des </w:t>
      </w:r>
      <w:r w:rsidRPr="00F1660D">
        <w:rPr>
          <w:lang w:val="fr-FR"/>
        </w:rPr>
        <w:t>informations afin de mieux évaluer</w:t>
      </w:r>
      <w:r w:rsidR="00A50629" w:rsidRPr="00F1660D">
        <w:rPr>
          <w:lang w:val="fr-FR"/>
        </w:rPr>
        <w:t xml:space="preserve"> les </w:t>
      </w:r>
      <w:r w:rsidRPr="00F1660D">
        <w:rPr>
          <w:lang w:val="fr-FR"/>
        </w:rPr>
        <w:t>progrès réalisés et de circonscrire</w:t>
      </w:r>
      <w:r w:rsidR="00A50629" w:rsidRPr="00F1660D">
        <w:rPr>
          <w:lang w:val="fr-FR"/>
        </w:rPr>
        <w:t xml:space="preserve"> les </w:t>
      </w:r>
      <w:r w:rsidRPr="00F1660D">
        <w:rPr>
          <w:lang w:val="fr-FR"/>
        </w:rPr>
        <w:t>disparités en matière de mise en œuvre, ce qui était essentiel pour s</w:t>
      </w:r>
      <w:r w:rsidR="00CE30FD" w:rsidRPr="00F1660D">
        <w:rPr>
          <w:lang w:val="fr-FR"/>
        </w:rPr>
        <w:t>’</w:t>
      </w:r>
      <w:r w:rsidRPr="00F1660D">
        <w:rPr>
          <w:lang w:val="fr-FR"/>
        </w:rPr>
        <w:t>assurer un appui politique et</w:t>
      </w:r>
      <w:r w:rsidR="00A50629" w:rsidRPr="00F1660D">
        <w:rPr>
          <w:lang w:val="fr-FR"/>
        </w:rPr>
        <w:t xml:space="preserve"> des </w:t>
      </w:r>
      <w:r w:rsidRPr="00F1660D">
        <w:rPr>
          <w:lang w:val="fr-FR"/>
        </w:rPr>
        <w:t xml:space="preserve">capacités suffisantes à long terme. </w:t>
      </w:r>
    </w:p>
    <w:p w14:paraId="36BAF5DB" w14:textId="012583FF" w:rsidR="003F205C" w:rsidRPr="00F1660D" w:rsidRDefault="003F205C" w:rsidP="003F205C">
      <w:pPr>
        <w:pStyle w:val="Normalnumber"/>
        <w:rPr>
          <w:lang w:val="fr-FR"/>
        </w:rPr>
      </w:pPr>
      <w:r w:rsidRPr="00F1660D">
        <w:rPr>
          <w:lang w:val="fr-FR"/>
        </w:rPr>
        <w:t>S</w:t>
      </w:r>
      <w:r w:rsidR="00CE30FD" w:rsidRPr="00F1660D">
        <w:rPr>
          <w:lang w:val="fr-FR"/>
        </w:rPr>
        <w:t>’</w:t>
      </w:r>
      <w:r w:rsidRPr="00F1660D">
        <w:rPr>
          <w:lang w:val="fr-FR"/>
        </w:rPr>
        <w:t>agissant du rapport d</w:t>
      </w:r>
      <w:r w:rsidR="00CE30FD" w:rsidRPr="00F1660D">
        <w:rPr>
          <w:lang w:val="fr-FR"/>
        </w:rPr>
        <w:t>’</w:t>
      </w:r>
      <w:r w:rsidRPr="00F1660D">
        <w:rPr>
          <w:lang w:val="fr-FR"/>
        </w:rPr>
        <w:t>activité pour</w:t>
      </w:r>
      <w:r w:rsidR="00A50629" w:rsidRPr="00F1660D">
        <w:rPr>
          <w:lang w:val="fr-FR"/>
        </w:rPr>
        <w:t xml:space="preserve"> la </w:t>
      </w:r>
      <w:r w:rsidRPr="00F1660D">
        <w:rPr>
          <w:lang w:val="fr-FR"/>
        </w:rPr>
        <w:t>période 2017</w:t>
      </w:r>
      <w:r w:rsidR="00CE30FD" w:rsidRPr="00F1660D">
        <w:rPr>
          <w:lang w:val="fr-FR"/>
        </w:rPr>
        <w:t>–</w:t>
      </w:r>
      <w:r w:rsidRPr="00F1660D">
        <w:rPr>
          <w:lang w:val="fr-FR"/>
        </w:rPr>
        <w:t>2019, plusieurs représentants ont proposé l</w:t>
      </w:r>
      <w:r w:rsidR="00CE30FD" w:rsidRPr="00F1660D">
        <w:rPr>
          <w:lang w:val="fr-FR"/>
        </w:rPr>
        <w:t>’</w:t>
      </w:r>
      <w:r w:rsidRPr="00F1660D">
        <w:rPr>
          <w:lang w:val="fr-FR"/>
        </w:rPr>
        <w:t>élaboration d</w:t>
      </w:r>
      <w:r w:rsidR="00CE30FD" w:rsidRPr="00F1660D">
        <w:rPr>
          <w:lang w:val="fr-FR"/>
        </w:rPr>
        <w:t>’</w:t>
      </w:r>
      <w:r w:rsidRPr="00F1660D">
        <w:rPr>
          <w:lang w:val="fr-FR"/>
        </w:rPr>
        <w:t>un type de rapport différent, étant donné</w:t>
      </w:r>
      <w:r w:rsidR="00A50629" w:rsidRPr="00F1660D">
        <w:rPr>
          <w:lang w:val="fr-FR"/>
        </w:rPr>
        <w:t xml:space="preserve"> le </w:t>
      </w:r>
      <w:r w:rsidRPr="00F1660D">
        <w:rPr>
          <w:lang w:val="fr-FR"/>
        </w:rPr>
        <w:t>faible taux de réponse enregistré</w:t>
      </w:r>
      <w:r w:rsidR="00A50629" w:rsidRPr="00F1660D">
        <w:rPr>
          <w:lang w:val="fr-FR"/>
        </w:rPr>
        <w:t xml:space="preserve"> au </w:t>
      </w:r>
      <w:r w:rsidRPr="00F1660D">
        <w:rPr>
          <w:lang w:val="fr-FR"/>
        </w:rPr>
        <w:t>cours</w:t>
      </w:r>
      <w:r w:rsidR="00A50629" w:rsidRPr="00F1660D">
        <w:rPr>
          <w:lang w:val="fr-FR"/>
        </w:rPr>
        <w:t xml:space="preserve"> des </w:t>
      </w:r>
      <w:r w:rsidRPr="00F1660D">
        <w:rPr>
          <w:lang w:val="fr-FR"/>
        </w:rPr>
        <w:t>précédentes périodes de communication</w:t>
      </w:r>
      <w:r w:rsidR="00A50629" w:rsidRPr="00F1660D">
        <w:rPr>
          <w:lang w:val="fr-FR"/>
        </w:rPr>
        <w:t xml:space="preserve"> des </w:t>
      </w:r>
      <w:r w:rsidRPr="00F1660D">
        <w:rPr>
          <w:lang w:val="fr-FR"/>
        </w:rPr>
        <w:t>données. Un représentant, s</w:t>
      </w:r>
      <w:r w:rsidR="00CE30FD" w:rsidRPr="00F1660D">
        <w:rPr>
          <w:lang w:val="fr-FR"/>
        </w:rPr>
        <w:t>’</w:t>
      </w:r>
      <w:r w:rsidRPr="00F1660D">
        <w:rPr>
          <w:lang w:val="fr-FR"/>
        </w:rPr>
        <w:t>exprimant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a suggéré de demander</w:t>
      </w:r>
      <w:r w:rsidR="00A50629" w:rsidRPr="00F1660D">
        <w:rPr>
          <w:lang w:val="fr-FR"/>
        </w:rPr>
        <w:t xml:space="preserve"> au </w:t>
      </w:r>
      <w:r w:rsidRPr="00F1660D">
        <w:rPr>
          <w:lang w:val="fr-FR"/>
        </w:rPr>
        <w:t>secrétariat d</w:t>
      </w:r>
      <w:r w:rsidR="00CE30FD" w:rsidRPr="00F1660D">
        <w:rPr>
          <w:lang w:val="fr-FR"/>
        </w:rPr>
        <w:t>’</w:t>
      </w:r>
      <w:r w:rsidRPr="00F1660D">
        <w:rPr>
          <w:lang w:val="fr-FR"/>
        </w:rPr>
        <w:t>établir un rapport à partir</w:t>
      </w:r>
      <w:r w:rsidR="00A50629" w:rsidRPr="00F1660D">
        <w:rPr>
          <w:lang w:val="fr-FR"/>
        </w:rPr>
        <w:t xml:space="preserve"> des </w:t>
      </w:r>
      <w:r w:rsidRPr="00F1660D">
        <w:rPr>
          <w:lang w:val="fr-FR"/>
        </w:rPr>
        <w:t>informations et</w:t>
      </w:r>
      <w:r w:rsidR="00A50629" w:rsidRPr="00F1660D">
        <w:rPr>
          <w:lang w:val="fr-FR"/>
        </w:rPr>
        <w:t xml:space="preserve"> des </w:t>
      </w:r>
      <w:r w:rsidRPr="00F1660D">
        <w:rPr>
          <w:lang w:val="fr-FR"/>
        </w:rPr>
        <w:t>données transmises par</w:t>
      </w:r>
      <w:r w:rsidR="00A50629" w:rsidRPr="00F1660D">
        <w:rPr>
          <w:lang w:val="fr-FR"/>
        </w:rPr>
        <w:t xml:space="preserve"> les </w:t>
      </w:r>
      <w:r w:rsidRPr="00F1660D">
        <w:rPr>
          <w:lang w:val="fr-FR"/>
        </w:rPr>
        <w:t xml:space="preserve">organisations </w:t>
      </w:r>
      <w:r w:rsidR="0066684F" w:rsidRPr="00F1660D">
        <w:rPr>
          <w:lang w:val="fr-FR"/>
        </w:rPr>
        <w:t xml:space="preserve">participant </w:t>
      </w:r>
      <w:r w:rsidR="0066684F" w:rsidRPr="00F1660D">
        <w:rPr>
          <w:rStyle w:val="DeltaViewInsertion"/>
          <w:color w:val="auto"/>
          <w:szCs w:val="25"/>
          <w:u w:val="none"/>
          <w:lang w:val="fr-FR"/>
        </w:rPr>
        <w:t xml:space="preserve">au Programme </w:t>
      </w:r>
      <w:proofErr w:type="spellStart"/>
      <w:r w:rsidR="0066684F" w:rsidRPr="00F1660D">
        <w:rPr>
          <w:rStyle w:val="DeltaViewInsertion"/>
          <w:color w:val="auto"/>
          <w:szCs w:val="25"/>
          <w:u w:val="none"/>
          <w:lang w:val="fr-FR"/>
        </w:rPr>
        <w:t>interorganisations</w:t>
      </w:r>
      <w:proofErr w:type="spellEnd"/>
      <w:r w:rsidR="0066684F" w:rsidRPr="00F1660D">
        <w:rPr>
          <w:rStyle w:val="DeltaViewInsertion"/>
          <w:color w:val="auto"/>
          <w:szCs w:val="25"/>
          <w:u w:val="none"/>
          <w:lang w:val="fr-FR"/>
        </w:rPr>
        <w:t xml:space="preserve"> pour la gestion rationnelle des produits</w:t>
      </w:r>
      <w:r w:rsidR="00606FF6" w:rsidRPr="00F1660D">
        <w:rPr>
          <w:rStyle w:val="DeltaViewInsertion"/>
          <w:color w:val="auto"/>
          <w:szCs w:val="25"/>
          <w:u w:val="none"/>
          <w:lang w:val="fr-FR"/>
        </w:rPr>
        <w:t xml:space="preserve"> chimiques</w:t>
      </w:r>
      <w:r w:rsidRPr="00F1660D">
        <w:rPr>
          <w:lang w:val="fr-FR"/>
        </w:rPr>
        <w:t>, ce qui pourrait servir de référence pour évaluer</w:t>
      </w:r>
      <w:r w:rsidR="00A50629" w:rsidRPr="00F1660D">
        <w:rPr>
          <w:lang w:val="fr-FR"/>
        </w:rPr>
        <w:t xml:space="preserve"> les </w:t>
      </w:r>
      <w:r w:rsidRPr="00F1660D">
        <w:rPr>
          <w:lang w:val="fr-FR"/>
        </w:rPr>
        <w:t>progrès réalisés à l</w:t>
      </w:r>
      <w:r w:rsidR="00CE30FD" w:rsidRPr="00F1660D">
        <w:rPr>
          <w:lang w:val="fr-FR"/>
        </w:rPr>
        <w:t>’</w:t>
      </w:r>
      <w:r w:rsidRPr="00F1660D">
        <w:rPr>
          <w:lang w:val="fr-FR"/>
        </w:rPr>
        <w:t>avenir sans préjuger</w:t>
      </w:r>
      <w:r w:rsidR="00A50629" w:rsidRPr="00F1660D">
        <w:rPr>
          <w:lang w:val="fr-FR"/>
        </w:rPr>
        <w:t xml:space="preserve"> des </w:t>
      </w:r>
      <w:r w:rsidRPr="00F1660D">
        <w:rPr>
          <w:lang w:val="fr-FR"/>
        </w:rPr>
        <w:t>futures modalités de communication</w:t>
      </w:r>
      <w:r w:rsidR="00A50629" w:rsidRPr="00F1660D">
        <w:rPr>
          <w:lang w:val="fr-FR"/>
        </w:rPr>
        <w:t xml:space="preserve"> des </w:t>
      </w:r>
      <w:r w:rsidRPr="00F1660D">
        <w:rPr>
          <w:lang w:val="fr-FR"/>
        </w:rPr>
        <w:t>données. Une représentante a avancé l</w:t>
      </w:r>
      <w:r w:rsidR="00CE30FD" w:rsidRPr="00F1660D">
        <w:rPr>
          <w:lang w:val="fr-FR"/>
        </w:rPr>
        <w:t>’</w:t>
      </w:r>
      <w:r w:rsidRPr="00F1660D">
        <w:rPr>
          <w:lang w:val="fr-FR"/>
        </w:rPr>
        <w:t>idée que</w:t>
      </w:r>
      <w:r w:rsidR="00A50629" w:rsidRPr="00F1660D">
        <w:rPr>
          <w:lang w:val="fr-FR"/>
        </w:rPr>
        <w:t xml:space="preserve"> le </w:t>
      </w:r>
      <w:r w:rsidRPr="00F1660D">
        <w:rPr>
          <w:lang w:val="fr-FR"/>
        </w:rPr>
        <w:t>Groupe de travail prie</w:t>
      </w:r>
      <w:r w:rsidR="00A50629" w:rsidRPr="00F1660D">
        <w:rPr>
          <w:lang w:val="fr-FR"/>
        </w:rPr>
        <w:t xml:space="preserve"> le </w:t>
      </w:r>
      <w:r w:rsidRPr="00F1660D">
        <w:rPr>
          <w:lang w:val="fr-FR"/>
        </w:rPr>
        <w:t>secrétariat d</w:t>
      </w:r>
      <w:r w:rsidR="00CE30FD" w:rsidRPr="00F1660D">
        <w:rPr>
          <w:lang w:val="fr-FR"/>
        </w:rPr>
        <w:t>’</w:t>
      </w:r>
      <w:r w:rsidRPr="00F1660D">
        <w:rPr>
          <w:lang w:val="fr-FR"/>
        </w:rPr>
        <w:t>élaborer, pour examen par</w:t>
      </w:r>
      <w:r w:rsidR="00A50629" w:rsidRPr="00F1660D">
        <w:rPr>
          <w:lang w:val="fr-FR"/>
        </w:rPr>
        <w:t xml:space="preserve"> le </w:t>
      </w:r>
      <w:r w:rsidRPr="00F1660D">
        <w:rPr>
          <w:lang w:val="fr-FR"/>
        </w:rPr>
        <w:t>Bureau, une enquête visant à recueillir un ensemble restreint de données plus utiles, en tenant compte</w:t>
      </w:r>
      <w:r w:rsidR="00A50629" w:rsidRPr="00F1660D">
        <w:rPr>
          <w:lang w:val="fr-FR"/>
        </w:rPr>
        <w:t xml:space="preserve"> des </w:t>
      </w:r>
      <w:r w:rsidRPr="00F1660D">
        <w:rPr>
          <w:lang w:val="fr-FR"/>
        </w:rPr>
        <w:t>indicateurs de l</w:t>
      </w:r>
      <w:r w:rsidR="00CE30FD" w:rsidRPr="00F1660D">
        <w:rPr>
          <w:lang w:val="fr-FR"/>
        </w:rPr>
        <w:t>’</w:t>
      </w:r>
      <w:r w:rsidRPr="00F1660D">
        <w:rPr>
          <w:lang w:val="fr-FR"/>
        </w:rPr>
        <w:t>IOMC, afin d</w:t>
      </w:r>
      <w:r w:rsidR="00CE30FD" w:rsidRPr="00F1660D">
        <w:rPr>
          <w:lang w:val="fr-FR"/>
        </w:rPr>
        <w:t>’</w:t>
      </w:r>
      <w:r w:rsidRPr="00F1660D">
        <w:rPr>
          <w:lang w:val="fr-FR"/>
        </w:rPr>
        <w:t>établir un rapport simplifié.</w:t>
      </w:r>
    </w:p>
    <w:p w14:paraId="3D76AA26" w14:textId="0E709F77" w:rsidR="003F205C" w:rsidRPr="00F1660D" w:rsidRDefault="003F205C" w:rsidP="003F205C">
      <w:pPr>
        <w:pStyle w:val="Normalnumber"/>
        <w:rPr>
          <w:lang w:val="fr-FR"/>
        </w:rPr>
      </w:pPr>
      <w:r w:rsidRPr="00F1660D">
        <w:rPr>
          <w:lang w:val="fr-FR"/>
        </w:rPr>
        <w:t>Une autre représentante s</w:t>
      </w:r>
      <w:r w:rsidR="00CE30FD" w:rsidRPr="00F1660D">
        <w:rPr>
          <w:lang w:val="fr-FR"/>
        </w:rPr>
        <w:t>’</w:t>
      </w:r>
      <w:r w:rsidRPr="00F1660D">
        <w:rPr>
          <w:lang w:val="fr-FR"/>
        </w:rPr>
        <w:t>est déclarée en faveur de l</w:t>
      </w:r>
      <w:r w:rsidR="00CE30FD" w:rsidRPr="00F1660D">
        <w:rPr>
          <w:lang w:val="fr-FR"/>
        </w:rPr>
        <w:t>’</w:t>
      </w:r>
      <w:r w:rsidRPr="00F1660D">
        <w:rPr>
          <w:lang w:val="fr-FR"/>
        </w:rPr>
        <w:t>élaboration d</w:t>
      </w:r>
      <w:r w:rsidR="00CE30FD" w:rsidRPr="00F1660D">
        <w:rPr>
          <w:lang w:val="fr-FR"/>
        </w:rPr>
        <w:t>’</w:t>
      </w:r>
      <w:r w:rsidRPr="00F1660D">
        <w:rPr>
          <w:lang w:val="fr-FR"/>
        </w:rPr>
        <w:t>un rapport d</w:t>
      </w:r>
      <w:r w:rsidR="00CE30FD" w:rsidRPr="00F1660D">
        <w:rPr>
          <w:lang w:val="fr-FR"/>
        </w:rPr>
        <w:t>’</w:t>
      </w:r>
      <w:r w:rsidRPr="00F1660D">
        <w:rPr>
          <w:lang w:val="fr-FR"/>
        </w:rPr>
        <w:t>activité pour</w:t>
      </w:r>
      <w:r w:rsidR="00A50629" w:rsidRPr="00F1660D">
        <w:rPr>
          <w:lang w:val="fr-FR"/>
        </w:rPr>
        <w:t xml:space="preserve"> la </w:t>
      </w:r>
      <w:r w:rsidRPr="00F1660D">
        <w:rPr>
          <w:lang w:val="fr-FR"/>
        </w:rPr>
        <w:t>période 2017</w:t>
      </w:r>
      <w:r w:rsidR="00CE30FD" w:rsidRPr="00F1660D">
        <w:rPr>
          <w:lang w:val="fr-FR"/>
        </w:rPr>
        <w:t>–</w:t>
      </w:r>
      <w:r w:rsidRPr="00F1660D">
        <w:rPr>
          <w:lang w:val="fr-FR"/>
        </w:rPr>
        <w:t>2019 et de</w:t>
      </w:r>
      <w:r w:rsidR="00A50629" w:rsidRPr="00F1660D">
        <w:rPr>
          <w:lang w:val="fr-FR"/>
        </w:rPr>
        <w:t xml:space="preserve"> la </w:t>
      </w:r>
      <w:r w:rsidRPr="00F1660D">
        <w:rPr>
          <w:lang w:val="fr-FR"/>
        </w:rPr>
        <w:t>simplification de</w:t>
      </w:r>
      <w:r w:rsidR="00A50629" w:rsidRPr="00F1660D">
        <w:rPr>
          <w:lang w:val="fr-FR"/>
        </w:rPr>
        <w:t xml:space="preserve"> la </w:t>
      </w:r>
      <w:r w:rsidRPr="00F1660D">
        <w:rPr>
          <w:lang w:val="fr-FR"/>
        </w:rPr>
        <w:t>communication</w:t>
      </w:r>
      <w:r w:rsidR="00A50629" w:rsidRPr="00F1660D">
        <w:rPr>
          <w:lang w:val="fr-FR"/>
        </w:rPr>
        <w:t xml:space="preserve"> des </w:t>
      </w:r>
      <w:r w:rsidRPr="00F1660D">
        <w:rPr>
          <w:lang w:val="fr-FR"/>
        </w:rPr>
        <w:t>informations</w:t>
      </w:r>
      <w:r w:rsidR="00A50629" w:rsidRPr="00F1660D">
        <w:rPr>
          <w:lang w:val="fr-FR"/>
        </w:rPr>
        <w:t xml:space="preserve"> au </w:t>
      </w:r>
      <w:r w:rsidRPr="00F1660D">
        <w:rPr>
          <w:lang w:val="fr-FR"/>
        </w:rPr>
        <w:t>moyen d</w:t>
      </w:r>
      <w:r w:rsidR="00CE30FD" w:rsidRPr="00F1660D">
        <w:rPr>
          <w:lang w:val="fr-FR"/>
        </w:rPr>
        <w:t>’</w:t>
      </w:r>
      <w:r w:rsidRPr="00F1660D">
        <w:rPr>
          <w:lang w:val="fr-FR"/>
        </w:rPr>
        <w:t>un questionnaire et de sources de données supplémentaires, dont l</w:t>
      </w:r>
      <w:r w:rsidR="00CE30FD" w:rsidRPr="00F1660D">
        <w:rPr>
          <w:lang w:val="fr-FR"/>
        </w:rPr>
        <w:t>’</w:t>
      </w:r>
      <w:r w:rsidRPr="00F1660D">
        <w:rPr>
          <w:lang w:val="fr-FR"/>
        </w:rPr>
        <w:t>IOMC. Elle a engagé</w:t>
      </w:r>
      <w:r w:rsidR="00A50629" w:rsidRPr="00F1660D">
        <w:rPr>
          <w:lang w:val="fr-FR"/>
        </w:rPr>
        <w:t xml:space="preserve"> les </w:t>
      </w:r>
      <w:r w:rsidRPr="00F1660D">
        <w:rPr>
          <w:lang w:val="fr-FR"/>
        </w:rPr>
        <w:t>parties prenantes à communiquer</w:t>
      </w:r>
      <w:r w:rsidR="00A50629" w:rsidRPr="00F1660D">
        <w:rPr>
          <w:lang w:val="fr-FR"/>
        </w:rPr>
        <w:t xml:space="preserve"> des </w:t>
      </w:r>
      <w:r w:rsidRPr="00F1660D">
        <w:rPr>
          <w:lang w:val="fr-FR"/>
        </w:rPr>
        <w:t>informations sur</w:t>
      </w:r>
      <w:r w:rsidR="00A50629" w:rsidRPr="00F1660D">
        <w:rPr>
          <w:lang w:val="fr-FR"/>
        </w:rPr>
        <w:t xml:space="preserve"> les </w:t>
      </w:r>
      <w:r w:rsidRPr="00F1660D">
        <w:rPr>
          <w:lang w:val="fr-FR"/>
        </w:rPr>
        <w:t>stratégies efficaces et</w:t>
      </w:r>
      <w:r w:rsidR="00A50629" w:rsidRPr="00F1660D">
        <w:rPr>
          <w:lang w:val="fr-FR"/>
        </w:rPr>
        <w:t xml:space="preserve"> les </w:t>
      </w:r>
      <w:r w:rsidRPr="00F1660D">
        <w:rPr>
          <w:lang w:val="fr-FR"/>
        </w:rPr>
        <w:t>résultats obtenus dans</w:t>
      </w:r>
      <w:r w:rsidR="00A50629" w:rsidRPr="00F1660D">
        <w:rPr>
          <w:lang w:val="fr-FR"/>
        </w:rPr>
        <w:t xml:space="preserve"> le </w:t>
      </w:r>
      <w:r w:rsidRPr="00F1660D">
        <w:rPr>
          <w:lang w:val="fr-FR"/>
        </w:rPr>
        <w:t>cadre de l</w:t>
      </w:r>
      <w:r w:rsidR="00CE30FD" w:rsidRPr="00F1660D">
        <w:rPr>
          <w:lang w:val="fr-FR"/>
        </w:rPr>
        <w:t>’</w:t>
      </w:r>
      <w:r w:rsidRPr="00F1660D">
        <w:rPr>
          <w:lang w:val="fr-FR"/>
        </w:rPr>
        <w:t>Approche stratégique.</w:t>
      </w:r>
    </w:p>
    <w:p w14:paraId="0C6A5A9C" w14:textId="455CE3A3" w:rsidR="003F205C" w:rsidRPr="00F1660D" w:rsidRDefault="003F205C" w:rsidP="003F205C">
      <w:pPr>
        <w:pStyle w:val="Normalnumber"/>
        <w:rPr>
          <w:lang w:val="fr-FR"/>
        </w:rPr>
      </w:pPr>
      <w:r w:rsidRPr="00F1660D">
        <w:rPr>
          <w:lang w:val="fr-FR"/>
        </w:rPr>
        <w:t>Le représentant s</w:t>
      </w:r>
      <w:r w:rsidR="00CE30FD" w:rsidRPr="00F1660D">
        <w:rPr>
          <w:lang w:val="fr-FR"/>
        </w:rPr>
        <w:t>’</w:t>
      </w:r>
      <w:r w:rsidRPr="00F1660D">
        <w:rPr>
          <w:lang w:val="fr-FR"/>
        </w:rPr>
        <w:t>exprimant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a mis en relief certaines</w:t>
      </w:r>
      <w:r w:rsidR="00A50629" w:rsidRPr="00F1660D">
        <w:rPr>
          <w:lang w:val="fr-FR"/>
        </w:rPr>
        <w:t xml:space="preserve"> des </w:t>
      </w:r>
      <w:r w:rsidRPr="00F1660D">
        <w:rPr>
          <w:lang w:val="fr-FR"/>
        </w:rPr>
        <w:t>conclusions générales formulées dans</w:t>
      </w:r>
      <w:r w:rsidR="00A50629" w:rsidRPr="00F1660D">
        <w:rPr>
          <w:lang w:val="fr-FR"/>
        </w:rPr>
        <w:t xml:space="preserve"> le </w:t>
      </w:r>
      <w:r w:rsidRPr="00F1660D">
        <w:rPr>
          <w:lang w:val="fr-FR"/>
        </w:rPr>
        <w:t>rapport d</w:t>
      </w:r>
      <w:r w:rsidR="00CE30FD" w:rsidRPr="00F1660D">
        <w:rPr>
          <w:lang w:val="fr-FR"/>
        </w:rPr>
        <w:t>’</w:t>
      </w:r>
      <w:r w:rsidRPr="00F1660D">
        <w:rPr>
          <w:lang w:val="fr-FR"/>
        </w:rPr>
        <w:t>activité,</w:t>
      </w:r>
      <w:r w:rsidR="00A50629" w:rsidRPr="00F1660D">
        <w:rPr>
          <w:lang w:val="fr-FR"/>
        </w:rPr>
        <w:t xml:space="preserve"> y </w:t>
      </w:r>
      <w:r w:rsidRPr="00F1660D">
        <w:rPr>
          <w:lang w:val="fr-FR"/>
        </w:rPr>
        <w:t>compris</w:t>
      </w:r>
      <w:r w:rsidR="00A50629" w:rsidRPr="00F1660D">
        <w:rPr>
          <w:lang w:val="fr-FR"/>
        </w:rPr>
        <w:t xml:space="preserve"> le </w:t>
      </w:r>
      <w:r w:rsidRPr="00F1660D">
        <w:rPr>
          <w:lang w:val="fr-FR"/>
        </w:rPr>
        <w:t>fait que</w:t>
      </w:r>
      <w:r w:rsidR="00A50629" w:rsidRPr="00F1660D">
        <w:rPr>
          <w:lang w:val="fr-FR"/>
        </w:rPr>
        <w:t xml:space="preserve"> les </w:t>
      </w:r>
      <w:r w:rsidRPr="00F1660D">
        <w:rPr>
          <w:lang w:val="fr-FR"/>
        </w:rPr>
        <w:t>écarts globaux entre</w:t>
      </w:r>
      <w:r w:rsidR="00A50629" w:rsidRPr="00F1660D">
        <w:rPr>
          <w:lang w:val="fr-FR"/>
        </w:rPr>
        <w:t xml:space="preserve"> les </w:t>
      </w:r>
      <w:r w:rsidRPr="00F1660D">
        <w:rPr>
          <w:lang w:val="fr-FR"/>
        </w:rPr>
        <w:t>pays se trouvant à différents stades de développement augmentaient</w:t>
      </w:r>
      <w:r w:rsidR="00A50629" w:rsidRPr="00F1660D">
        <w:rPr>
          <w:lang w:val="fr-FR"/>
        </w:rPr>
        <w:t xml:space="preserve"> au </w:t>
      </w:r>
      <w:r w:rsidRPr="00F1660D">
        <w:rPr>
          <w:lang w:val="fr-FR"/>
        </w:rPr>
        <w:t>lieu de diminuer, ce qui était préoccupant, étant donné que c</w:t>
      </w:r>
      <w:r w:rsidR="00CE30FD" w:rsidRPr="00F1660D">
        <w:rPr>
          <w:lang w:val="fr-FR"/>
        </w:rPr>
        <w:t>’</w:t>
      </w:r>
      <w:r w:rsidRPr="00F1660D">
        <w:rPr>
          <w:lang w:val="fr-FR"/>
        </w:rPr>
        <w:t>était dans</w:t>
      </w:r>
      <w:r w:rsidR="00A50629" w:rsidRPr="00F1660D">
        <w:rPr>
          <w:lang w:val="fr-FR"/>
        </w:rPr>
        <w:t xml:space="preserve"> les </w:t>
      </w:r>
      <w:r w:rsidRPr="00F1660D">
        <w:rPr>
          <w:lang w:val="fr-FR"/>
        </w:rPr>
        <w:t>pays en développement que, d</w:t>
      </w:r>
      <w:r w:rsidR="00CE30FD" w:rsidRPr="00F1660D">
        <w:rPr>
          <w:lang w:val="fr-FR"/>
        </w:rPr>
        <w:t>’</w:t>
      </w:r>
      <w:r w:rsidRPr="00F1660D">
        <w:rPr>
          <w:lang w:val="fr-FR"/>
        </w:rPr>
        <w:t>après</w:t>
      </w:r>
      <w:r w:rsidR="00A50629" w:rsidRPr="00F1660D">
        <w:rPr>
          <w:lang w:val="fr-FR"/>
        </w:rPr>
        <w:t xml:space="preserve"> les </w:t>
      </w:r>
      <w:r w:rsidRPr="00F1660D">
        <w:rPr>
          <w:lang w:val="fr-FR"/>
        </w:rPr>
        <w:t>prévisions,</w:t>
      </w:r>
      <w:r w:rsidR="00A50629" w:rsidRPr="00F1660D">
        <w:rPr>
          <w:lang w:val="fr-FR"/>
        </w:rPr>
        <w:t xml:space="preserve"> la </w:t>
      </w:r>
      <w:r w:rsidRPr="00F1660D">
        <w:rPr>
          <w:lang w:val="fr-FR"/>
        </w:rPr>
        <w:t>production et l</w:t>
      </w:r>
      <w:r w:rsidR="00CE30FD" w:rsidRPr="00F1660D">
        <w:rPr>
          <w:lang w:val="fr-FR"/>
        </w:rPr>
        <w:t>’</w:t>
      </w:r>
      <w:r w:rsidRPr="00F1660D">
        <w:rPr>
          <w:lang w:val="fr-FR"/>
        </w:rPr>
        <w:t>utilisation de produits chimiques devaient principalement s</w:t>
      </w:r>
      <w:r w:rsidR="00CE30FD" w:rsidRPr="00F1660D">
        <w:rPr>
          <w:lang w:val="fr-FR"/>
        </w:rPr>
        <w:t>’</w:t>
      </w:r>
      <w:r w:rsidRPr="00F1660D">
        <w:rPr>
          <w:lang w:val="fr-FR"/>
        </w:rPr>
        <w:t>accroître. Un autre représentant, attirant l</w:t>
      </w:r>
      <w:r w:rsidR="00CE30FD" w:rsidRPr="00F1660D">
        <w:rPr>
          <w:lang w:val="fr-FR"/>
        </w:rPr>
        <w:t>’</w:t>
      </w:r>
      <w:r w:rsidRPr="00F1660D">
        <w:rPr>
          <w:lang w:val="fr-FR"/>
        </w:rPr>
        <w:t>attention</w:t>
      </w:r>
      <w:r w:rsidR="00A50629" w:rsidRPr="00F1660D">
        <w:rPr>
          <w:lang w:val="fr-FR"/>
        </w:rPr>
        <w:t xml:space="preserve"> des </w:t>
      </w:r>
      <w:r w:rsidRPr="00F1660D">
        <w:rPr>
          <w:lang w:val="fr-FR"/>
        </w:rPr>
        <w:t>participants sur</w:t>
      </w:r>
      <w:r w:rsidR="00A50629" w:rsidRPr="00F1660D">
        <w:rPr>
          <w:lang w:val="fr-FR"/>
        </w:rPr>
        <w:t xml:space="preserve"> la </w:t>
      </w:r>
      <w:r w:rsidRPr="00F1660D">
        <w:rPr>
          <w:lang w:val="fr-FR"/>
        </w:rPr>
        <w:t>conclusion du deuxième rapport sur</w:t>
      </w:r>
      <w:r w:rsidR="00A50629" w:rsidRPr="00F1660D">
        <w:rPr>
          <w:lang w:val="fr-FR"/>
        </w:rPr>
        <w:t xml:space="preserve"> les </w:t>
      </w:r>
      <w:r w:rsidRPr="00F1660D">
        <w:rPr>
          <w:lang w:val="fr-FR"/>
        </w:rPr>
        <w:t>perspectives mondiales en matière de produits chimiques que l</w:t>
      </w:r>
      <w:r w:rsidR="00CE30FD" w:rsidRPr="00F1660D">
        <w:rPr>
          <w:lang w:val="fr-FR"/>
        </w:rPr>
        <w:t>’</w:t>
      </w:r>
      <w:r w:rsidRPr="00F1660D">
        <w:rPr>
          <w:lang w:val="fr-FR"/>
        </w:rPr>
        <w:t>objectif fixé pour 2020 ne serait pas atteint, a été d</w:t>
      </w:r>
      <w:r w:rsidR="00CE30FD" w:rsidRPr="00F1660D">
        <w:rPr>
          <w:lang w:val="fr-FR"/>
        </w:rPr>
        <w:t>’</w:t>
      </w:r>
      <w:r w:rsidRPr="00F1660D">
        <w:rPr>
          <w:lang w:val="fr-FR"/>
        </w:rPr>
        <w:t>avis qu</w:t>
      </w:r>
      <w:r w:rsidR="00CE30FD" w:rsidRPr="00F1660D">
        <w:rPr>
          <w:lang w:val="fr-FR"/>
        </w:rPr>
        <w:t>’</w:t>
      </w:r>
      <w:r w:rsidRPr="00F1660D">
        <w:rPr>
          <w:lang w:val="fr-FR"/>
        </w:rPr>
        <w:t>il fallait doter</w:t>
      </w:r>
      <w:r w:rsidR="00A50629" w:rsidRPr="00F1660D">
        <w:rPr>
          <w:lang w:val="fr-FR"/>
        </w:rPr>
        <w:t xml:space="preserve"> le </w:t>
      </w:r>
      <w:r w:rsidRPr="00F1660D">
        <w:rPr>
          <w:lang w:val="fr-FR"/>
        </w:rPr>
        <w:t>cadre pour l</w:t>
      </w:r>
      <w:r w:rsidR="00CE30FD" w:rsidRPr="00F1660D">
        <w:rPr>
          <w:lang w:val="fr-FR"/>
        </w:rPr>
        <w:t>’</w:t>
      </w:r>
      <w:r w:rsidRPr="00F1660D">
        <w:rPr>
          <w:lang w:val="fr-FR"/>
        </w:rPr>
        <w:t>après-2020 de cibles et d</w:t>
      </w:r>
      <w:r w:rsidR="00CE30FD" w:rsidRPr="00F1660D">
        <w:rPr>
          <w:lang w:val="fr-FR"/>
        </w:rPr>
        <w:t>’</w:t>
      </w:r>
      <w:r w:rsidRPr="00F1660D">
        <w:rPr>
          <w:lang w:val="fr-FR"/>
        </w:rPr>
        <w:t>indicateurs mieux conçus et envisager d</w:t>
      </w:r>
      <w:r w:rsidR="00CE30FD" w:rsidRPr="00F1660D">
        <w:rPr>
          <w:lang w:val="fr-FR"/>
        </w:rPr>
        <w:t>’</w:t>
      </w:r>
      <w:r w:rsidRPr="00F1660D">
        <w:rPr>
          <w:lang w:val="fr-FR"/>
        </w:rPr>
        <w:t>autres outils, tels que</w:t>
      </w:r>
      <w:r w:rsidR="00A50629" w:rsidRPr="00F1660D">
        <w:rPr>
          <w:lang w:val="fr-FR"/>
        </w:rPr>
        <w:t xml:space="preserve"> les </w:t>
      </w:r>
      <w:r w:rsidRPr="00F1660D">
        <w:rPr>
          <w:lang w:val="fr-FR"/>
        </w:rPr>
        <w:t>examens par</w:t>
      </w:r>
      <w:r w:rsidR="00A50629" w:rsidRPr="00F1660D">
        <w:rPr>
          <w:lang w:val="fr-FR"/>
        </w:rPr>
        <w:t xml:space="preserve"> les </w:t>
      </w:r>
      <w:r w:rsidRPr="00F1660D">
        <w:rPr>
          <w:lang w:val="fr-FR"/>
        </w:rPr>
        <w:t>pairs, pour évaluer et améliorer</w:t>
      </w:r>
      <w:r w:rsidR="00A50629" w:rsidRPr="00F1660D">
        <w:rPr>
          <w:lang w:val="fr-FR"/>
        </w:rPr>
        <w:t xml:space="preserve"> la </w:t>
      </w:r>
      <w:r w:rsidRPr="00F1660D">
        <w:rPr>
          <w:lang w:val="fr-FR"/>
        </w:rPr>
        <w:t xml:space="preserve">gestion </w:t>
      </w:r>
      <w:r w:rsidR="00606841" w:rsidRPr="00F1660D">
        <w:rPr>
          <w:lang w:val="fr-FR"/>
        </w:rPr>
        <w:t>rationnell</w:t>
      </w:r>
      <w:r w:rsidRPr="00F1660D">
        <w:rPr>
          <w:lang w:val="fr-FR"/>
        </w:rPr>
        <w:t>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Selon lui, il fallait également renforcer l</w:t>
      </w:r>
      <w:r w:rsidR="00CE30FD" w:rsidRPr="00F1660D">
        <w:rPr>
          <w:lang w:val="fr-FR"/>
        </w:rPr>
        <w:t>’</w:t>
      </w:r>
      <w:r w:rsidRPr="00F1660D">
        <w:rPr>
          <w:lang w:val="fr-FR"/>
        </w:rPr>
        <w:t>interface science-politique internationale en matière de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 il a, a cet égard, salué</w:t>
      </w:r>
      <w:r w:rsidR="00A50629" w:rsidRPr="00F1660D">
        <w:rPr>
          <w:lang w:val="fr-FR"/>
        </w:rPr>
        <w:t xml:space="preserve"> la </w:t>
      </w:r>
      <w:r w:rsidR="00FE055B" w:rsidRPr="00F1660D">
        <w:rPr>
          <w:lang w:val="fr-FR"/>
        </w:rPr>
        <w:t>décision</w:t>
      </w:r>
      <w:r w:rsidRPr="00F1660D">
        <w:rPr>
          <w:lang w:val="fr-FR"/>
        </w:rPr>
        <w:t xml:space="preserve"> relative à</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adoptée par l</w:t>
      </w:r>
      <w:r w:rsidR="00CE30FD" w:rsidRPr="00F1660D">
        <w:rPr>
          <w:lang w:val="fr-FR"/>
        </w:rPr>
        <w:t>’</w:t>
      </w:r>
      <w:r w:rsidRPr="00F1660D">
        <w:rPr>
          <w:lang w:val="fr-FR"/>
        </w:rPr>
        <w:t>Assemblée</w:t>
      </w:r>
      <w:r w:rsidR="00A50629" w:rsidRPr="00F1660D">
        <w:rPr>
          <w:lang w:val="fr-FR"/>
        </w:rPr>
        <w:t xml:space="preserve"> des </w:t>
      </w:r>
      <w:r w:rsidR="002C67A2" w:rsidRPr="00F1660D">
        <w:rPr>
          <w:lang w:val="fr-FR"/>
        </w:rPr>
        <w:t>Nations Unies</w:t>
      </w:r>
      <w:r w:rsidRPr="00F1660D">
        <w:rPr>
          <w:lang w:val="fr-FR"/>
        </w:rPr>
        <w:t xml:space="preserve"> pour l</w:t>
      </w:r>
      <w:r w:rsidR="00CE30FD" w:rsidRPr="00F1660D">
        <w:rPr>
          <w:lang w:val="fr-FR"/>
        </w:rPr>
        <w:t>’</w:t>
      </w:r>
      <w:r w:rsidRPr="00F1660D">
        <w:rPr>
          <w:lang w:val="fr-FR"/>
        </w:rPr>
        <w:t>environnement à sa quatrième</w:t>
      </w:r>
      <w:r w:rsidR="00254951" w:rsidRPr="00F1660D">
        <w:rPr>
          <w:lang w:val="fr-FR"/>
        </w:rPr>
        <w:t> </w:t>
      </w:r>
      <w:r w:rsidRPr="00F1660D">
        <w:rPr>
          <w:lang w:val="fr-FR"/>
        </w:rPr>
        <w:t>session, dans laquelle l</w:t>
      </w:r>
      <w:r w:rsidR="00CE30FD" w:rsidRPr="00F1660D">
        <w:rPr>
          <w:lang w:val="fr-FR"/>
        </w:rPr>
        <w:t>’</w:t>
      </w:r>
      <w:r w:rsidRPr="00F1660D">
        <w:rPr>
          <w:lang w:val="fr-FR"/>
        </w:rPr>
        <w:t>Assemblée priait</w:t>
      </w:r>
      <w:r w:rsidR="00A50629" w:rsidRPr="00F1660D">
        <w:rPr>
          <w:lang w:val="fr-FR"/>
        </w:rPr>
        <w:t xml:space="preserve"> la </w:t>
      </w:r>
      <w:r w:rsidRPr="00F1660D">
        <w:rPr>
          <w:lang w:val="fr-FR"/>
        </w:rPr>
        <w:t>Directrice exécutive du PNUE d</w:t>
      </w:r>
      <w:r w:rsidR="00CE30FD" w:rsidRPr="00F1660D">
        <w:rPr>
          <w:lang w:val="fr-FR"/>
        </w:rPr>
        <w:t>’</w:t>
      </w:r>
      <w:r w:rsidRPr="00F1660D">
        <w:rPr>
          <w:lang w:val="fr-FR"/>
        </w:rPr>
        <w:t>établir, d</w:t>
      </w:r>
      <w:r w:rsidR="00CE30FD" w:rsidRPr="00F1660D">
        <w:rPr>
          <w:lang w:val="fr-FR"/>
        </w:rPr>
        <w:t>’</w:t>
      </w:r>
      <w:r w:rsidRPr="00F1660D">
        <w:rPr>
          <w:lang w:val="fr-FR"/>
        </w:rPr>
        <w:t>ici</w:t>
      </w:r>
      <w:r w:rsidR="00A50629" w:rsidRPr="00F1660D">
        <w:rPr>
          <w:lang w:val="fr-FR"/>
        </w:rPr>
        <w:t xml:space="preserve"> au </w:t>
      </w:r>
      <w:r w:rsidRPr="00F1660D">
        <w:rPr>
          <w:lang w:val="fr-FR"/>
        </w:rPr>
        <w:t>30 avril 2020, une évaluation</w:t>
      </w:r>
      <w:r w:rsidR="00A50629" w:rsidRPr="00F1660D">
        <w:rPr>
          <w:lang w:val="fr-FR"/>
        </w:rPr>
        <w:t xml:space="preserve"> des </w:t>
      </w:r>
      <w:r w:rsidRPr="00F1660D">
        <w:rPr>
          <w:lang w:val="fr-FR"/>
        </w:rPr>
        <w:t>options possibles pour renforcer l</w:t>
      </w:r>
      <w:r w:rsidR="00CE30FD" w:rsidRPr="00F1660D">
        <w:rPr>
          <w:lang w:val="fr-FR"/>
        </w:rPr>
        <w:t>’</w:t>
      </w:r>
      <w:r w:rsidRPr="00F1660D">
        <w:rPr>
          <w:lang w:val="fr-FR"/>
        </w:rPr>
        <w:t xml:space="preserve">interface. </w:t>
      </w:r>
    </w:p>
    <w:p w14:paraId="6722CE3D" w14:textId="7AA4EB69" w:rsidR="003F205C" w:rsidRPr="00F1660D" w:rsidRDefault="003F205C" w:rsidP="003F205C">
      <w:pPr>
        <w:pStyle w:val="Normalnumber"/>
        <w:rPr>
          <w:lang w:val="fr-FR"/>
        </w:rPr>
      </w:pPr>
      <w:r w:rsidRPr="00F1660D">
        <w:rPr>
          <w:lang w:val="fr-FR"/>
        </w:rPr>
        <w:t>La représentante d</w:t>
      </w:r>
      <w:r w:rsidR="00CE30FD" w:rsidRPr="00F1660D">
        <w:rPr>
          <w:lang w:val="fr-FR"/>
        </w:rPr>
        <w:t>’</w:t>
      </w:r>
      <w:r w:rsidRPr="00F1660D">
        <w:rPr>
          <w:lang w:val="fr-FR"/>
        </w:rPr>
        <w:t>une organisation non gouvernementale a estimé qu</w:t>
      </w:r>
      <w:r w:rsidR="00CE30FD" w:rsidRPr="00F1660D">
        <w:rPr>
          <w:lang w:val="fr-FR"/>
        </w:rPr>
        <w:t>’</w:t>
      </w:r>
      <w:r w:rsidRPr="00F1660D">
        <w:rPr>
          <w:lang w:val="fr-FR"/>
        </w:rPr>
        <w:t>il était inutile d</w:t>
      </w:r>
      <w:r w:rsidR="00CE30FD" w:rsidRPr="00F1660D">
        <w:rPr>
          <w:lang w:val="fr-FR"/>
        </w:rPr>
        <w:t>’</w:t>
      </w:r>
      <w:r w:rsidRPr="00F1660D">
        <w:rPr>
          <w:lang w:val="fr-FR"/>
        </w:rPr>
        <w:t>établir un rapport pour</w:t>
      </w:r>
      <w:r w:rsidR="00A50629" w:rsidRPr="00F1660D">
        <w:rPr>
          <w:lang w:val="fr-FR"/>
        </w:rPr>
        <w:t xml:space="preserve"> la </w:t>
      </w:r>
      <w:r w:rsidRPr="00F1660D">
        <w:rPr>
          <w:lang w:val="fr-FR"/>
        </w:rPr>
        <w:t>période 2017</w:t>
      </w:r>
      <w:r w:rsidR="00CE30FD" w:rsidRPr="00F1660D">
        <w:rPr>
          <w:lang w:val="fr-FR"/>
        </w:rPr>
        <w:t>–</w:t>
      </w:r>
      <w:r w:rsidRPr="00F1660D">
        <w:rPr>
          <w:lang w:val="fr-FR"/>
        </w:rPr>
        <w:t>2019, sachant qu</w:t>
      </w:r>
      <w:r w:rsidR="00CE30FD" w:rsidRPr="00F1660D">
        <w:rPr>
          <w:lang w:val="fr-FR"/>
        </w:rPr>
        <w:t>’</w:t>
      </w:r>
      <w:r w:rsidRPr="00F1660D">
        <w:rPr>
          <w:lang w:val="fr-FR"/>
        </w:rPr>
        <w:t>une évaluation indépendante approfondie de l</w:t>
      </w:r>
      <w:r w:rsidR="00CE30FD" w:rsidRPr="00F1660D">
        <w:rPr>
          <w:lang w:val="fr-FR"/>
        </w:rPr>
        <w:t>’</w:t>
      </w:r>
      <w:r w:rsidRPr="00F1660D">
        <w:rPr>
          <w:lang w:val="fr-FR"/>
        </w:rPr>
        <w:t>Approche stratégique venait tout juste d</w:t>
      </w:r>
      <w:r w:rsidR="00CE30FD" w:rsidRPr="00F1660D">
        <w:rPr>
          <w:lang w:val="fr-FR"/>
        </w:rPr>
        <w:t>’</w:t>
      </w:r>
      <w:r w:rsidRPr="00F1660D">
        <w:rPr>
          <w:lang w:val="fr-FR"/>
        </w:rPr>
        <w:t>être entreprise. Elle a suggéré de consacrer tous</w:t>
      </w:r>
      <w:r w:rsidR="00A50629" w:rsidRPr="00F1660D">
        <w:rPr>
          <w:lang w:val="fr-FR"/>
        </w:rPr>
        <w:t xml:space="preserve"> les </w:t>
      </w:r>
      <w:r w:rsidRPr="00F1660D">
        <w:rPr>
          <w:lang w:val="fr-FR"/>
        </w:rPr>
        <w:t>efforts à mettre en œuvre l</w:t>
      </w:r>
      <w:r w:rsidR="00CE30FD" w:rsidRPr="00F1660D">
        <w:rPr>
          <w:lang w:val="fr-FR"/>
        </w:rPr>
        <w:t>’</w:t>
      </w:r>
      <w:r w:rsidRPr="00F1660D">
        <w:rPr>
          <w:lang w:val="fr-FR"/>
        </w:rPr>
        <w:t>Approche stratégique et à se pencher sur</w:t>
      </w:r>
      <w:r w:rsidR="00A50629" w:rsidRPr="00F1660D">
        <w:rPr>
          <w:lang w:val="fr-FR"/>
        </w:rPr>
        <w:t xml:space="preserve"> la </w:t>
      </w:r>
      <w:r w:rsidRPr="00F1660D">
        <w:rPr>
          <w:lang w:val="fr-FR"/>
        </w:rPr>
        <w:t>période après</w:t>
      </w:r>
      <w:r w:rsidR="00FE055B" w:rsidRPr="00F1660D">
        <w:rPr>
          <w:lang w:val="fr-FR"/>
        </w:rPr>
        <w:t xml:space="preserve"> </w:t>
      </w:r>
      <w:r w:rsidRPr="00F1660D">
        <w:rPr>
          <w:lang w:val="fr-FR"/>
        </w:rPr>
        <w:t>2020 précédant</w:t>
      </w:r>
      <w:r w:rsidR="00A50629" w:rsidRPr="00F1660D">
        <w:rPr>
          <w:lang w:val="fr-FR"/>
        </w:rPr>
        <w:t xml:space="preserve"> la </w:t>
      </w:r>
      <w:r w:rsidRPr="00F1660D">
        <w:rPr>
          <w:lang w:val="fr-FR"/>
        </w:rPr>
        <w:t>cinquième session de</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 xml:space="preserve">produits chimiques. </w:t>
      </w:r>
    </w:p>
    <w:p w14:paraId="3D4EE383" w14:textId="7BC6FABD" w:rsidR="003F205C" w:rsidRPr="00F1660D" w:rsidRDefault="003F205C" w:rsidP="003F205C">
      <w:pPr>
        <w:pStyle w:val="Normalnumber"/>
        <w:rPr>
          <w:lang w:val="fr-FR"/>
        </w:rPr>
      </w:pPr>
      <w:r w:rsidRPr="00F1660D">
        <w:rPr>
          <w:lang w:val="fr-FR"/>
        </w:rPr>
        <w:t>Le représentant d</w:t>
      </w:r>
      <w:r w:rsidR="00CE30FD" w:rsidRPr="00F1660D">
        <w:rPr>
          <w:lang w:val="fr-FR"/>
        </w:rPr>
        <w:t>’</w:t>
      </w:r>
      <w:r w:rsidRPr="00F1660D">
        <w:rPr>
          <w:lang w:val="fr-FR"/>
        </w:rPr>
        <w:t>une autre organisation non gouvernementale a engagé</w:t>
      </w:r>
      <w:r w:rsidR="00A50629" w:rsidRPr="00F1660D">
        <w:rPr>
          <w:lang w:val="fr-FR"/>
        </w:rPr>
        <w:t xml:space="preserve"> les </w:t>
      </w:r>
      <w:r w:rsidRPr="00F1660D">
        <w:rPr>
          <w:lang w:val="fr-FR"/>
        </w:rPr>
        <w:t>participants à tenir compte du fait que, malgré</w:t>
      </w:r>
      <w:r w:rsidR="00A50629" w:rsidRPr="00F1660D">
        <w:rPr>
          <w:lang w:val="fr-FR"/>
        </w:rPr>
        <w:t xml:space="preserve"> les </w:t>
      </w:r>
      <w:r w:rsidRPr="00F1660D">
        <w:rPr>
          <w:lang w:val="fr-FR"/>
        </w:rPr>
        <w:t>progrès réalisés vers l</w:t>
      </w:r>
      <w:r w:rsidR="00CE30FD" w:rsidRPr="00F1660D">
        <w:rPr>
          <w:lang w:val="fr-FR"/>
        </w:rPr>
        <w:t>’</w:t>
      </w:r>
      <w:r w:rsidRPr="00F1660D">
        <w:rPr>
          <w:lang w:val="fr-FR"/>
        </w:rPr>
        <w:t>objectif fixé pour 2020,</w:t>
      </w:r>
      <w:r w:rsidR="00A50629" w:rsidRPr="00F1660D">
        <w:rPr>
          <w:lang w:val="fr-FR"/>
        </w:rPr>
        <w:t xml:space="preserve"> les </w:t>
      </w:r>
      <w:r w:rsidRPr="00F1660D">
        <w:rPr>
          <w:lang w:val="fr-FR"/>
        </w:rPr>
        <w:t>travailleurs continuaient d</w:t>
      </w:r>
      <w:r w:rsidR="00CE30FD" w:rsidRPr="00F1660D">
        <w:rPr>
          <w:lang w:val="fr-FR"/>
        </w:rPr>
        <w:t>’</w:t>
      </w:r>
      <w:r w:rsidRPr="00F1660D">
        <w:rPr>
          <w:lang w:val="fr-FR"/>
        </w:rPr>
        <w:t>être exposés à</w:t>
      </w:r>
      <w:r w:rsidR="00A50629" w:rsidRPr="00F1660D">
        <w:rPr>
          <w:lang w:val="fr-FR"/>
        </w:rPr>
        <w:t xml:space="preserve"> des </w:t>
      </w:r>
      <w:r w:rsidRPr="00F1660D">
        <w:rPr>
          <w:lang w:val="fr-FR"/>
        </w:rPr>
        <w:t>substances toxiques tout</w:t>
      </w:r>
      <w:r w:rsidR="00A50629" w:rsidRPr="00F1660D">
        <w:rPr>
          <w:lang w:val="fr-FR"/>
        </w:rPr>
        <w:t xml:space="preserve"> au </w:t>
      </w:r>
      <w:r w:rsidRPr="00F1660D">
        <w:rPr>
          <w:lang w:val="fr-FR"/>
        </w:rPr>
        <w:t>long d</w:t>
      </w:r>
      <w:r w:rsidR="00FE055B" w:rsidRPr="00F1660D">
        <w:rPr>
          <w:lang w:val="fr-FR"/>
        </w:rPr>
        <w:t xml:space="preserve">u cycle de vie de ces substances </w:t>
      </w:r>
      <w:r w:rsidRPr="00F1660D">
        <w:rPr>
          <w:lang w:val="fr-FR"/>
        </w:rPr>
        <w:t xml:space="preserve">et </w:t>
      </w:r>
      <w:r w:rsidR="00606841" w:rsidRPr="00F1660D">
        <w:rPr>
          <w:lang w:val="fr-FR"/>
        </w:rPr>
        <w:t>que beaucoup d</w:t>
      </w:r>
      <w:r w:rsidR="00FE055B" w:rsidRPr="00F1660D">
        <w:rPr>
          <w:lang w:val="fr-FR"/>
        </w:rPr>
        <w:t xml:space="preserve">e travailleurs </w:t>
      </w:r>
      <w:r w:rsidRPr="00F1660D">
        <w:rPr>
          <w:lang w:val="fr-FR"/>
        </w:rPr>
        <w:t>n</w:t>
      </w:r>
      <w:r w:rsidR="00CE30FD" w:rsidRPr="00F1660D">
        <w:rPr>
          <w:lang w:val="fr-FR"/>
        </w:rPr>
        <w:t>’</w:t>
      </w:r>
      <w:r w:rsidRPr="00F1660D">
        <w:rPr>
          <w:lang w:val="fr-FR"/>
        </w:rPr>
        <w:t>avaient pas accès à</w:t>
      </w:r>
      <w:r w:rsidR="00A50629" w:rsidRPr="00F1660D">
        <w:rPr>
          <w:lang w:val="fr-FR"/>
        </w:rPr>
        <w:t xml:space="preserve"> des </w:t>
      </w:r>
      <w:r w:rsidRPr="00F1660D">
        <w:rPr>
          <w:lang w:val="fr-FR"/>
        </w:rPr>
        <w:t>centres de santé, à</w:t>
      </w:r>
      <w:r w:rsidR="00A50629" w:rsidRPr="00F1660D">
        <w:rPr>
          <w:lang w:val="fr-FR"/>
        </w:rPr>
        <w:t xml:space="preserve"> des </w:t>
      </w:r>
      <w:r w:rsidRPr="00F1660D">
        <w:rPr>
          <w:lang w:val="fr-FR"/>
        </w:rPr>
        <w:t>traitements adaptés et aux informations relatives aux produits chimiques auxquels ils étaient exposés. Il a estimé que l</w:t>
      </w:r>
      <w:r w:rsidR="00CE30FD" w:rsidRPr="00F1660D">
        <w:rPr>
          <w:lang w:val="fr-FR"/>
        </w:rPr>
        <w:t>’</w:t>
      </w:r>
      <w:r w:rsidRPr="00F1660D">
        <w:rPr>
          <w:lang w:val="fr-FR"/>
        </w:rPr>
        <w:t>Approche stratégique ne saurait être considérée comme ayant atteint ses objectifs que lorsque</w:t>
      </w:r>
      <w:r w:rsidR="00A50629" w:rsidRPr="00F1660D">
        <w:rPr>
          <w:lang w:val="fr-FR"/>
        </w:rPr>
        <w:t xml:space="preserve"> des </w:t>
      </w:r>
      <w:r w:rsidRPr="00F1660D">
        <w:rPr>
          <w:lang w:val="fr-FR"/>
        </w:rPr>
        <w:t>plans nationaux auraient été élaborés et mis en œuvre avec</w:t>
      </w:r>
      <w:r w:rsidR="00A50629" w:rsidRPr="00F1660D">
        <w:rPr>
          <w:lang w:val="fr-FR"/>
        </w:rPr>
        <w:t xml:space="preserve"> la </w:t>
      </w:r>
      <w:r w:rsidRPr="00F1660D">
        <w:rPr>
          <w:lang w:val="fr-FR"/>
        </w:rPr>
        <w:t>participation de tous</w:t>
      </w:r>
      <w:r w:rsidR="00A50629" w:rsidRPr="00F1660D">
        <w:rPr>
          <w:lang w:val="fr-FR"/>
        </w:rPr>
        <w:t xml:space="preserve"> les </w:t>
      </w:r>
      <w:r w:rsidRPr="00F1660D">
        <w:rPr>
          <w:lang w:val="fr-FR"/>
        </w:rPr>
        <w:t>acteurs intéressés, et que</w:t>
      </w:r>
      <w:r w:rsidR="00A50629" w:rsidRPr="00F1660D">
        <w:rPr>
          <w:lang w:val="fr-FR"/>
        </w:rPr>
        <w:t xml:space="preserve"> les </w:t>
      </w:r>
      <w:r w:rsidRPr="00F1660D">
        <w:rPr>
          <w:lang w:val="fr-FR"/>
        </w:rPr>
        <w:t>droits humains</w:t>
      </w:r>
      <w:r w:rsidR="00606841" w:rsidRPr="00F1660D">
        <w:rPr>
          <w:lang w:val="fr-FR"/>
        </w:rPr>
        <w:t xml:space="preserve"> étaient </w:t>
      </w:r>
      <w:r w:rsidR="00FB3E4B" w:rsidRPr="00F1660D">
        <w:rPr>
          <w:lang w:val="fr-FR"/>
        </w:rPr>
        <w:t>assur</w:t>
      </w:r>
      <w:r w:rsidR="00606841" w:rsidRPr="00F1660D">
        <w:rPr>
          <w:lang w:val="fr-FR"/>
        </w:rPr>
        <w:t>és</w:t>
      </w:r>
      <w:r w:rsidRPr="00F1660D">
        <w:rPr>
          <w:lang w:val="fr-FR"/>
        </w:rPr>
        <w:t>.</w:t>
      </w:r>
    </w:p>
    <w:p w14:paraId="167ADAE7" w14:textId="02E2F693" w:rsidR="003F205C" w:rsidRPr="00F1660D" w:rsidRDefault="003F205C" w:rsidP="003F205C">
      <w:pPr>
        <w:pStyle w:val="Normalnumber"/>
        <w:rPr>
          <w:lang w:val="fr-FR"/>
        </w:rPr>
      </w:pPr>
      <w:r w:rsidRPr="00F1660D">
        <w:rPr>
          <w:lang w:val="fr-FR"/>
        </w:rPr>
        <w:t>À l</w:t>
      </w:r>
      <w:r w:rsidR="00CE30FD" w:rsidRPr="00F1660D">
        <w:rPr>
          <w:lang w:val="fr-FR"/>
        </w:rPr>
        <w:t>’</w:t>
      </w:r>
      <w:r w:rsidRPr="00F1660D">
        <w:rPr>
          <w:lang w:val="fr-FR"/>
        </w:rPr>
        <w:t>issue du débat, sur proposition de</w:t>
      </w:r>
      <w:r w:rsidR="00A50629" w:rsidRPr="00F1660D">
        <w:rPr>
          <w:lang w:val="fr-FR"/>
        </w:rPr>
        <w:t xml:space="preserve"> la </w:t>
      </w:r>
      <w:r w:rsidRPr="00F1660D">
        <w:rPr>
          <w:lang w:val="fr-FR"/>
        </w:rPr>
        <w:t>Présidente,</w:t>
      </w:r>
      <w:r w:rsidR="00A50629" w:rsidRPr="00F1660D">
        <w:rPr>
          <w:lang w:val="fr-FR"/>
        </w:rPr>
        <w:t xml:space="preserve"> le </w:t>
      </w:r>
      <w:r w:rsidRPr="00F1660D">
        <w:rPr>
          <w:lang w:val="fr-FR"/>
        </w:rPr>
        <w:t>Groupe de travail est convenu de prier</w:t>
      </w:r>
      <w:r w:rsidR="00A50629" w:rsidRPr="00F1660D">
        <w:rPr>
          <w:lang w:val="fr-FR"/>
        </w:rPr>
        <w:t xml:space="preserve"> le </w:t>
      </w:r>
      <w:r w:rsidRPr="00F1660D">
        <w:rPr>
          <w:lang w:val="fr-FR"/>
        </w:rPr>
        <w:t>secrétariat d</w:t>
      </w:r>
      <w:r w:rsidR="00CE30FD" w:rsidRPr="00F1660D">
        <w:rPr>
          <w:lang w:val="fr-FR"/>
        </w:rPr>
        <w:t>’</w:t>
      </w:r>
      <w:r w:rsidRPr="00F1660D">
        <w:rPr>
          <w:lang w:val="fr-FR"/>
        </w:rPr>
        <w:t>établir un rapport simplifié pour</w:t>
      </w:r>
      <w:r w:rsidR="00A50629" w:rsidRPr="00F1660D">
        <w:rPr>
          <w:lang w:val="fr-FR"/>
        </w:rPr>
        <w:t xml:space="preserve"> la </w:t>
      </w:r>
      <w:r w:rsidRPr="00F1660D">
        <w:rPr>
          <w:lang w:val="fr-FR"/>
        </w:rPr>
        <w:t>période 2017</w:t>
      </w:r>
      <w:r w:rsidR="00641F48" w:rsidRPr="00F1660D">
        <w:rPr>
          <w:lang w:val="fr-FR"/>
        </w:rPr>
        <w:t>–</w:t>
      </w:r>
      <w:r w:rsidRPr="00F1660D">
        <w:rPr>
          <w:lang w:val="fr-FR"/>
        </w:rPr>
        <w:t>2019 qui, sur</w:t>
      </w:r>
      <w:r w:rsidR="00A50629" w:rsidRPr="00F1660D">
        <w:rPr>
          <w:lang w:val="fr-FR"/>
        </w:rPr>
        <w:t xml:space="preserve"> la </w:t>
      </w:r>
      <w:r w:rsidRPr="00F1660D">
        <w:rPr>
          <w:lang w:val="fr-FR"/>
        </w:rPr>
        <w:t>base</w:t>
      </w:r>
      <w:r w:rsidR="00A50629" w:rsidRPr="00F1660D">
        <w:rPr>
          <w:lang w:val="fr-FR"/>
        </w:rPr>
        <w:t xml:space="preserve"> des </w:t>
      </w:r>
      <w:r w:rsidRPr="00F1660D">
        <w:rPr>
          <w:lang w:val="fr-FR"/>
        </w:rPr>
        <w:t>données existantes, fasse</w:t>
      </w:r>
      <w:r w:rsidR="00A50629" w:rsidRPr="00F1660D">
        <w:rPr>
          <w:lang w:val="fr-FR"/>
        </w:rPr>
        <w:t xml:space="preserve"> le </w:t>
      </w:r>
      <w:r w:rsidRPr="00F1660D">
        <w:rPr>
          <w:lang w:val="fr-FR"/>
        </w:rPr>
        <w:t>point sur</w:t>
      </w:r>
      <w:r w:rsidR="00A50629" w:rsidRPr="00F1660D">
        <w:rPr>
          <w:lang w:val="fr-FR"/>
        </w:rPr>
        <w:t xml:space="preserve"> les </w:t>
      </w:r>
      <w:r w:rsidRPr="00F1660D">
        <w:rPr>
          <w:lang w:val="fr-FR"/>
        </w:rPr>
        <w:t>activités,</w:t>
      </w:r>
      <w:r w:rsidR="00A50629" w:rsidRPr="00F1660D">
        <w:rPr>
          <w:lang w:val="fr-FR"/>
        </w:rPr>
        <w:t xml:space="preserve"> les </w:t>
      </w:r>
      <w:r w:rsidRPr="00F1660D">
        <w:rPr>
          <w:lang w:val="fr-FR"/>
        </w:rPr>
        <w:t>réalisations et</w:t>
      </w:r>
      <w:r w:rsidR="00A50629" w:rsidRPr="00F1660D">
        <w:rPr>
          <w:lang w:val="fr-FR"/>
        </w:rPr>
        <w:t xml:space="preserve"> les </w:t>
      </w:r>
      <w:r w:rsidRPr="00F1660D">
        <w:rPr>
          <w:lang w:val="fr-FR"/>
        </w:rPr>
        <w:t>difficultés de l</w:t>
      </w:r>
      <w:r w:rsidR="00CE30FD" w:rsidRPr="00F1660D">
        <w:rPr>
          <w:lang w:val="fr-FR"/>
        </w:rPr>
        <w:t>’</w:t>
      </w:r>
      <w:r w:rsidRPr="00F1660D">
        <w:rPr>
          <w:lang w:val="fr-FR"/>
        </w:rPr>
        <w:t>Approche stratégique, pour examen par</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 xml:space="preserve">produits chimiques à sa cinquième session. </w:t>
      </w:r>
    </w:p>
    <w:p w14:paraId="022CA03F" w14:textId="4BF5770A" w:rsidR="003F205C" w:rsidRPr="00F1660D" w:rsidRDefault="003F205C" w:rsidP="003F205C">
      <w:pPr>
        <w:pStyle w:val="Normalnumber"/>
        <w:rPr>
          <w:lang w:val="fr-FR"/>
        </w:rPr>
      </w:pPr>
      <w:r w:rsidRPr="00F1660D">
        <w:rPr>
          <w:lang w:val="fr-FR"/>
        </w:rPr>
        <w:t>Le Groupe de travail est également convenu de prier</w:t>
      </w:r>
      <w:r w:rsidR="00A50629" w:rsidRPr="00F1660D">
        <w:rPr>
          <w:lang w:val="fr-FR"/>
        </w:rPr>
        <w:t xml:space="preserve"> le </w:t>
      </w:r>
      <w:r w:rsidRPr="00F1660D">
        <w:rPr>
          <w:lang w:val="fr-FR"/>
        </w:rPr>
        <w:t>secrétariat d</w:t>
      </w:r>
      <w:r w:rsidR="00CE30FD" w:rsidRPr="00F1660D">
        <w:rPr>
          <w:lang w:val="fr-FR"/>
        </w:rPr>
        <w:t>’</w:t>
      </w:r>
      <w:r w:rsidRPr="00F1660D">
        <w:rPr>
          <w:lang w:val="fr-FR"/>
        </w:rPr>
        <w:t>élaborer un document définissant de manière détaillée</w:t>
      </w:r>
      <w:r w:rsidR="00A50629" w:rsidRPr="00F1660D">
        <w:rPr>
          <w:lang w:val="fr-FR"/>
        </w:rPr>
        <w:t xml:space="preserve"> des </w:t>
      </w:r>
      <w:r w:rsidRPr="00F1660D">
        <w:rPr>
          <w:lang w:val="fr-FR"/>
        </w:rPr>
        <w:t>moyens possibles d</w:t>
      </w:r>
      <w:r w:rsidR="00CE30FD" w:rsidRPr="00F1660D">
        <w:rPr>
          <w:lang w:val="fr-FR"/>
        </w:rPr>
        <w:t>’</w:t>
      </w:r>
      <w:r w:rsidRPr="00F1660D">
        <w:rPr>
          <w:lang w:val="fr-FR"/>
        </w:rPr>
        <w:t>évaluer</w:t>
      </w:r>
      <w:r w:rsidR="00A50629" w:rsidRPr="00F1660D">
        <w:rPr>
          <w:lang w:val="fr-FR"/>
        </w:rPr>
        <w:t xml:space="preserve"> les </w:t>
      </w:r>
      <w:r w:rsidRPr="00F1660D">
        <w:rPr>
          <w:lang w:val="fr-FR"/>
        </w:rPr>
        <w:t>progrès au-delà de 2020, en s</w:t>
      </w:r>
      <w:r w:rsidR="00CE30FD" w:rsidRPr="00F1660D">
        <w:rPr>
          <w:lang w:val="fr-FR"/>
        </w:rPr>
        <w:t>’</w:t>
      </w:r>
      <w:r w:rsidRPr="00F1660D">
        <w:rPr>
          <w:lang w:val="fr-FR"/>
        </w:rPr>
        <w:t>appuyant sur</w:t>
      </w:r>
      <w:r w:rsidR="00A50629" w:rsidRPr="00F1660D">
        <w:rPr>
          <w:lang w:val="fr-FR"/>
        </w:rPr>
        <w:t xml:space="preserve"> les </w:t>
      </w:r>
      <w:r w:rsidRPr="00F1660D">
        <w:rPr>
          <w:lang w:val="fr-FR"/>
        </w:rPr>
        <w:t>enseignements tirés et</w:t>
      </w:r>
      <w:r w:rsidR="00A50629" w:rsidRPr="00F1660D">
        <w:rPr>
          <w:lang w:val="fr-FR"/>
        </w:rPr>
        <w:t xml:space="preserve"> les </w:t>
      </w:r>
      <w:r w:rsidRPr="00F1660D">
        <w:rPr>
          <w:lang w:val="fr-FR"/>
        </w:rPr>
        <w:t>modèles efficaces dans d</w:t>
      </w:r>
      <w:r w:rsidR="00CE30FD" w:rsidRPr="00F1660D">
        <w:rPr>
          <w:lang w:val="fr-FR"/>
        </w:rPr>
        <w:t>’</w:t>
      </w:r>
      <w:r w:rsidRPr="00F1660D">
        <w:rPr>
          <w:lang w:val="fr-FR"/>
        </w:rPr>
        <w:t>autres domaines, pour examen par</w:t>
      </w:r>
      <w:r w:rsidR="00A50629" w:rsidRPr="00F1660D">
        <w:rPr>
          <w:lang w:val="fr-FR"/>
        </w:rPr>
        <w:t xml:space="preserve"> le </w:t>
      </w:r>
      <w:r w:rsidRPr="00F1660D">
        <w:rPr>
          <w:lang w:val="fr-FR"/>
        </w:rPr>
        <w:t>processus intersessions à sa troisième réunion, qui pourrait alors formuler</w:t>
      </w:r>
      <w:r w:rsidR="00A50629" w:rsidRPr="00F1660D">
        <w:rPr>
          <w:lang w:val="fr-FR"/>
        </w:rPr>
        <w:t xml:space="preserve"> des </w:t>
      </w:r>
      <w:r w:rsidRPr="00F1660D">
        <w:rPr>
          <w:lang w:val="fr-FR"/>
        </w:rPr>
        <w:t>recommandations sur</w:t>
      </w:r>
      <w:r w:rsidR="00A50629" w:rsidRPr="00F1660D">
        <w:rPr>
          <w:lang w:val="fr-FR"/>
        </w:rPr>
        <w:t xml:space="preserve"> le </w:t>
      </w:r>
      <w:r w:rsidRPr="00F1660D">
        <w:rPr>
          <w:lang w:val="fr-FR"/>
        </w:rPr>
        <w:t xml:space="preserve">rapport, pour </w:t>
      </w:r>
      <w:r w:rsidR="00FE055B" w:rsidRPr="00F1660D">
        <w:rPr>
          <w:lang w:val="fr-FR"/>
        </w:rPr>
        <w:t xml:space="preserve">que la </w:t>
      </w:r>
      <w:r w:rsidRPr="00F1660D">
        <w:rPr>
          <w:lang w:val="fr-FR"/>
        </w:rPr>
        <w:t xml:space="preserve">Conférence </w:t>
      </w:r>
      <w:r w:rsidR="00FE055B" w:rsidRPr="00F1660D">
        <w:rPr>
          <w:lang w:val="fr-FR"/>
        </w:rPr>
        <w:t xml:space="preserve">puisse les examiner </w:t>
      </w:r>
      <w:r w:rsidRPr="00F1660D">
        <w:rPr>
          <w:lang w:val="fr-FR"/>
        </w:rPr>
        <w:t>à sa cinquième session.</w:t>
      </w:r>
    </w:p>
    <w:p w14:paraId="0C755131" w14:textId="3DA66774" w:rsidR="00452691" w:rsidRPr="00F1660D" w:rsidRDefault="00843F33" w:rsidP="00F45B61">
      <w:pPr>
        <w:pStyle w:val="CH2"/>
        <w:rPr>
          <w:lang w:val="fr-FR"/>
        </w:rPr>
      </w:pPr>
      <w:r w:rsidRPr="00F1660D">
        <w:rPr>
          <w:lang w:val="fr-FR"/>
        </w:rPr>
        <w:tab/>
        <w:t>B.</w:t>
      </w:r>
      <w:r w:rsidRPr="00F1660D">
        <w:rPr>
          <w:lang w:val="fr-FR"/>
        </w:rPr>
        <w:tab/>
      </w:r>
      <w:r w:rsidR="00452691" w:rsidRPr="00F1660D">
        <w:rPr>
          <w:lang w:val="fr-FR"/>
        </w:rPr>
        <w:t>Orientations générales et directives en vue de</w:t>
      </w:r>
      <w:r w:rsidR="00A50629" w:rsidRPr="00F1660D">
        <w:rPr>
          <w:lang w:val="fr-FR"/>
        </w:rPr>
        <w:t xml:space="preserve"> la </w:t>
      </w:r>
      <w:r w:rsidR="00452691" w:rsidRPr="00F1660D">
        <w:rPr>
          <w:lang w:val="fr-FR"/>
        </w:rPr>
        <w:t>réalisation de l</w:t>
      </w:r>
      <w:r w:rsidR="00CE30FD" w:rsidRPr="00F1660D">
        <w:rPr>
          <w:lang w:val="fr-FR"/>
        </w:rPr>
        <w:t>’</w:t>
      </w:r>
      <w:r w:rsidR="00452691" w:rsidRPr="00F1660D">
        <w:rPr>
          <w:lang w:val="fr-FR"/>
        </w:rPr>
        <w:t>objectif fixé</w:t>
      </w:r>
      <w:r w:rsidR="003F205C" w:rsidRPr="00F1660D">
        <w:rPr>
          <w:lang w:val="fr-FR"/>
        </w:rPr>
        <w:t> </w:t>
      </w:r>
      <w:r w:rsidR="00452691" w:rsidRPr="00F1660D">
        <w:rPr>
          <w:lang w:val="fr-FR"/>
        </w:rPr>
        <w:t>pour 2020 </w:t>
      </w:r>
    </w:p>
    <w:p w14:paraId="3B85BB18" w14:textId="0A0017BE" w:rsidR="003F205C" w:rsidRPr="00F1660D" w:rsidRDefault="003F205C" w:rsidP="00F45B61">
      <w:pPr>
        <w:pStyle w:val="Normalnumber"/>
        <w:keepNext/>
        <w:keepLines/>
        <w:rPr>
          <w:lang w:val="fr-FR"/>
        </w:rPr>
      </w:pPr>
      <w:r w:rsidRPr="00F1660D">
        <w:rPr>
          <w:lang w:val="fr-FR"/>
        </w:rPr>
        <w:t>Présentant ce sous-point,</w:t>
      </w:r>
      <w:r w:rsidR="00A50629" w:rsidRPr="00F1660D">
        <w:rPr>
          <w:lang w:val="fr-FR"/>
        </w:rPr>
        <w:t xml:space="preserve"> la </w:t>
      </w:r>
      <w:r w:rsidRPr="00F1660D">
        <w:rPr>
          <w:lang w:val="fr-FR"/>
        </w:rPr>
        <w:t>représentante du secrétariat a attiré l</w:t>
      </w:r>
      <w:r w:rsidR="00CE30FD" w:rsidRPr="00F1660D">
        <w:rPr>
          <w:lang w:val="fr-FR"/>
        </w:rPr>
        <w:t>’</w:t>
      </w:r>
      <w:r w:rsidRPr="00F1660D">
        <w:rPr>
          <w:lang w:val="fr-FR"/>
        </w:rPr>
        <w:t>attention</w:t>
      </w:r>
      <w:r w:rsidR="00A50629" w:rsidRPr="00F1660D">
        <w:rPr>
          <w:lang w:val="fr-FR"/>
        </w:rPr>
        <w:t xml:space="preserve"> des </w:t>
      </w:r>
      <w:r w:rsidRPr="00F1660D">
        <w:rPr>
          <w:lang w:val="fr-FR"/>
        </w:rPr>
        <w:t>participants sur deux documents d</w:t>
      </w:r>
      <w:r w:rsidR="00CE30FD" w:rsidRPr="00F1660D">
        <w:rPr>
          <w:lang w:val="fr-FR"/>
        </w:rPr>
        <w:t>’</w:t>
      </w:r>
      <w:r w:rsidRPr="00F1660D">
        <w:rPr>
          <w:lang w:val="fr-FR"/>
        </w:rPr>
        <w:t>information intitulés respectivement « </w:t>
      </w:r>
      <w:proofErr w:type="spellStart"/>
      <w:r w:rsidRPr="00F1660D">
        <w:rPr>
          <w:lang w:val="fr-FR"/>
        </w:rPr>
        <w:t>Interim</w:t>
      </w:r>
      <w:proofErr w:type="spellEnd"/>
      <w:r w:rsidRPr="00F1660D">
        <w:rPr>
          <w:lang w:val="fr-FR"/>
        </w:rPr>
        <w:t xml:space="preserve"> report on </w:t>
      </w:r>
      <w:proofErr w:type="spellStart"/>
      <w:r w:rsidRPr="00F1660D">
        <w:rPr>
          <w:lang w:val="fr-FR"/>
        </w:rPr>
        <w:t>progress</w:t>
      </w:r>
      <w:proofErr w:type="spellEnd"/>
      <w:r w:rsidRPr="00F1660D">
        <w:rPr>
          <w:lang w:val="fr-FR"/>
        </w:rPr>
        <w:t xml:space="preserve"> in the </w:t>
      </w:r>
      <w:proofErr w:type="spellStart"/>
      <w:r w:rsidRPr="00F1660D">
        <w:rPr>
          <w:lang w:val="fr-FR"/>
        </w:rPr>
        <w:t>implementation</w:t>
      </w:r>
      <w:proofErr w:type="spellEnd"/>
      <w:r w:rsidRPr="00F1660D">
        <w:rPr>
          <w:lang w:val="fr-FR"/>
        </w:rPr>
        <w:t xml:space="preserve"> of the </w:t>
      </w:r>
      <w:proofErr w:type="spellStart"/>
      <w:r w:rsidRPr="00F1660D">
        <w:rPr>
          <w:lang w:val="fr-FR"/>
        </w:rPr>
        <w:t>overall</w:t>
      </w:r>
      <w:proofErr w:type="spellEnd"/>
      <w:r w:rsidRPr="00F1660D">
        <w:rPr>
          <w:lang w:val="fr-FR"/>
        </w:rPr>
        <w:t xml:space="preserve"> orientation and guidance for </w:t>
      </w:r>
      <w:proofErr w:type="spellStart"/>
      <w:r w:rsidRPr="00F1660D">
        <w:rPr>
          <w:lang w:val="fr-FR"/>
        </w:rPr>
        <w:t>achieving</w:t>
      </w:r>
      <w:proofErr w:type="spellEnd"/>
      <w:r w:rsidRPr="00F1660D">
        <w:rPr>
          <w:lang w:val="fr-FR"/>
        </w:rPr>
        <w:t xml:space="preserve"> the 2020 goal of </w:t>
      </w:r>
      <w:proofErr w:type="spellStart"/>
      <w:r w:rsidRPr="00F1660D">
        <w:rPr>
          <w:lang w:val="fr-FR"/>
        </w:rPr>
        <w:t>sound</w:t>
      </w:r>
      <w:proofErr w:type="spellEnd"/>
      <w:r w:rsidRPr="00F1660D">
        <w:rPr>
          <w:lang w:val="fr-FR"/>
        </w:rPr>
        <w:t xml:space="preserve"> management of </w:t>
      </w:r>
      <w:proofErr w:type="spellStart"/>
      <w:r w:rsidRPr="00F1660D">
        <w:rPr>
          <w:lang w:val="fr-FR"/>
        </w:rPr>
        <w:t>chemicals</w:t>
      </w:r>
      <w:proofErr w:type="spellEnd"/>
      <w:r w:rsidRPr="00F1660D">
        <w:rPr>
          <w:lang w:val="fr-FR"/>
        </w:rPr>
        <w:t> » (</w:t>
      </w:r>
      <w:r w:rsidR="00CE30FD" w:rsidRPr="00F1660D">
        <w:rPr>
          <w:lang w:val="fr-FR"/>
        </w:rPr>
        <w:t>R</w:t>
      </w:r>
      <w:r w:rsidRPr="00F1660D">
        <w:rPr>
          <w:lang w:val="fr-FR"/>
        </w:rPr>
        <w:t>apport provisoire sur</w:t>
      </w:r>
      <w:r w:rsidR="00A50629" w:rsidRPr="00F1660D">
        <w:rPr>
          <w:lang w:val="fr-FR"/>
        </w:rPr>
        <w:t xml:space="preserve"> les </w:t>
      </w:r>
      <w:r w:rsidRPr="00F1660D">
        <w:rPr>
          <w:lang w:val="fr-FR"/>
        </w:rPr>
        <w:t>progrès dans</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orientations générales et</w:t>
      </w:r>
      <w:r w:rsidR="00A50629" w:rsidRPr="00F1660D">
        <w:rPr>
          <w:lang w:val="fr-FR"/>
        </w:rPr>
        <w:t xml:space="preserve"> des </w:t>
      </w:r>
      <w:r w:rsidRPr="00F1660D">
        <w:rPr>
          <w:lang w:val="fr-FR"/>
        </w:rPr>
        <w:t>directives en vue de</w:t>
      </w:r>
      <w:r w:rsidR="00A50629" w:rsidRPr="00F1660D">
        <w:rPr>
          <w:lang w:val="fr-FR"/>
        </w:rPr>
        <w:t xml:space="preserve"> la </w:t>
      </w:r>
      <w:r w:rsidRPr="00F1660D">
        <w:rPr>
          <w:lang w:val="fr-FR"/>
        </w:rPr>
        <w:t>réalisation de l</w:t>
      </w:r>
      <w:r w:rsidR="00CE30FD" w:rsidRPr="00F1660D">
        <w:rPr>
          <w:lang w:val="fr-FR"/>
        </w:rPr>
        <w:t>’</w:t>
      </w:r>
      <w:r w:rsidRPr="00F1660D">
        <w:rPr>
          <w:lang w:val="fr-FR"/>
        </w:rPr>
        <w:t xml:space="preserve">objectif fixé pour 2020) (SAICM/OEWG.3/INF/5) et « SAICM </w:t>
      </w:r>
      <w:proofErr w:type="spellStart"/>
      <w:r w:rsidRPr="00F1660D">
        <w:rPr>
          <w:lang w:val="fr-FR"/>
        </w:rPr>
        <w:t>Knowledge</w:t>
      </w:r>
      <w:proofErr w:type="spellEnd"/>
      <w:r w:rsidRPr="00F1660D">
        <w:rPr>
          <w:lang w:val="fr-FR"/>
        </w:rPr>
        <w:t xml:space="preserve"> Management </w:t>
      </w:r>
      <w:proofErr w:type="spellStart"/>
      <w:r w:rsidRPr="00F1660D">
        <w:rPr>
          <w:lang w:val="fr-FR"/>
        </w:rPr>
        <w:t>Strategy</w:t>
      </w:r>
      <w:proofErr w:type="spellEnd"/>
      <w:r w:rsidRPr="00F1660D">
        <w:rPr>
          <w:lang w:val="fr-FR"/>
        </w:rPr>
        <w:t> » (</w:t>
      </w:r>
      <w:r w:rsidR="00CE30FD" w:rsidRPr="00F1660D">
        <w:rPr>
          <w:lang w:val="fr-FR"/>
        </w:rPr>
        <w:t>S</w:t>
      </w:r>
      <w:r w:rsidRPr="00F1660D">
        <w:rPr>
          <w:lang w:val="fr-FR"/>
        </w:rPr>
        <w:t>tratégie de gestion</w:t>
      </w:r>
      <w:r w:rsidR="00A50629" w:rsidRPr="00F1660D">
        <w:rPr>
          <w:lang w:val="fr-FR"/>
        </w:rPr>
        <w:t xml:space="preserve"> des </w:t>
      </w:r>
      <w:r w:rsidRPr="00F1660D">
        <w:rPr>
          <w:lang w:val="fr-FR"/>
        </w:rPr>
        <w:t>connaissances de l</w:t>
      </w:r>
      <w:r w:rsidR="00CE30FD" w:rsidRPr="00F1660D">
        <w:rPr>
          <w:lang w:val="fr-FR"/>
        </w:rPr>
        <w:t>’</w:t>
      </w:r>
      <w:r w:rsidRPr="00F1660D">
        <w:rPr>
          <w:lang w:val="fr-FR"/>
        </w:rPr>
        <w:t>Approche stratégique)</w:t>
      </w:r>
      <w:r w:rsidR="00254951" w:rsidRPr="00F1660D">
        <w:rPr>
          <w:lang w:val="fr-FR"/>
        </w:rPr>
        <w:t xml:space="preserve"> </w:t>
      </w:r>
      <w:r w:rsidRPr="00F1660D">
        <w:rPr>
          <w:lang w:val="fr-FR"/>
        </w:rPr>
        <w:t>(SAICM/OEWG.3/INF/</w:t>
      </w:r>
      <w:r w:rsidR="009A4165" w:rsidRPr="00F1660D">
        <w:rPr>
          <w:lang w:val="fr-FR"/>
        </w:rPr>
        <w:t>3</w:t>
      </w:r>
      <w:r w:rsidRPr="00F1660D">
        <w:rPr>
          <w:lang w:val="fr-FR"/>
        </w:rPr>
        <w:t>2).</w:t>
      </w:r>
    </w:p>
    <w:p w14:paraId="14675798" w14:textId="6CC9F4A6" w:rsidR="003F205C" w:rsidRPr="00F1660D" w:rsidRDefault="003F205C" w:rsidP="003F205C">
      <w:pPr>
        <w:pStyle w:val="Normalnumber"/>
        <w:rPr>
          <w:lang w:val="fr-FR"/>
        </w:rPr>
      </w:pPr>
      <w:r w:rsidRPr="00F1660D">
        <w:rPr>
          <w:lang w:val="fr-FR"/>
        </w:rPr>
        <w:t>Le Groupe de travail a été invité à prendre note</w:t>
      </w:r>
      <w:r w:rsidR="00A50629" w:rsidRPr="00F1660D">
        <w:rPr>
          <w:lang w:val="fr-FR"/>
        </w:rPr>
        <w:t xml:space="preserve"> des </w:t>
      </w:r>
      <w:r w:rsidRPr="00F1660D">
        <w:rPr>
          <w:lang w:val="fr-FR"/>
        </w:rPr>
        <w:t>progrès réalisés concernant</w:t>
      </w:r>
      <w:r w:rsidR="00A50629" w:rsidRPr="00F1660D">
        <w:rPr>
          <w:lang w:val="fr-FR"/>
        </w:rPr>
        <w:t xml:space="preserve"> les </w:t>
      </w:r>
      <w:r w:rsidRPr="00F1660D">
        <w:rPr>
          <w:lang w:val="fr-FR"/>
        </w:rPr>
        <w:t>orientations générales et</w:t>
      </w:r>
      <w:r w:rsidR="00A50629" w:rsidRPr="00F1660D">
        <w:rPr>
          <w:lang w:val="fr-FR"/>
        </w:rPr>
        <w:t xml:space="preserve"> les </w:t>
      </w:r>
      <w:r w:rsidRPr="00F1660D">
        <w:rPr>
          <w:lang w:val="fr-FR"/>
        </w:rPr>
        <w:t>directives, à guider</w:t>
      </w:r>
      <w:r w:rsidR="00A50629" w:rsidRPr="00F1660D">
        <w:rPr>
          <w:lang w:val="fr-FR"/>
        </w:rPr>
        <w:t xml:space="preserve"> les </w:t>
      </w:r>
      <w:r w:rsidRPr="00F1660D">
        <w:rPr>
          <w:lang w:val="fr-FR"/>
        </w:rPr>
        <w:t>parties prenantes durant</w:t>
      </w:r>
      <w:r w:rsidR="00A50629" w:rsidRPr="00F1660D">
        <w:rPr>
          <w:lang w:val="fr-FR"/>
        </w:rPr>
        <w:t xml:space="preserve"> la </w:t>
      </w:r>
      <w:r w:rsidRPr="00F1660D">
        <w:rPr>
          <w:lang w:val="fr-FR"/>
        </w:rPr>
        <w:t>période suivante en vue d</w:t>
      </w:r>
      <w:r w:rsidR="00CE30FD" w:rsidRPr="00F1660D">
        <w:rPr>
          <w:lang w:val="fr-FR"/>
        </w:rPr>
        <w:t>’</w:t>
      </w:r>
      <w:r w:rsidRPr="00F1660D">
        <w:rPr>
          <w:lang w:val="fr-FR"/>
        </w:rPr>
        <w:t>atteindre l</w:t>
      </w:r>
      <w:r w:rsidR="00CE30FD" w:rsidRPr="00F1660D">
        <w:rPr>
          <w:lang w:val="fr-FR"/>
        </w:rPr>
        <w:t>’</w:t>
      </w:r>
      <w:r w:rsidRPr="00F1660D">
        <w:rPr>
          <w:lang w:val="fr-FR"/>
        </w:rPr>
        <w:t>objectif fixé pour 2020 et à guider</w:t>
      </w:r>
      <w:r w:rsidR="00A50629" w:rsidRPr="00F1660D">
        <w:rPr>
          <w:lang w:val="fr-FR"/>
        </w:rPr>
        <w:t xml:space="preserve"> le </w:t>
      </w:r>
      <w:r w:rsidRPr="00F1660D">
        <w:rPr>
          <w:lang w:val="fr-FR"/>
        </w:rPr>
        <w:t>secrétariat dans l</w:t>
      </w:r>
      <w:r w:rsidR="00CE30FD" w:rsidRPr="00F1660D">
        <w:rPr>
          <w:lang w:val="fr-FR"/>
        </w:rPr>
        <w:t>’</w:t>
      </w:r>
      <w:r w:rsidRPr="00F1660D">
        <w:rPr>
          <w:lang w:val="fr-FR"/>
        </w:rPr>
        <w:t>élaboration de son rapport final sur</w:t>
      </w:r>
      <w:r w:rsidR="00A50629" w:rsidRPr="00F1660D">
        <w:rPr>
          <w:lang w:val="fr-FR"/>
        </w:rPr>
        <w:t xml:space="preserve"> les </w:t>
      </w:r>
      <w:r w:rsidRPr="00F1660D">
        <w:rPr>
          <w:lang w:val="fr-FR"/>
        </w:rPr>
        <w:t>progrès réalisés dans</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orientations générales et</w:t>
      </w:r>
      <w:r w:rsidR="00A50629" w:rsidRPr="00F1660D">
        <w:rPr>
          <w:lang w:val="fr-FR"/>
        </w:rPr>
        <w:t xml:space="preserve"> des </w:t>
      </w:r>
      <w:r w:rsidRPr="00F1660D">
        <w:rPr>
          <w:lang w:val="fr-FR"/>
        </w:rPr>
        <w:t>directives, que</w:t>
      </w:r>
      <w:r w:rsidR="00A50629" w:rsidRPr="00F1660D">
        <w:rPr>
          <w:lang w:val="fr-FR"/>
        </w:rPr>
        <w:t xml:space="preserve"> la </w:t>
      </w:r>
      <w:r w:rsidRPr="00F1660D">
        <w:rPr>
          <w:lang w:val="fr-FR"/>
        </w:rPr>
        <w:t>Conférence examinerait à sa cinquième session, en vue de faire valoir</w:t>
      </w:r>
      <w:r w:rsidR="00A50629" w:rsidRPr="00F1660D">
        <w:rPr>
          <w:lang w:val="fr-FR"/>
        </w:rPr>
        <w:t xml:space="preserve"> les </w:t>
      </w:r>
      <w:r w:rsidRPr="00F1660D">
        <w:rPr>
          <w:lang w:val="fr-FR"/>
        </w:rPr>
        <w:t>réalisations de l</w:t>
      </w:r>
      <w:r w:rsidR="00CE30FD" w:rsidRPr="00F1660D">
        <w:rPr>
          <w:lang w:val="fr-FR"/>
        </w:rPr>
        <w:t>’</w:t>
      </w:r>
      <w:r w:rsidRPr="00F1660D">
        <w:rPr>
          <w:lang w:val="fr-FR"/>
        </w:rPr>
        <w:t>Approche stratégique en 2020 et de définir toute information de référence utile à</w:t>
      </w:r>
      <w:r w:rsidR="00A50629" w:rsidRPr="00F1660D">
        <w:rPr>
          <w:lang w:val="fr-FR"/>
        </w:rPr>
        <w:t xml:space="preserve"> la </w:t>
      </w:r>
      <w:r w:rsidRPr="00F1660D">
        <w:rPr>
          <w:lang w:val="fr-FR"/>
        </w:rPr>
        <w:t xml:space="preserve">gestion </w:t>
      </w:r>
      <w:r w:rsidR="00606841" w:rsidRPr="00F1660D">
        <w:rPr>
          <w:lang w:val="fr-FR"/>
        </w:rPr>
        <w:t>rationnel</w:t>
      </w:r>
      <w:r w:rsidRPr="00F1660D">
        <w:rPr>
          <w:lang w:val="fr-FR"/>
        </w:rPr>
        <w:t>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au-delà de 2020.</w:t>
      </w:r>
      <w:r w:rsidR="00A50629" w:rsidRPr="00F1660D">
        <w:rPr>
          <w:lang w:val="fr-FR"/>
        </w:rPr>
        <w:t xml:space="preserve"> Les </w:t>
      </w:r>
      <w:r w:rsidRPr="00F1660D">
        <w:rPr>
          <w:lang w:val="fr-FR"/>
        </w:rPr>
        <w:t>parties prenantes ont été invitées à soumettre leurs</w:t>
      </w:r>
      <w:r w:rsidR="00CE30FD" w:rsidRPr="00F1660D">
        <w:rPr>
          <w:lang w:val="fr-FR"/>
        </w:rPr>
        <w:t> </w:t>
      </w:r>
      <w:r w:rsidRPr="00F1660D">
        <w:rPr>
          <w:lang w:val="fr-FR"/>
        </w:rPr>
        <w:t>observations écrites sur</w:t>
      </w:r>
      <w:r w:rsidR="00A50629" w:rsidRPr="00F1660D">
        <w:rPr>
          <w:lang w:val="fr-FR"/>
        </w:rPr>
        <w:t xml:space="preserve"> le </w:t>
      </w:r>
      <w:r w:rsidRPr="00F1660D">
        <w:rPr>
          <w:lang w:val="fr-FR"/>
        </w:rPr>
        <w:t>rapport provisoire avant</w:t>
      </w:r>
      <w:r w:rsidR="00A50629" w:rsidRPr="00F1660D">
        <w:rPr>
          <w:lang w:val="fr-FR"/>
        </w:rPr>
        <w:t xml:space="preserve"> le </w:t>
      </w:r>
      <w:r w:rsidRPr="00F1660D">
        <w:rPr>
          <w:lang w:val="fr-FR"/>
        </w:rPr>
        <w:t>31 mai 2019 et sur</w:t>
      </w:r>
      <w:r w:rsidR="00A50629" w:rsidRPr="00F1660D">
        <w:rPr>
          <w:lang w:val="fr-FR"/>
        </w:rPr>
        <w:t xml:space="preserve"> la </w:t>
      </w:r>
      <w:r w:rsidRPr="00F1660D">
        <w:rPr>
          <w:lang w:val="fr-FR"/>
        </w:rPr>
        <w:t>stratégie avant</w:t>
      </w:r>
      <w:r w:rsidR="00A50629" w:rsidRPr="00F1660D">
        <w:rPr>
          <w:lang w:val="fr-FR"/>
        </w:rPr>
        <w:t xml:space="preserve"> le </w:t>
      </w:r>
      <w:r w:rsidRPr="00F1660D">
        <w:rPr>
          <w:lang w:val="fr-FR"/>
        </w:rPr>
        <w:t>26</w:t>
      </w:r>
      <w:r w:rsidR="00CE30FD" w:rsidRPr="00F1660D">
        <w:rPr>
          <w:lang w:val="fr-FR"/>
        </w:rPr>
        <w:t> </w:t>
      </w:r>
      <w:r w:rsidRPr="00F1660D">
        <w:rPr>
          <w:lang w:val="fr-FR"/>
        </w:rPr>
        <w:t>avril 2019, et à informer</w:t>
      </w:r>
      <w:r w:rsidR="00A50629" w:rsidRPr="00F1660D">
        <w:rPr>
          <w:lang w:val="fr-FR"/>
        </w:rPr>
        <w:t xml:space="preserve"> le </w:t>
      </w:r>
      <w:r w:rsidRPr="00F1660D">
        <w:rPr>
          <w:lang w:val="fr-FR"/>
        </w:rPr>
        <w:t>secrétariat de tout domaine dans lequel elles souhaiteraient partager et</w:t>
      </w:r>
      <w:r w:rsidR="00CE30FD" w:rsidRPr="00F1660D">
        <w:rPr>
          <w:lang w:val="fr-FR"/>
        </w:rPr>
        <w:t> </w:t>
      </w:r>
      <w:r w:rsidRPr="00F1660D">
        <w:rPr>
          <w:lang w:val="fr-FR"/>
        </w:rPr>
        <w:t>diffuser</w:t>
      </w:r>
      <w:r w:rsidR="00A50629" w:rsidRPr="00F1660D">
        <w:rPr>
          <w:lang w:val="fr-FR"/>
        </w:rPr>
        <w:t xml:space="preserve"> des </w:t>
      </w:r>
      <w:r w:rsidRPr="00F1660D">
        <w:rPr>
          <w:lang w:val="fr-FR"/>
        </w:rPr>
        <w:t>informations ou</w:t>
      </w:r>
      <w:r w:rsidR="00A50629" w:rsidRPr="00F1660D">
        <w:rPr>
          <w:lang w:val="fr-FR"/>
        </w:rPr>
        <w:t xml:space="preserve"> des </w:t>
      </w:r>
      <w:r w:rsidRPr="00F1660D">
        <w:rPr>
          <w:lang w:val="fr-FR"/>
        </w:rPr>
        <w:t>bases de données.</w:t>
      </w:r>
    </w:p>
    <w:p w14:paraId="5B982DD2" w14:textId="6372B197" w:rsidR="003F205C" w:rsidRPr="00F1660D" w:rsidRDefault="003F205C" w:rsidP="003F205C">
      <w:pPr>
        <w:pStyle w:val="Normalnumber"/>
        <w:rPr>
          <w:lang w:val="fr-FR"/>
        </w:rPr>
      </w:pPr>
      <w:r w:rsidRPr="00F1660D">
        <w:rPr>
          <w:lang w:val="fr-FR"/>
        </w:rPr>
        <w:t>Au cours</w:t>
      </w:r>
      <w:r w:rsidR="00A50629" w:rsidRPr="00F1660D">
        <w:rPr>
          <w:lang w:val="fr-FR"/>
        </w:rPr>
        <w:t xml:space="preserve"> d</w:t>
      </w:r>
      <w:r w:rsidR="00FE055B" w:rsidRPr="00F1660D">
        <w:rPr>
          <w:lang w:val="fr-FR"/>
        </w:rPr>
        <w:t>u</w:t>
      </w:r>
      <w:r w:rsidR="00A50629" w:rsidRPr="00F1660D">
        <w:rPr>
          <w:lang w:val="fr-FR"/>
        </w:rPr>
        <w:t> </w:t>
      </w:r>
      <w:r w:rsidRPr="00F1660D">
        <w:rPr>
          <w:lang w:val="fr-FR"/>
        </w:rPr>
        <w:t xml:space="preserve">débat qui </w:t>
      </w:r>
      <w:r w:rsidR="00FE055B" w:rsidRPr="00F1660D">
        <w:rPr>
          <w:lang w:val="fr-FR"/>
        </w:rPr>
        <w:t>a</w:t>
      </w:r>
      <w:r w:rsidRPr="00F1660D">
        <w:rPr>
          <w:lang w:val="fr-FR"/>
        </w:rPr>
        <w:t xml:space="preserve"> suivi, un représentant, s</w:t>
      </w:r>
      <w:r w:rsidR="00CE30FD" w:rsidRPr="00F1660D">
        <w:rPr>
          <w:lang w:val="fr-FR"/>
        </w:rPr>
        <w:t>’</w:t>
      </w:r>
      <w:r w:rsidRPr="00F1660D">
        <w:rPr>
          <w:lang w:val="fr-FR"/>
        </w:rPr>
        <w:t>exprimant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a remercié</w:t>
      </w:r>
      <w:r w:rsidR="00A50629" w:rsidRPr="00F1660D">
        <w:rPr>
          <w:lang w:val="fr-FR"/>
        </w:rPr>
        <w:t xml:space="preserve"> le </w:t>
      </w:r>
      <w:r w:rsidRPr="00F1660D">
        <w:rPr>
          <w:lang w:val="fr-FR"/>
        </w:rPr>
        <w:t>secrétariat d</w:t>
      </w:r>
      <w:r w:rsidR="00CE30FD" w:rsidRPr="00F1660D">
        <w:rPr>
          <w:lang w:val="fr-FR"/>
        </w:rPr>
        <w:t>’</w:t>
      </w:r>
      <w:r w:rsidRPr="00F1660D">
        <w:rPr>
          <w:lang w:val="fr-FR"/>
        </w:rPr>
        <w:t>avoir élaboré</w:t>
      </w:r>
      <w:r w:rsidR="00A50629" w:rsidRPr="00F1660D">
        <w:rPr>
          <w:lang w:val="fr-FR"/>
        </w:rPr>
        <w:t xml:space="preserve"> le </w:t>
      </w:r>
      <w:r w:rsidRPr="00F1660D">
        <w:rPr>
          <w:lang w:val="fr-FR"/>
        </w:rPr>
        <w:t>rapport provisoire et a souligné l</w:t>
      </w:r>
      <w:r w:rsidR="00CE30FD" w:rsidRPr="00F1660D">
        <w:rPr>
          <w:lang w:val="fr-FR"/>
        </w:rPr>
        <w:t>’</w:t>
      </w:r>
      <w:r w:rsidRPr="00F1660D">
        <w:rPr>
          <w:lang w:val="fr-FR"/>
        </w:rPr>
        <w:t>importance</w:t>
      </w:r>
      <w:r w:rsidR="00A50629" w:rsidRPr="00F1660D">
        <w:rPr>
          <w:lang w:val="fr-FR"/>
        </w:rPr>
        <w:t xml:space="preserve"> des </w:t>
      </w:r>
      <w:r w:rsidRPr="00F1660D">
        <w:rPr>
          <w:lang w:val="fr-FR"/>
        </w:rPr>
        <w:t>éléments</w:t>
      </w:r>
      <w:r w:rsidR="00A50629" w:rsidRPr="00F1660D">
        <w:rPr>
          <w:lang w:val="fr-FR"/>
        </w:rPr>
        <w:t xml:space="preserve"> des </w:t>
      </w:r>
      <w:r w:rsidRPr="00F1660D">
        <w:rPr>
          <w:lang w:val="fr-FR"/>
        </w:rPr>
        <w:t>orientations générales et</w:t>
      </w:r>
      <w:r w:rsidR="00A50629" w:rsidRPr="00F1660D">
        <w:rPr>
          <w:lang w:val="fr-FR"/>
        </w:rPr>
        <w:t xml:space="preserve"> des </w:t>
      </w:r>
      <w:r w:rsidRPr="00F1660D">
        <w:rPr>
          <w:lang w:val="fr-FR"/>
        </w:rPr>
        <w:t xml:space="preserve">directives définis comme indispensables pour parvenir à une gestion </w:t>
      </w:r>
      <w:r w:rsidR="00606841" w:rsidRPr="00F1660D">
        <w:rPr>
          <w:lang w:val="fr-FR"/>
        </w:rPr>
        <w:t>rationnel</w:t>
      </w:r>
      <w:r w:rsidRPr="00F1660D">
        <w:rPr>
          <w:lang w:val="fr-FR"/>
        </w:rPr>
        <w:t>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aux niveaux national et régional. Il était urgent que toutes</w:t>
      </w:r>
      <w:r w:rsidR="00A50629" w:rsidRPr="00F1660D">
        <w:rPr>
          <w:lang w:val="fr-FR"/>
        </w:rPr>
        <w:t xml:space="preserve"> les </w:t>
      </w:r>
      <w:r w:rsidRPr="00F1660D">
        <w:rPr>
          <w:lang w:val="fr-FR"/>
        </w:rPr>
        <w:t>parties prenantes prennent</w:t>
      </w:r>
      <w:r w:rsidR="00A50629" w:rsidRPr="00F1660D">
        <w:rPr>
          <w:lang w:val="fr-FR"/>
        </w:rPr>
        <w:t xml:space="preserve"> des </w:t>
      </w:r>
      <w:r w:rsidRPr="00F1660D">
        <w:rPr>
          <w:lang w:val="fr-FR"/>
        </w:rPr>
        <w:t>mesures pour améliorer cette gestion et en faire une priorité,</w:t>
      </w:r>
      <w:r w:rsidR="00A50629" w:rsidRPr="00F1660D">
        <w:rPr>
          <w:lang w:val="fr-FR"/>
        </w:rPr>
        <w:t xml:space="preserve"> y </w:t>
      </w:r>
      <w:r w:rsidRPr="00F1660D">
        <w:rPr>
          <w:lang w:val="fr-FR"/>
        </w:rPr>
        <w:t>compris en renforçant</w:t>
      </w:r>
      <w:r w:rsidR="00A50629" w:rsidRPr="00F1660D">
        <w:rPr>
          <w:lang w:val="fr-FR"/>
        </w:rPr>
        <w:t xml:space="preserve"> le </w:t>
      </w:r>
      <w:r w:rsidRPr="00F1660D">
        <w:rPr>
          <w:lang w:val="fr-FR"/>
        </w:rPr>
        <w:t>cadre habilitant amélioré pour</w:t>
      </w:r>
      <w:r w:rsidR="00A50629" w:rsidRPr="00F1660D">
        <w:rPr>
          <w:lang w:val="fr-FR"/>
        </w:rPr>
        <w:t xml:space="preserve"> la </w:t>
      </w:r>
      <w:r w:rsidRPr="00F1660D">
        <w:rPr>
          <w:lang w:val="fr-FR"/>
        </w:rPr>
        <w:t>mise en œuvre effective du Programme 2030 du point de vue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p>
    <w:p w14:paraId="6CAE9F9E" w14:textId="4B383B51" w:rsidR="00843F33" w:rsidRPr="00F1660D" w:rsidRDefault="00843F33" w:rsidP="00AF4DDC">
      <w:pPr>
        <w:pStyle w:val="Normalnumber"/>
        <w:rPr>
          <w:lang w:val="fr-FR"/>
        </w:rPr>
      </w:pPr>
      <w:r w:rsidRPr="00F1660D">
        <w:rPr>
          <w:lang w:val="fr-FR"/>
        </w:rPr>
        <w:t>Le représentant de l</w:t>
      </w:r>
      <w:r w:rsidR="00CE30FD" w:rsidRPr="00F1660D">
        <w:rPr>
          <w:lang w:val="fr-FR"/>
        </w:rPr>
        <w:t>’</w:t>
      </w:r>
      <w:r w:rsidRPr="00F1660D">
        <w:rPr>
          <w:lang w:val="fr-FR"/>
        </w:rPr>
        <w:t>OCDE a déclaré que l</w:t>
      </w:r>
      <w:r w:rsidR="00CE30FD" w:rsidRPr="00F1660D">
        <w:rPr>
          <w:lang w:val="fr-FR"/>
        </w:rPr>
        <w:t>’</w:t>
      </w:r>
      <w:r w:rsidRPr="00F1660D">
        <w:rPr>
          <w:lang w:val="fr-FR"/>
        </w:rPr>
        <w:t>Approche stratégique ne comptait pas d</w:t>
      </w:r>
      <w:r w:rsidR="00CE30FD" w:rsidRPr="00F1660D">
        <w:rPr>
          <w:lang w:val="fr-FR"/>
        </w:rPr>
        <w:t>’</w:t>
      </w:r>
      <w:r w:rsidRPr="00F1660D">
        <w:rPr>
          <w:lang w:val="fr-FR"/>
        </w:rPr>
        <w:t>indicateur permettant de mesurer</w:t>
      </w:r>
      <w:r w:rsidR="00A50629" w:rsidRPr="00F1660D">
        <w:rPr>
          <w:lang w:val="fr-FR"/>
        </w:rPr>
        <w:t xml:space="preserve"> les </w:t>
      </w:r>
      <w:r w:rsidRPr="00F1660D">
        <w:rPr>
          <w:lang w:val="fr-FR"/>
        </w:rPr>
        <w:t>progrès accomplis dans</w:t>
      </w:r>
      <w:r w:rsidR="00A50629" w:rsidRPr="00F1660D">
        <w:rPr>
          <w:lang w:val="fr-FR"/>
        </w:rPr>
        <w:t xml:space="preserve"> la </w:t>
      </w:r>
      <w:r w:rsidRPr="00F1660D">
        <w:rPr>
          <w:lang w:val="fr-FR"/>
        </w:rPr>
        <w:t>mise en place d</w:t>
      </w:r>
      <w:r w:rsidR="00CE30FD" w:rsidRPr="00F1660D">
        <w:rPr>
          <w:lang w:val="fr-FR"/>
        </w:rPr>
        <w:t>’</w:t>
      </w:r>
      <w:r w:rsidRPr="00F1660D">
        <w:rPr>
          <w:lang w:val="fr-FR"/>
        </w:rPr>
        <w:t>un système de gestion</w:t>
      </w:r>
      <w:r w:rsidR="00A50629" w:rsidRPr="00F1660D">
        <w:rPr>
          <w:lang w:val="fr-FR"/>
        </w:rPr>
        <w:t xml:space="preserve"> des </w:t>
      </w:r>
      <w:r w:rsidRPr="00F1660D">
        <w:rPr>
          <w:lang w:val="fr-FR"/>
        </w:rPr>
        <w:t>produits chimiques destinés à l</w:t>
      </w:r>
      <w:r w:rsidR="00CE30FD" w:rsidRPr="00F1660D">
        <w:rPr>
          <w:lang w:val="fr-FR"/>
        </w:rPr>
        <w:t>’</w:t>
      </w:r>
      <w:r w:rsidRPr="00F1660D">
        <w:rPr>
          <w:lang w:val="fr-FR"/>
        </w:rPr>
        <w:t>industrie et aux consommateurs. Il a appelé l</w:t>
      </w:r>
      <w:r w:rsidR="00CE30FD" w:rsidRPr="00F1660D">
        <w:rPr>
          <w:lang w:val="fr-FR"/>
        </w:rPr>
        <w:t>’</w:t>
      </w:r>
      <w:r w:rsidRPr="00F1660D">
        <w:rPr>
          <w:lang w:val="fr-FR"/>
        </w:rPr>
        <w:t>attention</w:t>
      </w:r>
      <w:r w:rsidR="00A50629" w:rsidRPr="00F1660D">
        <w:rPr>
          <w:lang w:val="fr-FR"/>
        </w:rPr>
        <w:t xml:space="preserve"> des </w:t>
      </w:r>
      <w:r w:rsidRPr="00F1660D">
        <w:rPr>
          <w:lang w:val="fr-FR"/>
        </w:rPr>
        <w:t>participants sur un nouvel indicateur proposé à cette fin, qui figure dans</w:t>
      </w:r>
      <w:r w:rsidR="00A50629" w:rsidRPr="00F1660D">
        <w:rPr>
          <w:lang w:val="fr-FR"/>
        </w:rPr>
        <w:t xml:space="preserve"> le </w:t>
      </w:r>
      <w:r w:rsidRPr="00F1660D">
        <w:rPr>
          <w:lang w:val="fr-FR"/>
        </w:rPr>
        <w:t>document</w:t>
      </w:r>
      <w:r w:rsidR="00AF4DDC" w:rsidRPr="00F1660D">
        <w:rPr>
          <w:lang w:val="fr-FR"/>
        </w:rPr>
        <w:t> </w:t>
      </w:r>
      <w:r w:rsidRPr="00F1660D">
        <w:rPr>
          <w:lang w:val="fr-FR"/>
        </w:rPr>
        <w:t>SAICM/OEWG.3/INF/18. Il a déclaré que l</w:t>
      </w:r>
      <w:r w:rsidR="00CE30FD" w:rsidRPr="00F1660D">
        <w:rPr>
          <w:lang w:val="fr-FR"/>
        </w:rPr>
        <w:t>’</w:t>
      </w:r>
      <w:r w:rsidRPr="00F1660D">
        <w:rPr>
          <w:lang w:val="fr-FR"/>
        </w:rPr>
        <w:t>OCDE pourrait, si</w:t>
      </w:r>
      <w:r w:rsidR="00A50629" w:rsidRPr="00F1660D">
        <w:rPr>
          <w:lang w:val="fr-FR"/>
        </w:rPr>
        <w:t xml:space="preserve"> le </w:t>
      </w:r>
      <w:r w:rsidRPr="00F1660D">
        <w:rPr>
          <w:lang w:val="fr-FR"/>
        </w:rPr>
        <w:t>Groupe de travail</w:t>
      </w:r>
      <w:r w:rsidR="00A50629" w:rsidRPr="00F1660D">
        <w:rPr>
          <w:lang w:val="fr-FR"/>
        </w:rPr>
        <w:t xml:space="preserve"> le </w:t>
      </w:r>
      <w:r w:rsidRPr="00F1660D">
        <w:rPr>
          <w:lang w:val="fr-FR"/>
        </w:rPr>
        <w:t>souhaitait, élaborer avant</w:t>
      </w:r>
      <w:r w:rsidR="00A50629" w:rsidRPr="00F1660D">
        <w:rPr>
          <w:lang w:val="fr-FR"/>
        </w:rPr>
        <w:t xml:space="preserve"> la </w:t>
      </w:r>
      <w:r w:rsidRPr="00F1660D">
        <w:rPr>
          <w:lang w:val="fr-FR"/>
        </w:rPr>
        <w:t>cinquième session de</w:t>
      </w:r>
      <w:r w:rsidR="00A50629" w:rsidRPr="00F1660D">
        <w:rPr>
          <w:lang w:val="fr-FR"/>
        </w:rPr>
        <w:t xml:space="preserve"> la </w:t>
      </w:r>
      <w:r w:rsidRPr="00F1660D">
        <w:rPr>
          <w:lang w:val="fr-FR"/>
        </w:rPr>
        <w:t>Conférence un rapport de référence concernant un tel indicateur.</w:t>
      </w:r>
    </w:p>
    <w:p w14:paraId="022E636B" w14:textId="417C7238" w:rsidR="00843F33" w:rsidRPr="00F1660D" w:rsidRDefault="00843F33" w:rsidP="00AF4DDC">
      <w:pPr>
        <w:pStyle w:val="Normalnumber"/>
        <w:rPr>
          <w:lang w:val="fr-FR"/>
        </w:rPr>
      </w:pPr>
      <w:r w:rsidRPr="00F1660D">
        <w:rPr>
          <w:lang w:val="fr-FR"/>
        </w:rPr>
        <w:t>Le représentant de l</w:t>
      </w:r>
      <w:r w:rsidR="00CE30FD" w:rsidRPr="00F1660D">
        <w:rPr>
          <w:lang w:val="fr-FR"/>
        </w:rPr>
        <w:t>’</w:t>
      </w:r>
      <w:r w:rsidRPr="00F1660D">
        <w:rPr>
          <w:lang w:val="fr-FR"/>
        </w:rPr>
        <w:t>UNITAR a estimé que</w:t>
      </w:r>
      <w:r w:rsidR="00A50629" w:rsidRPr="00F1660D">
        <w:rPr>
          <w:lang w:val="fr-FR"/>
        </w:rPr>
        <w:t xml:space="preserve"> le </w:t>
      </w:r>
      <w:r w:rsidRPr="00F1660D">
        <w:rPr>
          <w:lang w:val="fr-FR"/>
        </w:rPr>
        <w:t>Système général harmonisé de classification et d</w:t>
      </w:r>
      <w:r w:rsidR="00CE30FD" w:rsidRPr="00F1660D">
        <w:rPr>
          <w:lang w:val="fr-FR"/>
        </w:rPr>
        <w:t>’</w:t>
      </w:r>
      <w:r w:rsidRPr="00F1660D">
        <w:rPr>
          <w:lang w:val="fr-FR"/>
        </w:rPr>
        <w:t>étiquetage</w:t>
      </w:r>
      <w:r w:rsidR="00A50629" w:rsidRPr="00F1660D">
        <w:rPr>
          <w:lang w:val="fr-FR"/>
        </w:rPr>
        <w:t xml:space="preserve"> des </w:t>
      </w:r>
      <w:r w:rsidRPr="00F1660D">
        <w:rPr>
          <w:lang w:val="fr-FR"/>
        </w:rPr>
        <w:t>produits chimiques était l</w:t>
      </w:r>
      <w:r w:rsidR="00CE30FD" w:rsidRPr="00F1660D">
        <w:rPr>
          <w:lang w:val="fr-FR"/>
        </w:rPr>
        <w:t>’</w:t>
      </w:r>
      <w:r w:rsidRPr="00F1660D">
        <w:rPr>
          <w:lang w:val="fr-FR"/>
        </w:rPr>
        <w:t>un</w:t>
      </w:r>
      <w:r w:rsidR="00A50629" w:rsidRPr="00F1660D">
        <w:rPr>
          <w:lang w:val="fr-FR"/>
        </w:rPr>
        <w:t xml:space="preserve"> des </w:t>
      </w:r>
      <w:r w:rsidRPr="00F1660D">
        <w:rPr>
          <w:lang w:val="fr-FR"/>
        </w:rPr>
        <w:t>éléments de base d</w:t>
      </w:r>
      <w:r w:rsidR="00CE30FD" w:rsidRPr="00F1660D">
        <w:rPr>
          <w:lang w:val="fr-FR"/>
        </w:rPr>
        <w:t>’</w:t>
      </w:r>
      <w:r w:rsidRPr="00F1660D">
        <w:rPr>
          <w:lang w:val="fr-FR"/>
        </w:rPr>
        <w:t>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et qu</w:t>
      </w:r>
      <w:r w:rsidR="00CE30FD" w:rsidRPr="00F1660D">
        <w:rPr>
          <w:lang w:val="fr-FR"/>
        </w:rPr>
        <w:t>’</w:t>
      </w:r>
      <w:r w:rsidRPr="00F1660D">
        <w:rPr>
          <w:lang w:val="fr-FR"/>
        </w:rPr>
        <w:t>il était reconnu en tant que tel dans</w:t>
      </w:r>
      <w:r w:rsidR="00A50629" w:rsidRPr="00F1660D">
        <w:rPr>
          <w:lang w:val="fr-FR"/>
        </w:rPr>
        <w:t xml:space="preserve"> les </w:t>
      </w:r>
      <w:r w:rsidRPr="00F1660D">
        <w:rPr>
          <w:lang w:val="fr-FR"/>
        </w:rPr>
        <w:t>orientations générales et</w:t>
      </w:r>
      <w:r w:rsidR="00A50629" w:rsidRPr="00F1660D">
        <w:rPr>
          <w:lang w:val="fr-FR"/>
        </w:rPr>
        <w:t xml:space="preserve"> les </w:t>
      </w:r>
      <w:r w:rsidRPr="00F1660D">
        <w:rPr>
          <w:lang w:val="fr-FR"/>
        </w:rPr>
        <w:t>directives. Il a décrit</w:t>
      </w:r>
      <w:r w:rsidR="00A50629" w:rsidRPr="00F1660D">
        <w:rPr>
          <w:lang w:val="fr-FR"/>
        </w:rPr>
        <w:t xml:space="preserve"> les </w:t>
      </w:r>
      <w:r w:rsidRPr="00F1660D">
        <w:rPr>
          <w:lang w:val="fr-FR"/>
        </w:rPr>
        <w:t>activités menées par l</w:t>
      </w:r>
      <w:r w:rsidR="00CE30FD" w:rsidRPr="00F1660D">
        <w:rPr>
          <w:lang w:val="fr-FR"/>
        </w:rPr>
        <w:t>’</w:t>
      </w:r>
      <w:r w:rsidRPr="00F1660D">
        <w:rPr>
          <w:lang w:val="fr-FR"/>
        </w:rPr>
        <w:t>UNITAR à l</w:t>
      </w:r>
      <w:r w:rsidR="00CE30FD" w:rsidRPr="00F1660D">
        <w:rPr>
          <w:lang w:val="fr-FR"/>
        </w:rPr>
        <w:t>’</w:t>
      </w:r>
      <w:r w:rsidRPr="00F1660D">
        <w:rPr>
          <w:lang w:val="fr-FR"/>
        </w:rPr>
        <w:t>appui du Système général harmonisé et indiqué que son organisation œuvrait avec ses partenaires à l</w:t>
      </w:r>
      <w:r w:rsidR="00CE30FD" w:rsidRPr="00F1660D">
        <w:rPr>
          <w:lang w:val="fr-FR"/>
        </w:rPr>
        <w:t>’</w:t>
      </w:r>
      <w:r w:rsidRPr="00F1660D">
        <w:rPr>
          <w:lang w:val="fr-FR"/>
        </w:rPr>
        <w:t>élaboration d</w:t>
      </w:r>
      <w:r w:rsidR="00CE30FD" w:rsidRPr="00F1660D">
        <w:rPr>
          <w:lang w:val="fr-FR"/>
        </w:rPr>
        <w:t>’</w:t>
      </w:r>
      <w:r w:rsidRPr="00F1660D">
        <w:rPr>
          <w:lang w:val="fr-FR"/>
        </w:rPr>
        <w:t>un plan visant à promouvoir</w:t>
      </w:r>
      <w:r w:rsidR="00A50629" w:rsidRPr="00F1660D">
        <w:rPr>
          <w:lang w:val="fr-FR"/>
        </w:rPr>
        <w:t xml:space="preserve"> la </w:t>
      </w:r>
      <w:r w:rsidRPr="00F1660D">
        <w:rPr>
          <w:lang w:val="fr-FR"/>
        </w:rPr>
        <w:t>mise en œuvre du système au</w:t>
      </w:r>
      <w:r w:rsidRPr="00F1660D">
        <w:rPr>
          <w:lang w:val="fr-FR"/>
        </w:rPr>
        <w:noBreakHyphen/>
        <w:t xml:space="preserve">delà de 2020. </w:t>
      </w:r>
    </w:p>
    <w:p w14:paraId="48A8AC74" w14:textId="198221FF" w:rsidR="00843F33" w:rsidRPr="00F1660D" w:rsidRDefault="00843F33" w:rsidP="00AF4DDC">
      <w:pPr>
        <w:pStyle w:val="Normalnumber"/>
        <w:rPr>
          <w:lang w:val="fr-FR"/>
        </w:rPr>
      </w:pPr>
      <w:r w:rsidRPr="00F1660D">
        <w:rPr>
          <w:lang w:val="fr-FR"/>
        </w:rPr>
        <w:t>Le représentant d</w:t>
      </w:r>
      <w:r w:rsidR="00CE30FD" w:rsidRPr="00F1660D">
        <w:rPr>
          <w:lang w:val="fr-FR"/>
        </w:rPr>
        <w:t>’</w:t>
      </w:r>
      <w:r w:rsidRPr="00F1660D">
        <w:rPr>
          <w:lang w:val="fr-FR"/>
        </w:rPr>
        <w:t>une organisation non gouvernementale a mis en avant</w:t>
      </w:r>
      <w:r w:rsidR="00A50629" w:rsidRPr="00F1660D">
        <w:rPr>
          <w:lang w:val="fr-FR"/>
        </w:rPr>
        <w:t xml:space="preserve"> les </w:t>
      </w:r>
      <w:r w:rsidRPr="00F1660D">
        <w:rPr>
          <w:lang w:val="fr-FR"/>
        </w:rPr>
        <w:t>travaux que celle</w:t>
      </w:r>
      <w:r w:rsidRPr="00F1660D">
        <w:rPr>
          <w:lang w:val="fr-FR"/>
        </w:rPr>
        <w:noBreakHyphen/>
        <w:t>ci avait accomplis en collaboration avec</w:t>
      </w:r>
      <w:r w:rsidR="00A50629" w:rsidRPr="00F1660D">
        <w:rPr>
          <w:lang w:val="fr-FR"/>
        </w:rPr>
        <w:t xml:space="preserve"> le </w:t>
      </w:r>
      <w:r w:rsidRPr="00F1660D">
        <w:rPr>
          <w:lang w:val="fr-FR"/>
        </w:rPr>
        <w:t>PNUE sur l</w:t>
      </w:r>
      <w:r w:rsidR="00CE30FD" w:rsidRPr="00F1660D">
        <w:rPr>
          <w:lang w:val="fr-FR"/>
        </w:rPr>
        <w:t>’</w:t>
      </w:r>
      <w:r w:rsidRPr="00F1660D">
        <w:rPr>
          <w:lang w:val="fr-FR"/>
        </w:rPr>
        <w:t>égalité</w:t>
      </w:r>
      <w:r w:rsidR="00A50629" w:rsidRPr="00F1660D">
        <w:rPr>
          <w:lang w:val="fr-FR"/>
        </w:rPr>
        <w:t xml:space="preserve"> des </w:t>
      </w:r>
      <w:r w:rsidRPr="00F1660D">
        <w:rPr>
          <w:lang w:val="fr-FR"/>
        </w:rPr>
        <w:t>sexes et</w:t>
      </w:r>
      <w:r w:rsidR="00A50629" w:rsidRPr="00F1660D">
        <w:rPr>
          <w:lang w:val="fr-FR"/>
        </w:rPr>
        <w:t xml:space="preserve"> les </w:t>
      </w:r>
      <w:r w:rsidRPr="00F1660D">
        <w:rPr>
          <w:lang w:val="fr-FR"/>
        </w:rPr>
        <w:t>produits chimiques, affirmant qu</w:t>
      </w:r>
      <w:r w:rsidR="00CE30FD" w:rsidRPr="00F1660D">
        <w:rPr>
          <w:lang w:val="fr-FR"/>
        </w:rPr>
        <w:t>’</w:t>
      </w:r>
      <w:r w:rsidRPr="00F1660D">
        <w:rPr>
          <w:lang w:val="fr-FR"/>
        </w:rPr>
        <w:t>il fallait davantage d</w:t>
      </w:r>
      <w:r w:rsidR="00CE30FD" w:rsidRPr="00F1660D">
        <w:rPr>
          <w:lang w:val="fr-FR"/>
        </w:rPr>
        <w:t>’</w:t>
      </w:r>
      <w:r w:rsidRPr="00F1660D">
        <w:rPr>
          <w:lang w:val="fr-FR"/>
        </w:rPr>
        <w:t>informations sur</w:t>
      </w:r>
      <w:r w:rsidR="00A50629" w:rsidRPr="00F1660D">
        <w:rPr>
          <w:lang w:val="fr-FR"/>
        </w:rPr>
        <w:t xml:space="preserve"> les </w:t>
      </w:r>
      <w:r w:rsidRPr="00F1660D">
        <w:rPr>
          <w:lang w:val="fr-FR"/>
        </w:rPr>
        <w:t>produits chimiques tout</w:t>
      </w:r>
      <w:r w:rsidR="00A50629" w:rsidRPr="00F1660D">
        <w:rPr>
          <w:lang w:val="fr-FR"/>
        </w:rPr>
        <w:t xml:space="preserve"> au </w:t>
      </w:r>
      <w:r w:rsidRPr="00F1660D">
        <w:rPr>
          <w:lang w:val="fr-FR"/>
        </w:rPr>
        <w:t>long de</w:t>
      </w:r>
      <w:r w:rsidR="00A50629" w:rsidRPr="00F1660D">
        <w:rPr>
          <w:lang w:val="fr-FR"/>
        </w:rPr>
        <w:t xml:space="preserve"> la </w:t>
      </w:r>
      <w:r w:rsidRPr="00F1660D">
        <w:rPr>
          <w:lang w:val="fr-FR"/>
        </w:rPr>
        <w:t>chaîne de valeur et davantage de ressources pour appliquer l</w:t>
      </w:r>
      <w:r w:rsidR="00CE30FD" w:rsidRPr="00F1660D">
        <w:rPr>
          <w:lang w:val="fr-FR"/>
        </w:rPr>
        <w:t>’</w:t>
      </w:r>
      <w:r w:rsidRPr="00F1660D">
        <w:rPr>
          <w:lang w:val="fr-FR"/>
        </w:rPr>
        <w:t>Approche stratégique et</w:t>
      </w:r>
      <w:r w:rsidR="00A50629" w:rsidRPr="00F1660D">
        <w:rPr>
          <w:lang w:val="fr-FR"/>
        </w:rPr>
        <w:t xml:space="preserve"> les </w:t>
      </w:r>
      <w:r w:rsidRPr="00F1660D">
        <w:rPr>
          <w:lang w:val="fr-FR"/>
        </w:rPr>
        <w:t>six domaines principaux</w:t>
      </w:r>
      <w:r w:rsidR="00A50629" w:rsidRPr="00F1660D">
        <w:rPr>
          <w:lang w:val="fr-FR"/>
        </w:rPr>
        <w:t xml:space="preserve"> des </w:t>
      </w:r>
      <w:r w:rsidRPr="00F1660D">
        <w:rPr>
          <w:lang w:val="fr-FR"/>
        </w:rPr>
        <w:t>orientations générales et</w:t>
      </w:r>
      <w:r w:rsidR="00A50629" w:rsidRPr="00F1660D">
        <w:rPr>
          <w:lang w:val="fr-FR"/>
        </w:rPr>
        <w:t xml:space="preserve"> des </w:t>
      </w:r>
      <w:r w:rsidRPr="00F1660D">
        <w:rPr>
          <w:lang w:val="fr-FR"/>
        </w:rPr>
        <w:t>directives, notamment grâce</w:t>
      </w:r>
      <w:r w:rsidR="00A50629" w:rsidRPr="00F1660D">
        <w:rPr>
          <w:lang w:val="fr-FR"/>
        </w:rPr>
        <w:t xml:space="preserve"> au </w:t>
      </w:r>
      <w:r w:rsidRPr="00F1660D">
        <w:rPr>
          <w:lang w:val="fr-FR"/>
        </w:rPr>
        <w:t>renforcement de</w:t>
      </w:r>
      <w:r w:rsidR="00A50629" w:rsidRPr="00F1660D">
        <w:rPr>
          <w:lang w:val="fr-FR"/>
        </w:rPr>
        <w:t xml:space="preserve"> la </w:t>
      </w:r>
      <w:r w:rsidRPr="00F1660D">
        <w:rPr>
          <w:lang w:val="fr-FR"/>
        </w:rPr>
        <w:t>participation du secteur.</w:t>
      </w:r>
    </w:p>
    <w:p w14:paraId="09ECBAE8" w14:textId="527CF64A" w:rsidR="00843F33" w:rsidRPr="00F1660D" w:rsidRDefault="00843F33" w:rsidP="00AF4DDC">
      <w:pPr>
        <w:pStyle w:val="Normalnumber"/>
        <w:rPr>
          <w:lang w:val="fr-FR"/>
        </w:rPr>
      </w:pPr>
      <w:r w:rsidRPr="00F1660D">
        <w:rPr>
          <w:lang w:val="fr-FR"/>
        </w:rPr>
        <w:t>Ainsi que l</w:t>
      </w:r>
      <w:r w:rsidR="00CE30FD" w:rsidRPr="00F1660D">
        <w:rPr>
          <w:lang w:val="fr-FR"/>
        </w:rPr>
        <w:t>’</w:t>
      </w:r>
      <w:r w:rsidRPr="00F1660D">
        <w:rPr>
          <w:lang w:val="fr-FR"/>
        </w:rPr>
        <w:t>a suggéré</w:t>
      </w:r>
      <w:r w:rsidR="00A50629" w:rsidRPr="00F1660D">
        <w:rPr>
          <w:lang w:val="fr-FR"/>
        </w:rPr>
        <w:t xml:space="preserve"> la </w:t>
      </w:r>
      <w:r w:rsidRPr="00F1660D">
        <w:rPr>
          <w:lang w:val="fr-FR"/>
        </w:rPr>
        <w:t>Présidente,</w:t>
      </w:r>
      <w:r w:rsidR="00A50629" w:rsidRPr="00F1660D">
        <w:rPr>
          <w:lang w:val="fr-FR"/>
        </w:rPr>
        <w:t xml:space="preserve"> le </w:t>
      </w:r>
      <w:r w:rsidRPr="00F1660D">
        <w:rPr>
          <w:lang w:val="fr-FR"/>
        </w:rPr>
        <w:t>Groupe de travail a pris note</w:t>
      </w:r>
      <w:r w:rsidR="00A50629" w:rsidRPr="00F1660D">
        <w:rPr>
          <w:lang w:val="fr-FR"/>
        </w:rPr>
        <w:t xml:space="preserve"> des </w:t>
      </w:r>
      <w:r w:rsidRPr="00F1660D">
        <w:rPr>
          <w:lang w:val="fr-FR"/>
        </w:rPr>
        <w:t>progrès accomplis</w:t>
      </w:r>
      <w:r w:rsidR="00A50629" w:rsidRPr="00F1660D">
        <w:rPr>
          <w:lang w:val="fr-FR"/>
        </w:rPr>
        <w:t xml:space="preserve"> au </w:t>
      </w:r>
      <w:r w:rsidRPr="00F1660D">
        <w:rPr>
          <w:lang w:val="fr-FR"/>
        </w:rPr>
        <w:t>titre</w:t>
      </w:r>
      <w:r w:rsidR="00A50629" w:rsidRPr="00F1660D">
        <w:rPr>
          <w:lang w:val="fr-FR"/>
        </w:rPr>
        <w:t xml:space="preserve"> des </w:t>
      </w:r>
      <w:r w:rsidRPr="00F1660D">
        <w:rPr>
          <w:lang w:val="fr-FR"/>
        </w:rPr>
        <w:t>orientations générales et</w:t>
      </w:r>
      <w:r w:rsidR="00A50629" w:rsidRPr="00F1660D">
        <w:rPr>
          <w:lang w:val="fr-FR"/>
        </w:rPr>
        <w:t xml:space="preserve"> des </w:t>
      </w:r>
      <w:r w:rsidRPr="00F1660D">
        <w:rPr>
          <w:lang w:val="fr-FR"/>
        </w:rPr>
        <w:t>directives</w:t>
      </w:r>
      <w:r w:rsidR="00606841" w:rsidRPr="00F1660D">
        <w:rPr>
          <w:lang w:val="fr-FR"/>
        </w:rPr>
        <w:t>.</w:t>
      </w:r>
      <w:r w:rsidRPr="00F1660D">
        <w:rPr>
          <w:lang w:val="fr-FR"/>
        </w:rPr>
        <w:t xml:space="preserve"> </w:t>
      </w:r>
      <w:r w:rsidR="00606841" w:rsidRPr="00F1660D">
        <w:rPr>
          <w:lang w:val="fr-FR"/>
        </w:rPr>
        <w:t>Elle a remercié</w:t>
      </w:r>
      <w:r w:rsidR="00A50629" w:rsidRPr="00F1660D">
        <w:rPr>
          <w:lang w:val="fr-FR"/>
        </w:rPr>
        <w:t xml:space="preserve"> le </w:t>
      </w:r>
      <w:r w:rsidR="00606841" w:rsidRPr="00F1660D">
        <w:rPr>
          <w:lang w:val="fr-FR"/>
        </w:rPr>
        <w:t>secrétariat pour l</w:t>
      </w:r>
      <w:r w:rsidR="00CE30FD" w:rsidRPr="00F1660D">
        <w:rPr>
          <w:lang w:val="fr-FR"/>
        </w:rPr>
        <w:t>’</w:t>
      </w:r>
      <w:r w:rsidR="00606841" w:rsidRPr="00F1660D">
        <w:rPr>
          <w:lang w:val="fr-FR"/>
        </w:rPr>
        <w:t>élaboration de</w:t>
      </w:r>
      <w:r w:rsidR="00A50629" w:rsidRPr="00F1660D">
        <w:rPr>
          <w:lang w:val="fr-FR"/>
        </w:rPr>
        <w:t xml:space="preserve"> la </w:t>
      </w:r>
      <w:r w:rsidR="00606841" w:rsidRPr="00F1660D">
        <w:rPr>
          <w:lang w:val="fr-FR"/>
        </w:rPr>
        <w:t xml:space="preserve">stratégie </w:t>
      </w:r>
      <w:r w:rsidRPr="00F1660D">
        <w:rPr>
          <w:lang w:val="fr-FR"/>
        </w:rPr>
        <w:t>de gestion</w:t>
      </w:r>
      <w:r w:rsidR="00A50629" w:rsidRPr="00F1660D">
        <w:rPr>
          <w:lang w:val="fr-FR"/>
        </w:rPr>
        <w:t xml:space="preserve"> des </w:t>
      </w:r>
      <w:r w:rsidRPr="00F1660D">
        <w:rPr>
          <w:lang w:val="fr-FR"/>
        </w:rPr>
        <w:t>connaissances</w:t>
      </w:r>
      <w:r w:rsidR="00606841" w:rsidRPr="00F1660D">
        <w:rPr>
          <w:lang w:val="fr-FR"/>
        </w:rPr>
        <w:t xml:space="preserve"> figurant dans</w:t>
      </w:r>
      <w:r w:rsidR="00A50629" w:rsidRPr="00F1660D">
        <w:rPr>
          <w:lang w:val="fr-FR"/>
        </w:rPr>
        <w:t xml:space="preserve"> le </w:t>
      </w:r>
      <w:r w:rsidR="00606841" w:rsidRPr="00F1660D">
        <w:rPr>
          <w:lang w:val="fr-FR"/>
        </w:rPr>
        <w:t>document SAICM/OEWG.3/INF/32 et a</w:t>
      </w:r>
      <w:r w:rsidR="00CE30FD" w:rsidRPr="00F1660D">
        <w:rPr>
          <w:lang w:val="fr-FR"/>
        </w:rPr>
        <w:t> </w:t>
      </w:r>
      <w:r w:rsidR="00606841" w:rsidRPr="00F1660D">
        <w:rPr>
          <w:lang w:val="fr-FR"/>
        </w:rPr>
        <w:t>engagé toutes</w:t>
      </w:r>
      <w:r w:rsidR="00A50629" w:rsidRPr="00F1660D">
        <w:rPr>
          <w:lang w:val="fr-FR"/>
        </w:rPr>
        <w:t xml:space="preserve"> les </w:t>
      </w:r>
      <w:r w:rsidR="00606841" w:rsidRPr="00F1660D">
        <w:rPr>
          <w:lang w:val="fr-FR"/>
        </w:rPr>
        <w:t xml:space="preserve">parties prenantes à participer aux efforts </w:t>
      </w:r>
      <w:r w:rsidR="00DE04EC" w:rsidRPr="00F1660D">
        <w:rPr>
          <w:lang w:val="fr-FR"/>
        </w:rPr>
        <w:t xml:space="preserve">de </w:t>
      </w:r>
      <w:r w:rsidR="00606841" w:rsidRPr="00F1660D">
        <w:rPr>
          <w:lang w:val="fr-FR"/>
        </w:rPr>
        <w:t>gestion</w:t>
      </w:r>
      <w:r w:rsidR="00A50629" w:rsidRPr="00F1660D">
        <w:rPr>
          <w:lang w:val="fr-FR"/>
        </w:rPr>
        <w:t xml:space="preserve"> des </w:t>
      </w:r>
      <w:r w:rsidR="00606841" w:rsidRPr="00F1660D">
        <w:rPr>
          <w:lang w:val="fr-FR"/>
        </w:rPr>
        <w:t>connaissances</w:t>
      </w:r>
      <w:r w:rsidRPr="00F1660D">
        <w:rPr>
          <w:lang w:val="fr-FR"/>
        </w:rPr>
        <w:t xml:space="preserve">. </w:t>
      </w:r>
    </w:p>
    <w:p w14:paraId="59CB1BD0" w14:textId="5F44F12C" w:rsidR="00843F33" w:rsidRPr="00F1660D" w:rsidRDefault="00AF4DDC" w:rsidP="00AF4DDC">
      <w:pPr>
        <w:pStyle w:val="CH2"/>
        <w:rPr>
          <w:lang w:val="fr-FR"/>
        </w:rPr>
      </w:pPr>
      <w:r w:rsidRPr="00F1660D">
        <w:rPr>
          <w:lang w:val="fr-FR"/>
        </w:rPr>
        <w:tab/>
      </w:r>
      <w:r w:rsidR="00843F33" w:rsidRPr="00F1660D">
        <w:rPr>
          <w:lang w:val="fr-FR"/>
        </w:rPr>
        <w:t>C.</w:t>
      </w:r>
      <w:r w:rsidR="00843F33" w:rsidRPr="00F1660D">
        <w:rPr>
          <w:lang w:val="fr-FR"/>
        </w:rPr>
        <w:tab/>
        <w:t>Nouvelles questions de politique générale et autres sujets de préoccupation</w:t>
      </w:r>
    </w:p>
    <w:p w14:paraId="5FF6E9FB" w14:textId="16B25A4D" w:rsidR="00843F33" w:rsidRPr="00F1660D" w:rsidRDefault="00843F33" w:rsidP="00AF4DDC">
      <w:pPr>
        <w:pStyle w:val="Normalnumber"/>
        <w:rPr>
          <w:lang w:val="fr-FR"/>
        </w:rPr>
      </w:pPr>
      <w:r w:rsidRPr="00F1660D">
        <w:rPr>
          <w:lang w:val="fr-FR"/>
        </w:rPr>
        <w:t>Présentant ce sous</w:t>
      </w:r>
      <w:r w:rsidRPr="00F1660D">
        <w:rPr>
          <w:lang w:val="fr-FR"/>
        </w:rPr>
        <w:noBreakHyphen/>
        <w:t>point,</w:t>
      </w:r>
      <w:r w:rsidR="00A50629" w:rsidRPr="00F1660D">
        <w:rPr>
          <w:lang w:val="fr-FR"/>
        </w:rPr>
        <w:t xml:space="preserve"> la </w:t>
      </w:r>
      <w:r w:rsidRPr="00F1660D">
        <w:rPr>
          <w:lang w:val="fr-FR"/>
        </w:rPr>
        <w:t>Présidente a rappelé qu</w:t>
      </w:r>
      <w:r w:rsidR="00CE30FD" w:rsidRPr="00F1660D">
        <w:rPr>
          <w:lang w:val="fr-FR"/>
        </w:rPr>
        <w:t>’</w:t>
      </w:r>
      <w:r w:rsidRPr="00F1660D">
        <w:rPr>
          <w:lang w:val="fr-FR"/>
        </w:rPr>
        <w:t>à sa quatrième session,</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avait demandé aux organismes chefs de file de</w:t>
      </w:r>
      <w:r w:rsidR="00CE30FD" w:rsidRPr="00F1660D">
        <w:rPr>
          <w:lang w:val="fr-FR"/>
        </w:rPr>
        <w:t> </w:t>
      </w:r>
      <w:r w:rsidRPr="00F1660D">
        <w:rPr>
          <w:lang w:val="fr-FR"/>
        </w:rPr>
        <w:t>l</w:t>
      </w:r>
      <w:r w:rsidR="00CE30FD" w:rsidRPr="00F1660D">
        <w:rPr>
          <w:lang w:val="fr-FR"/>
        </w:rPr>
        <w:t>’</w:t>
      </w:r>
      <w:r w:rsidRPr="00F1660D">
        <w:rPr>
          <w:lang w:val="fr-FR"/>
        </w:rPr>
        <w:t>IOMC, aux gouvernements et aux autres parties prenantes de faire rapport, par l</w:t>
      </w:r>
      <w:r w:rsidR="00CE30FD" w:rsidRPr="00F1660D">
        <w:rPr>
          <w:lang w:val="fr-FR"/>
        </w:rPr>
        <w:t>’</w:t>
      </w:r>
      <w:r w:rsidRPr="00F1660D">
        <w:rPr>
          <w:lang w:val="fr-FR"/>
        </w:rPr>
        <w:t>intermédiaire du</w:t>
      </w:r>
      <w:r w:rsidR="00CE30FD" w:rsidRPr="00F1660D">
        <w:rPr>
          <w:lang w:val="fr-FR"/>
        </w:rPr>
        <w:t> </w:t>
      </w:r>
      <w:r w:rsidRPr="00F1660D">
        <w:rPr>
          <w:lang w:val="fr-FR"/>
        </w:rPr>
        <w:t>secrétariat, à</w:t>
      </w:r>
      <w:r w:rsidR="00A50629" w:rsidRPr="00F1660D">
        <w:rPr>
          <w:lang w:val="fr-FR"/>
        </w:rPr>
        <w:t xml:space="preserve"> la </w:t>
      </w:r>
      <w:r w:rsidRPr="00F1660D">
        <w:rPr>
          <w:lang w:val="fr-FR"/>
        </w:rPr>
        <w:t>réunion en cours et à</w:t>
      </w:r>
      <w:r w:rsidR="00A50629" w:rsidRPr="00F1660D">
        <w:rPr>
          <w:lang w:val="fr-FR"/>
        </w:rPr>
        <w:t xml:space="preserve"> la </w:t>
      </w:r>
      <w:r w:rsidRPr="00F1660D">
        <w:rPr>
          <w:lang w:val="fr-FR"/>
        </w:rPr>
        <w:t>cinquième session de</w:t>
      </w:r>
      <w:r w:rsidR="00A50629" w:rsidRPr="00F1660D">
        <w:rPr>
          <w:lang w:val="fr-FR"/>
        </w:rPr>
        <w:t xml:space="preserve"> la </w:t>
      </w:r>
      <w:r w:rsidRPr="00F1660D">
        <w:rPr>
          <w:lang w:val="fr-FR"/>
        </w:rPr>
        <w:t>Conférence, sur l</w:t>
      </w:r>
      <w:r w:rsidR="00CE30FD" w:rsidRPr="00F1660D">
        <w:rPr>
          <w:lang w:val="fr-FR"/>
        </w:rPr>
        <w:t>’</w:t>
      </w:r>
      <w:r w:rsidRPr="00F1660D">
        <w:rPr>
          <w:lang w:val="fr-FR"/>
        </w:rPr>
        <w:t>application</w:t>
      </w:r>
      <w:r w:rsidR="00A50629" w:rsidRPr="00F1660D">
        <w:rPr>
          <w:lang w:val="fr-FR"/>
        </w:rPr>
        <w:t xml:space="preserve"> des </w:t>
      </w:r>
      <w:r w:rsidRPr="00F1660D">
        <w:rPr>
          <w:lang w:val="fr-FR"/>
        </w:rPr>
        <w:t>résolutions relatives aux nouvelles questions de politique générale. Le processus relatif aux</w:t>
      </w:r>
      <w:r w:rsidR="00CE30FD" w:rsidRPr="00F1660D">
        <w:rPr>
          <w:lang w:val="fr-FR"/>
        </w:rPr>
        <w:t> </w:t>
      </w:r>
      <w:r w:rsidRPr="00F1660D">
        <w:rPr>
          <w:lang w:val="fr-FR"/>
        </w:rPr>
        <w:t>nouvelles questions de politique générale avait été un élément important</w:t>
      </w:r>
      <w:r w:rsidR="00A50629" w:rsidRPr="00F1660D">
        <w:rPr>
          <w:lang w:val="fr-FR"/>
        </w:rPr>
        <w:t xml:space="preserve"> des </w:t>
      </w:r>
      <w:r w:rsidRPr="00F1660D">
        <w:rPr>
          <w:lang w:val="fr-FR"/>
        </w:rPr>
        <w:t>travaux de l</w:t>
      </w:r>
      <w:r w:rsidR="00CE30FD" w:rsidRPr="00F1660D">
        <w:rPr>
          <w:lang w:val="fr-FR"/>
        </w:rPr>
        <w:t>’</w:t>
      </w:r>
      <w:r w:rsidRPr="00F1660D">
        <w:rPr>
          <w:lang w:val="fr-FR"/>
        </w:rPr>
        <w:t>Approche stratégique qui, en raison de son caractère non contraignant, avait permis d</w:t>
      </w:r>
      <w:r w:rsidR="00CE30FD" w:rsidRPr="00F1660D">
        <w:rPr>
          <w:lang w:val="fr-FR"/>
        </w:rPr>
        <w:t>’</w:t>
      </w:r>
      <w:r w:rsidRPr="00F1660D">
        <w:rPr>
          <w:lang w:val="fr-FR"/>
        </w:rPr>
        <w:t>évaluer rapidement</w:t>
      </w:r>
      <w:r w:rsidR="00A50629" w:rsidRPr="00F1660D">
        <w:rPr>
          <w:lang w:val="fr-FR"/>
        </w:rPr>
        <w:t xml:space="preserve"> les </w:t>
      </w:r>
      <w:r w:rsidRPr="00F1660D">
        <w:rPr>
          <w:lang w:val="fr-FR"/>
        </w:rPr>
        <w:t>risques liés à ces questions et</w:t>
      </w:r>
      <w:r w:rsidR="00A50629" w:rsidRPr="00F1660D">
        <w:rPr>
          <w:lang w:val="fr-FR"/>
        </w:rPr>
        <w:t xml:space="preserve"> les </w:t>
      </w:r>
      <w:r w:rsidRPr="00F1660D">
        <w:rPr>
          <w:lang w:val="fr-FR"/>
        </w:rPr>
        <w:t>mesures pouvant être prises pour</w:t>
      </w:r>
      <w:r w:rsidR="00A50629" w:rsidRPr="00F1660D">
        <w:rPr>
          <w:lang w:val="fr-FR"/>
        </w:rPr>
        <w:t xml:space="preserve"> y </w:t>
      </w:r>
      <w:r w:rsidRPr="00F1660D">
        <w:rPr>
          <w:lang w:val="fr-FR"/>
        </w:rPr>
        <w:t>remédier. Néanmoins, il avait été difficile de suivre</w:t>
      </w:r>
      <w:r w:rsidR="00A50629" w:rsidRPr="00F1660D">
        <w:rPr>
          <w:lang w:val="fr-FR"/>
        </w:rPr>
        <w:t xml:space="preserve"> les </w:t>
      </w:r>
      <w:r w:rsidRPr="00F1660D">
        <w:rPr>
          <w:lang w:val="fr-FR"/>
        </w:rPr>
        <w:t>progrès réalisés concernant</w:t>
      </w:r>
      <w:r w:rsidR="00A50629" w:rsidRPr="00F1660D">
        <w:rPr>
          <w:lang w:val="fr-FR"/>
        </w:rPr>
        <w:t xml:space="preserve"> les </w:t>
      </w:r>
      <w:r w:rsidRPr="00F1660D">
        <w:rPr>
          <w:lang w:val="fr-FR"/>
        </w:rPr>
        <w:t>nouvelles questions de</w:t>
      </w:r>
      <w:r w:rsidR="00CE30FD" w:rsidRPr="00F1660D">
        <w:rPr>
          <w:lang w:val="fr-FR"/>
        </w:rPr>
        <w:t> </w:t>
      </w:r>
      <w:r w:rsidRPr="00F1660D">
        <w:rPr>
          <w:lang w:val="fr-FR"/>
        </w:rPr>
        <w:t>politique générale et l</w:t>
      </w:r>
      <w:r w:rsidR="00CE30FD" w:rsidRPr="00F1660D">
        <w:rPr>
          <w:lang w:val="fr-FR"/>
        </w:rPr>
        <w:t>’</w:t>
      </w:r>
      <w:r w:rsidRPr="00F1660D">
        <w:rPr>
          <w:lang w:val="fr-FR"/>
        </w:rPr>
        <w:t>on s</w:t>
      </w:r>
      <w:r w:rsidR="00CE30FD" w:rsidRPr="00F1660D">
        <w:rPr>
          <w:lang w:val="fr-FR"/>
        </w:rPr>
        <w:t>’</w:t>
      </w:r>
      <w:r w:rsidRPr="00F1660D">
        <w:rPr>
          <w:lang w:val="fr-FR"/>
        </w:rPr>
        <w:t>était inquiété du fait qu</w:t>
      </w:r>
      <w:r w:rsidR="00CE30FD" w:rsidRPr="00F1660D">
        <w:rPr>
          <w:lang w:val="fr-FR"/>
        </w:rPr>
        <w:t>’</w:t>
      </w:r>
      <w:r w:rsidRPr="00F1660D">
        <w:rPr>
          <w:lang w:val="fr-FR"/>
        </w:rPr>
        <w:t>aucun délai n</w:t>
      </w:r>
      <w:r w:rsidR="00CE30FD" w:rsidRPr="00F1660D">
        <w:rPr>
          <w:lang w:val="fr-FR"/>
        </w:rPr>
        <w:t>’</w:t>
      </w:r>
      <w:r w:rsidRPr="00F1660D">
        <w:rPr>
          <w:lang w:val="fr-FR"/>
        </w:rPr>
        <w:t>était prévu. Selon</w:t>
      </w:r>
      <w:r w:rsidR="00A50629" w:rsidRPr="00F1660D">
        <w:rPr>
          <w:lang w:val="fr-FR"/>
        </w:rPr>
        <w:t xml:space="preserve"> le </w:t>
      </w:r>
      <w:r w:rsidRPr="00F1660D">
        <w:rPr>
          <w:lang w:val="fr-FR"/>
        </w:rPr>
        <w:t>projet d</w:t>
      </w:r>
      <w:r w:rsidR="00CE30FD" w:rsidRPr="00F1660D">
        <w:rPr>
          <w:lang w:val="fr-FR"/>
        </w:rPr>
        <w:t>’</w:t>
      </w:r>
      <w:r w:rsidRPr="00F1660D">
        <w:rPr>
          <w:lang w:val="fr-FR"/>
        </w:rPr>
        <w:t xml:space="preserve">objectif </w:t>
      </w:r>
      <w:r w:rsidR="00606841" w:rsidRPr="00F1660D">
        <w:rPr>
          <w:lang w:val="fr-FR"/>
        </w:rPr>
        <w:t xml:space="preserve">stratégique </w:t>
      </w:r>
      <w:r w:rsidRPr="00F1660D">
        <w:rPr>
          <w:lang w:val="fr-FR"/>
        </w:rPr>
        <w:t>C figurant dans</w:t>
      </w:r>
      <w:r w:rsidR="00A50629" w:rsidRPr="00F1660D">
        <w:rPr>
          <w:lang w:val="fr-FR"/>
        </w:rPr>
        <w:t xml:space="preserve"> le </w:t>
      </w:r>
      <w:r w:rsidRPr="00F1660D">
        <w:rPr>
          <w:lang w:val="fr-FR"/>
        </w:rPr>
        <w:t>document</w:t>
      </w:r>
      <w:r w:rsidR="00A50629" w:rsidRPr="00F1660D">
        <w:rPr>
          <w:lang w:val="fr-FR"/>
        </w:rPr>
        <w:t xml:space="preserve"> des </w:t>
      </w:r>
      <w:r w:rsidRPr="00F1660D">
        <w:rPr>
          <w:lang w:val="fr-FR"/>
        </w:rPr>
        <w:t>coprésidents</w:t>
      </w:r>
      <w:r w:rsidR="00DE04EC" w:rsidRPr="00F1660D">
        <w:rPr>
          <w:lang w:val="fr-FR"/>
        </w:rPr>
        <w:t xml:space="preserve"> (SAICM/OEWG.3/4)</w:t>
      </w:r>
      <w:r w:rsidRPr="00F1660D">
        <w:rPr>
          <w:lang w:val="fr-FR"/>
        </w:rPr>
        <w:t>,</w:t>
      </w:r>
      <w:r w:rsidR="00A50629" w:rsidRPr="00F1660D">
        <w:rPr>
          <w:lang w:val="fr-FR"/>
        </w:rPr>
        <w:t xml:space="preserve"> les </w:t>
      </w:r>
      <w:r w:rsidRPr="00F1660D">
        <w:rPr>
          <w:lang w:val="fr-FR"/>
        </w:rPr>
        <w:t>nouvelles questions de</w:t>
      </w:r>
      <w:r w:rsidR="00CE30FD" w:rsidRPr="00F1660D">
        <w:rPr>
          <w:lang w:val="fr-FR"/>
        </w:rPr>
        <w:t> </w:t>
      </w:r>
      <w:r w:rsidRPr="00F1660D">
        <w:rPr>
          <w:lang w:val="fr-FR"/>
        </w:rPr>
        <w:t>politique générale constituaient un élément clef de l</w:t>
      </w:r>
      <w:r w:rsidR="00CE30FD" w:rsidRPr="00F1660D">
        <w:rPr>
          <w:lang w:val="fr-FR"/>
        </w:rPr>
        <w:t>’</w:t>
      </w:r>
      <w:r w:rsidRPr="00F1660D">
        <w:rPr>
          <w:lang w:val="fr-FR"/>
        </w:rPr>
        <w:t>après</w:t>
      </w:r>
      <w:r w:rsidRPr="00F1660D">
        <w:rPr>
          <w:lang w:val="fr-FR"/>
        </w:rPr>
        <w:noBreakHyphen/>
        <w:t>2020 en ce qui a trait aux sujets de</w:t>
      </w:r>
      <w:r w:rsidR="00CE30FD" w:rsidRPr="00F1660D">
        <w:rPr>
          <w:lang w:val="fr-FR"/>
        </w:rPr>
        <w:t> </w:t>
      </w:r>
      <w:r w:rsidRPr="00F1660D">
        <w:rPr>
          <w:lang w:val="fr-FR"/>
        </w:rPr>
        <w:t>préoccupation justifiant une action mondiale. Il</w:t>
      </w:r>
      <w:r w:rsidR="00AF4DDC" w:rsidRPr="00F1660D">
        <w:rPr>
          <w:lang w:val="fr-FR"/>
        </w:rPr>
        <w:t> </w:t>
      </w:r>
      <w:r w:rsidRPr="00F1660D">
        <w:rPr>
          <w:lang w:val="fr-FR"/>
        </w:rPr>
        <w:t>importait donc de faire</w:t>
      </w:r>
      <w:r w:rsidR="00A50629" w:rsidRPr="00F1660D">
        <w:rPr>
          <w:lang w:val="fr-FR"/>
        </w:rPr>
        <w:t xml:space="preserve"> le </w:t>
      </w:r>
      <w:r w:rsidRPr="00F1660D">
        <w:rPr>
          <w:lang w:val="fr-FR"/>
        </w:rPr>
        <w:t>bilan</w:t>
      </w:r>
      <w:r w:rsidR="00A50629" w:rsidRPr="00F1660D">
        <w:rPr>
          <w:lang w:val="fr-FR"/>
        </w:rPr>
        <w:t xml:space="preserve"> des </w:t>
      </w:r>
      <w:r w:rsidRPr="00F1660D">
        <w:rPr>
          <w:lang w:val="fr-FR"/>
        </w:rPr>
        <w:t>enseignements tirés à ce jour concernant</w:t>
      </w:r>
      <w:r w:rsidR="00A50629" w:rsidRPr="00F1660D">
        <w:rPr>
          <w:lang w:val="fr-FR"/>
        </w:rPr>
        <w:t xml:space="preserve"> les </w:t>
      </w:r>
      <w:r w:rsidRPr="00F1660D">
        <w:rPr>
          <w:lang w:val="fr-FR"/>
        </w:rPr>
        <w:t>nouvelles questions de politique générale et autres sujets de préoccupation afin de faciliter</w:t>
      </w:r>
      <w:r w:rsidR="00A50629" w:rsidRPr="00F1660D">
        <w:rPr>
          <w:lang w:val="fr-FR"/>
        </w:rPr>
        <w:t xml:space="preserve"> la </w:t>
      </w:r>
      <w:r w:rsidRPr="00F1660D">
        <w:rPr>
          <w:lang w:val="fr-FR"/>
        </w:rPr>
        <w:t>prise de décisions pour</w:t>
      </w:r>
      <w:r w:rsidR="00AF4DDC" w:rsidRPr="00F1660D">
        <w:rPr>
          <w:lang w:val="fr-FR"/>
        </w:rPr>
        <w:t> </w:t>
      </w:r>
      <w:r w:rsidRPr="00F1660D">
        <w:rPr>
          <w:lang w:val="fr-FR"/>
        </w:rPr>
        <w:t>l</w:t>
      </w:r>
      <w:r w:rsidR="00CE30FD" w:rsidRPr="00F1660D">
        <w:rPr>
          <w:lang w:val="fr-FR"/>
        </w:rPr>
        <w:t>’</w:t>
      </w:r>
      <w:r w:rsidRPr="00F1660D">
        <w:rPr>
          <w:lang w:val="fr-FR"/>
        </w:rPr>
        <w:t>après</w:t>
      </w:r>
      <w:r w:rsidRPr="00F1660D">
        <w:rPr>
          <w:lang w:val="fr-FR"/>
        </w:rPr>
        <w:noBreakHyphen/>
        <w:t>2020.</w:t>
      </w:r>
    </w:p>
    <w:p w14:paraId="1E7B1FD9" w14:textId="517D7B6F" w:rsidR="00843F33" w:rsidRPr="00F1660D" w:rsidRDefault="00843F33" w:rsidP="00AF4DDC">
      <w:pPr>
        <w:pStyle w:val="Normalnumber"/>
        <w:rPr>
          <w:lang w:val="fr-FR"/>
        </w:rPr>
      </w:pPr>
      <w:r w:rsidRPr="00F1660D">
        <w:rPr>
          <w:lang w:val="fr-FR"/>
        </w:rPr>
        <w:t>La représentante du secrétariat a appelé l</w:t>
      </w:r>
      <w:r w:rsidR="00CE30FD" w:rsidRPr="00F1660D">
        <w:rPr>
          <w:lang w:val="fr-FR"/>
        </w:rPr>
        <w:t>’</w:t>
      </w:r>
      <w:r w:rsidRPr="00F1660D">
        <w:rPr>
          <w:lang w:val="fr-FR"/>
        </w:rPr>
        <w:t>attention</w:t>
      </w:r>
      <w:r w:rsidR="00A50629" w:rsidRPr="00F1660D">
        <w:rPr>
          <w:lang w:val="fr-FR"/>
        </w:rPr>
        <w:t xml:space="preserve"> des </w:t>
      </w:r>
      <w:r w:rsidRPr="00F1660D">
        <w:rPr>
          <w:lang w:val="fr-FR"/>
        </w:rPr>
        <w:t>participants sur</w:t>
      </w:r>
      <w:r w:rsidR="00A50629" w:rsidRPr="00F1660D">
        <w:rPr>
          <w:lang w:val="fr-FR"/>
        </w:rPr>
        <w:t xml:space="preserve"> la </w:t>
      </w:r>
      <w:r w:rsidRPr="00F1660D">
        <w:rPr>
          <w:lang w:val="fr-FR"/>
        </w:rPr>
        <w:t>note du secrétariat relative aux nouvelles questions de politique générale et autres sujets de préoccupation (SAICM/OEWG.3/6), ainsi que sur quatre documents d</w:t>
      </w:r>
      <w:r w:rsidR="00CE30FD" w:rsidRPr="00F1660D">
        <w:rPr>
          <w:lang w:val="fr-FR"/>
        </w:rPr>
        <w:t>’</w:t>
      </w:r>
      <w:r w:rsidRPr="00F1660D">
        <w:rPr>
          <w:lang w:val="fr-FR"/>
        </w:rPr>
        <w:t>information : un document sur</w:t>
      </w:r>
      <w:r w:rsidR="00A50629" w:rsidRPr="00F1660D">
        <w:rPr>
          <w:lang w:val="fr-FR"/>
        </w:rPr>
        <w:t xml:space="preserve"> les </w:t>
      </w:r>
      <w:r w:rsidRPr="00F1660D">
        <w:rPr>
          <w:lang w:val="fr-FR"/>
        </w:rPr>
        <w:t>nouvelles questions de politique générale et d</w:t>
      </w:r>
      <w:r w:rsidR="00CE30FD" w:rsidRPr="00F1660D">
        <w:rPr>
          <w:lang w:val="fr-FR"/>
        </w:rPr>
        <w:t>’</w:t>
      </w:r>
      <w:r w:rsidRPr="00F1660D">
        <w:rPr>
          <w:lang w:val="fr-FR"/>
        </w:rPr>
        <w:t>autres sujets de préoccupation, présenté par l</w:t>
      </w:r>
      <w:r w:rsidR="00CE30FD" w:rsidRPr="00F1660D">
        <w:rPr>
          <w:lang w:val="fr-FR"/>
        </w:rPr>
        <w:t>’</w:t>
      </w:r>
      <w:r w:rsidRPr="00F1660D">
        <w:rPr>
          <w:lang w:val="fr-FR"/>
        </w:rPr>
        <w:t>IOMC (SAICM/OEWG.3/INF/9) ; un document sur</w:t>
      </w:r>
      <w:r w:rsidR="00A50629" w:rsidRPr="00F1660D">
        <w:rPr>
          <w:lang w:val="fr-FR"/>
        </w:rPr>
        <w:t xml:space="preserve"> les </w:t>
      </w:r>
      <w:r w:rsidRPr="00F1660D">
        <w:rPr>
          <w:lang w:val="fr-FR"/>
        </w:rPr>
        <w:t>résolutions de l</w:t>
      </w:r>
      <w:r w:rsidR="00CE30FD" w:rsidRPr="00F1660D">
        <w:rPr>
          <w:lang w:val="fr-FR"/>
        </w:rPr>
        <w:t>’</w:t>
      </w:r>
      <w:r w:rsidRPr="00F1660D">
        <w:rPr>
          <w:lang w:val="fr-FR"/>
        </w:rPr>
        <w:t>Assemblée</w:t>
      </w:r>
      <w:r w:rsidR="00A50629" w:rsidRPr="00F1660D">
        <w:rPr>
          <w:lang w:val="fr-FR"/>
        </w:rPr>
        <w:t xml:space="preserve"> des </w:t>
      </w:r>
      <w:r w:rsidR="002C67A2" w:rsidRPr="00F1660D">
        <w:rPr>
          <w:lang w:val="fr-FR"/>
        </w:rPr>
        <w:t>Nations Unies</w:t>
      </w:r>
      <w:r w:rsidRPr="00F1660D">
        <w:rPr>
          <w:lang w:val="fr-FR"/>
        </w:rPr>
        <w:t xml:space="preserve"> pour l</w:t>
      </w:r>
      <w:r w:rsidR="00CE30FD" w:rsidRPr="00F1660D">
        <w:rPr>
          <w:lang w:val="fr-FR"/>
        </w:rPr>
        <w:t>’</w:t>
      </w:r>
      <w:r w:rsidRPr="00F1660D">
        <w:rPr>
          <w:lang w:val="fr-FR"/>
        </w:rPr>
        <w:t>environnement relatives aux déchets et microplastiques dans</w:t>
      </w:r>
      <w:r w:rsidR="00A50629" w:rsidRPr="00F1660D">
        <w:rPr>
          <w:lang w:val="fr-FR"/>
        </w:rPr>
        <w:t xml:space="preserve"> le </w:t>
      </w:r>
      <w:r w:rsidRPr="00F1660D">
        <w:rPr>
          <w:lang w:val="fr-FR"/>
        </w:rPr>
        <w:t>milieu marin et leur intérêt pour l</w:t>
      </w:r>
      <w:r w:rsidR="00CE30FD" w:rsidRPr="00F1660D">
        <w:rPr>
          <w:lang w:val="fr-FR"/>
        </w:rPr>
        <w:t>’</w:t>
      </w:r>
      <w:r w:rsidRPr="00F1660D">
        <w:rPr>
          <w:lang w:val="fr-FR"/>
        </w:rPr>
        <w:t>Approche stratégique, présenté par</w:t>
      </w:r>
      <w:r w:rsidR="00A50629" w:rsidRPr="00F1660D">
        <w:rPr>
          <w:lang w:val="fr-FR"/>
        </w:rPr>
        <w:t xml:space="preserve"> le </w:t>
      </w:r>
      <w:r w:rsidRPr="00F1660D">
        <w:rPr>
          <w:lang w:val="fr-FR"/>
        </w:rPr>
        <w:t>PNUE (SAICM/OEWG.3/INF/16</w:t>
      </w:r>
      <w:r w:rsidR="00DE04EC" w:rsidRPr="00F1660D">
        <w:rPr>
          <w:lang w:val="fr-FR"/>
        </w:rPr>
        <w:t>/Rev.1)</w:t>
      </w:r>
      <w:r w:rsidRPr="00F1660D">
        <w:rPr>
          <w:lang w:val="fr-FR"/>
        </w:rPr>
        <w:t> ; un document sur</w:t>
      </w:r>
      <w:r w:rsidR="00A50629" w:rsidRPr="00F1660D">
        <w:rPr>
          <w:lang w:val="fr-FR"/>
        </w:rPr>
        <w:t xml:space="preserve"> la </w:t>
      </w:r>
      <w:r w:rsidRPr="00F1660D">
        <w:rPr>
          <w:lang w:val="fr-FR"/>
        </w:rPr>
        <w:t>promotion de lois sur</w:t>
      </w:r>
      <w:r w:rsidR="00A50629" w:rsidRPr="00F1660D">
        <w:rPr>
          <w:lang w:val="fr-FR"/>
        </w:rPr>
        <w:t xml:space="preserve"> les </w:t>
      </w:r>
      <w:r w:rsidRPr="00F1660D">
        <w:rPr>
          <w:lang w:val="fr-FR"/>
        </w:rPr>
        <w:t>peintures</w:t>
      </w:r>
      <w:r w:rsidR="00A50629" w:rsidRPr="00F1660D">
        <w:rPr>
          <w:lang w:val="fr-FR"/>
        </w:rPr>
        <w:t xml:space="preserve"> au </w:t>
      </w:r>
      <w:r w:rsidRPr="00F1660D">
        <w:rPr>
          <w:lang w:val="fr-FR"/>
        </w:rPr>
        <w:t>plomb et de mesures renforcées à l</w:t>
      </w:r>
      <w:r w:rsidR="00CE30FD" w:rsidRPr="00F1660D">
        <w:rPr>
          <w:lang w:val="fr-FR"/>
        </w:rPr>
        <w:t>’</w:t>
      </w:r>
      <w:r w:rsidRPr="00F1660D">
        <w:rPr>
          <w:lang w:val="fr-FR"/>
        </w:rPr>
        <w:t>horizon 2020, présenté par</w:t>
      </w:r>
      <w:r w:rsidR="00A50629" w:rsidRPr="00F1660D">
        <w:rPr>
          <w:lang w:val="fr-FR"/>
        </w:rPr>
        <w:t xml:space="preserve"> le </w:t>
      </w:r>
      <w:r w:rsidRPr="00F1660D">
        <w:rPr>
          <w:lang w:val="fr-FR"/>
        </w:rPr>
        <w:t>PNUE et l</w:t>
      </w:r>
      <w:r w:rsidR="00CE30FD" w:rsidRPr="00F1660D">
        <w:rPr>
          <w:lang w:val="fr-FR"/>
        </w:rPr>
        <w:t>’</w:t>
      </w:r>
      <w:r w:rsidRPr="00F1660D">
        <w:rPr>
          <w:lang w:val="fr-FR"/>
        </w:rPr>
        <w:t>OMS (SAICM/OEWG.3/INF/20) ; et un document sur</w:t>
      </w:r>
      <w:r w:rsidR="00A50629" w:rsidRPr="00F1660D">
        <w:rPr>
          <w:lang w:val="fr-FR"/>
        </w:rPr>
        <w:t xml:space="preserve"> les </w:t>
      </w:r>
      <w:r w:rsidRPr="00F1660D">
        <w:rPr>
          <w:lang w:val="fr-FR"/>
        </w:rPr>
        <w:t>modalités d</w:t>
      </w:r>
      <w:r w:rsidR="00CE30FD" w:rsidRPr="00F1660D">
        <w:rPr>
          <w:lang w:val="fr-FR"/>
        </w:rPr>
        <w:t>’</w:t>
      </w:r>
      <w:r w:rsidRPr="00F1660D">
        <w:rPr>
          <w:lang w:val="fr-FR"/>
        </w:rPr>
        <w:t>examen</w:t>
      </w:r>
      <w:r w:rsidR="00A50629" w:rsidRPr="00F1660D">
        <w:rPr>
          <w:lang w:val="fr-FR"/>
        </w:rPr>
        <w:t xml:space="preserve"> des </w:t>
      </w:r>
      <w:r w:rsidRPr="00F1660D">
        <w:rPr>
          <w:lang w:val="fr-FR"/>
        </w:rPr>
        <w:t>nouvelles questions de politique générale (SAICM/OEWG.3/INF/24).</w:t>
      </w:r>
    </w:p>
    <w:p w14:paraId="74817D41" w14:textId="6B02D78E" w:rsidR="00843F33" w:rsidRPr="00F1660D" w:rsidRDefault="00843F33" w:rsidP="00AF4DDC">
      <w:pPr>
        <w:pStyle w:val="Normalnumber"/>
        <w:rPr>
          <w:lang w:val="fr-FR"/>
        </w:rPr>
      </w:pPr>
      <w:r w:rsidRPr="00F1660D">
        <w:rPr>
          <w:lang w:val="fr-FR"/>
        </w:rPr>
        <w:t>Au cours du débat qui a suivi,</w:t>
      </w:r>
      <w:r w:rsidR="00A50629" w:rsidRPr="00F1660D">
        <w:rPr>
          <w:lang w:val="fr-FR"/>
        </w:rPr>
        <w:t xml:space="preserve"> les </w:t>
      </w:r>
      <w:r w:rsidRPr="00F1660D">
        <w:rPr>
          <w:lang w:val="fr-FR"/>
        </w:rPr>
        <w:t>représentants ont commencé par faire</w:t>
      </w:r>
      <w:r w:rsidR="00A50629" w:rsidRPr="00F1660D">
        <w:rPr>
          <w:lang w:val="fr-FR"/>
        </w:rPr>
        <w:t xml:space="preserve"> le </w:t>
      </w:r>
      <w:r w:rsidRPr="00F1660D">
        <w:rPr>
          <w:lang w:val="fr-FR"/>
        </w:rPr>
        <w:t>point sur</w:t>
      </w:r>
      <w:r w:rsidR="00A50629" w:rsidRPr="00F1660D">
        <w:rPr>
          <w:lang w:val="fr-FR"/>
        </w:rPr>
        <w:t xml:space="preserve"> les </w:t>
      </w:r>
      <w:r w:rsidRPr="00F1660D">
        <w:rPr>
          <w:lang w:val="fr-FR"/>
        </w:rPr>
        <w:t>progrès réalisés – et sur</w:t>
      </w:r>
      <w:r w:rsidR="00A50629" w:rsidRPr="00F1660D">
        <w:rPr>
          <w:lang w:val="fr-FR"/>
        </w:rPr>
        <w:t xml:space="preserve"> les </w:t>
      </w:r>
      <w:r w:rsidRPr="00F1660D">
        <w:rPr>
          <w:lang w:val="fr-FR"/>
        </w:rPr>
        <w:t>moyens de progresser encore davantage d</w:t>
      </w:r>
      <w:r w:rsidR="00CE30FD" w:rsidRPr="00F1660D">
        <w:rPr>
          <w:lang w:val="fr-FR"/>
        </w:rPr>
        <w:t>’</w:t>
      </w:r>
      <w:r w:rsidRPr="00F1660D">
        <w:rPr>
          <w:lang w:val="fr-FR"/>
        </w:rPr>
        <w:t>ici à 2020 en ce qui concerne</w:t>
      </w:r>
      <w:r w:rsidR="00A50629" w:rsidRPr="00F1660D">
        <w:rPr>
          <w:lang w:val="fr-FR"/>
        </w:rPr>
        <w:t xml:space="preserve"> les </w:t>
      </w:r>
      <w:r w:rsidRPr="00F1660D">
        <w:rPr>
          <w:lang w:val="fr-FR"/>
        </w:rPr>
        <w:t>nouvelles questions de politique générale et</w:t>
      </w:r>
      <w:r w:rsidR="00A50629" w:rsidRPr="00F1660D">
        <w:rPr>
          <w:lang w:val="fr-FR"/>
        </w:rPr>
        <w:t xml:space="preserve"> les </w:t>
      </w:r>
      <w:r w:rsidRPr="00F1660D">
        <w:rPr>
          <w:lang w:val="fr-FR"/>
        </w:rPr>
        <w:t>sujets de préoccupation – et sur</w:t>
      </w:r>
      <w:r w:rsidR="00A50629" w:rsidRPr="00F1660D">
        <w:rPr>
          <w:lang w:val="fr-FR"/>
        </w:rPr>
        <w:t xml:space="preserve"> les </w:t>
      </w:r>
      <w:r w:rsidRPr="00F1660D">
        <w:rPr>
          <w:lang w:val="fr-FR"/>
        </w:rPr>
        <w:t>enseignements tirés dans ces domaines qui pourraient éclairer</w:t>
      </w:r>
      <w:r w:rsidR="00A50629" w:rsidRPr="00F1660D">
        <w:rPr>
          <w:lang w:val="fr-FR"/>
        </w:rPr>
        <w:t xml:space="preserve"> le </w:t>
      </w:r>
      <w:r w:rsidRPr="00F1660D">
        <w:rPr>
          <w:lang w:val="fr-FR"/>
        </w:rPr>
        <w:t>processus au</w:t>
      </w:r>
      <w:r w:rsidRPr="00F1660D">
        <w:rPr>
          <w:lang w:val="fr-FR"/>
        </w:rPr>
        <w:noBreakHyphen/>
        <w:t>delà de 2020. Ils ont ensuite examiné chacune</w:t>
      </w:r>
      <w:r w:rsidR="00A50629" w:rsidRPr="00F1660D">
        <w:rPr>
          <w:lang w:val="fr-FR"/>
        </w:rPr>
        <w:t xml:space="preserve"> des </w:t>
      </w:r>
      <w:r w:rsidRPr="00F1660D">
        <w:rPr>
          <w:lang w:val="fr-FR"/>
        </w:rPr>
        <w:t>nouvelles questions de politique générale et sujets de préoccupation.</w:t>
      </w:r>
    </w:p>
    <w:p w14:paraId="26AF1403" w14:textId="00019A6B" w:rsidR="00843F33" w:rsidRPr="00F1660D" w:rsidRDefault="00843F33" w:rsidP="00AF4DDC">
      <w:pPr>
        <w:pStyle w:val="Normalnumber"/>
        <w:rPr>
          <w:lang w:val="fr-FR"/>
        </w:rPr>
      </w:pPr>
      <w:r w:rsidRPr="00F1660D">
        <w:rPr>
          <w:lang w:val="fr-FR"/>
        </w:rPr>
        <w:t>Au cours du débat général,</w:t>
      </w:r>
      <w:r w:rsidR="00A50629" w:rsidRPr="00F1660D">
        <w:rPr>
          <w:lang w:val="fr-FR"/>
        </w:rPr>
        <w:t xml:space="preserve"> les </w:t>
      </w:r>
      <w:r w:rsidRPr="00F1660D">
        <w:rPr>
          <w:lang w:val="fr-FR"/>
        </w:rPr>
        <w:t>représentants ont remercié</w:t>
      </w:r>
      <w:r w:rsidR="00A50629" w:rsidRPr="00F1660D">
        <w:rPr>
          <w:lang w:val="fr-FR"/>
        </w:rPr>
        <w:t xml:space="preserve"> le </w:t>
      </w:r>
      <w:r w:rsidRPr="00F1660D">
        <w:rPr>
          <w:lang w:val="fr-FR"/>
        </w:rPr>
        <w:t xml:space="preserve">secrétariat </w:t>
      </w:r>
      <w:r w:rsidR="006D5B10" w:rsidRPr="00F1660D">
        <w:rPr>
          <w:lang w:val="fr-FR"/>
        </w:rPr>
        <w:t>pour</w:t>
      </w:r>
      <w:r w:rsidR="00A50629" w:rsidRPr="00F1660D">
        <w:rPr>
          <w:lang w:val="fr-FR"/>
        </w:rPr>
        <w:t xml:space="preserve"> la </w:t>
      </w:r>
      <w:r w:rsidRPr="00F1660D">
        <w:rPr>
          <w:lang w:val="fr-FR"/>
        </w:rPr>
        <w:t>note qu</w:t>
      </w:r>
      <w:r w:rsidR="00CE30FD" w:rsidRPr="00F1660D">
        <w:rPr>
          <w:lang w:val="fr-FR"/>
        </w:rPr>
        <w:t>’</w:t>
      </w:r>
      <w:r w:rsidRPr="00F1660D">
        <w:rPr>
          <w:lang w:val="fr-FR"/>
        </w:rPr>
        <w:t>il avait établi</w:t>
      </w:r>
      <w:r w:rsidR="006D5B10" w:rsidRPr="00F1660D">
        <w:rPr>
          <w:lang w:val="fr-FR"/>
        </w:rPr>
        <w:t>e</w:t>
      </w:r>
      <w:r w:rsidRPr="00F1660D">
        <w:rPr>
          <w:lang w:val="fr-FR"/>
        </w:rPr>
        <w:t xml:space="preserve"> sur</w:t>
      </w:r>
      <w:r w:rsidR="00A50629" w:rsidRPr="00F1660D">
        <w:rPr>
          <w:lang w:val="fr-FR"/>
        </w:rPr>
        <w:t xml:space="preserve"> les </w:t>
      </w:r>
      <w:r w:rsidRPr="00F1660D">
        <w:rPr>
          <w:lang w:val="fr-FR"/>
        </w:rPr>
        <w:t>nouvelles questions de politique générale et autres sujets de préoccupation (SAICM/OEWG.3/6) et tous</w:t>
      </w:r>
      <w:r w:rsidR="00A50629" w:rsidRPr="00F1660D">
        <w:rPr>
          <w:lang w:val="fr-FR"/>
        </w:rPr>
        <w:t xml:space="preserve"> les </w:t>
      </w:r>
      <w:r w:rsidRPr="00F1660D">
        <w:rPr>
          <w:lang w:val="fr-FR"/>
        </w:rPr>
        <w:t>organismes, pays et parties prenantes qui avaient contribué à l</w:t>
      </w:r>
      <w:r w:rsidR="00CE30FD" w:rsidRPr="00F1660D">
        <w:rPr>
          <w:lang w:val="fr-FR"/>
        </w:rPr>
        <w:t>’</w:t>
      </w:r>
      <w:r w:rsidRPr="00F1660D">
        <w:rPr>
          <w:lang w:val="fr-FR"/>
        </w:rPr>
        <w:t>examen de ces questions dans</w:t>
      </w:r>
      <w:r w:rsidR="00A50629" w:rsidRPr="00F1660D">
        <w:rPr>
          <w:lang w:val="fr-FR"/>
        </w:rPr>
        <w:t xml:space="preserve"> le </w:t>
      </w:r>
      <w:r w:rsidRPr="00F1660D">
        <w:rPr>
          <w:lang w:val="fr-FR"/>
        </w:rPr>
        <w:t>cadre de l</w:t>
      </w:r>
      <w:r w:rsidR="00CE30FD" w:rsidRPr="00F1660D">
        <w:rPr>
          <w:lang w:val="fr-FR"/>
        </w:rPr>
        <w:t>’</w:t>
      </w:r>
      <w:r w:rsidRPr="00F1660D">
        <w:rPr>
          <w:lang w:val="fr-FR"/>
        </w:rPr>
        <w:t>Approche stratégique. De nombreux représentants ont</w:t>
      </w:r>
      <w:r w:rsidR="00AF4DDC" w:rsidRPr="00F1660D">
        <w:rPr>
          <w:lang w:val="fr-FR"/>
        </w:rPr>
        <w:t> </w:t>
      </w:r>
      <w:r w:rsidR="005B4CB6" w:rsidRPr="00F1660D">
        <w:rPr>
          <w:lang w:val="fr-FR"/>
        </w:rPr>
        <w:t>d</w:t>
      </w:r>
      <w:r w:rsidRPr="00F1660D">
        <w:rPr>
          <w:lang w:val="fr-FR"/>
        </w:rPr>
        <w:t>éclaré que</w:t>
      </w:r>
      <w:r w:rsidR="00A50629" w:rsidRPr="00F1660D">
        <w:rPr>
          <w:lang w:val="fr-FR"/>
        </w:rPr>
        <w:t xml:space="preserve"> le </w:t>
      </w:r>
      <w:r w:rsidRPr="00F1660D">
        <w:rPr>
          <w:lang w:val="fr-FR"/>
        </w:rPr>
        <w:t>recensement de nouvelles questions de politique générale et de sujets de</w:t>
      </w:r>
      <w:r w:rsidR="00AF4DDC" w:rsidRPr="00F1660D">
        <w:rPr>
          <w:lang w:val="fr-FR"/>
        </w:rPr>
        <w:t> </w:t>
      </w:r>
      <w:r w:rsidRPr="00F1660D">
        <w:rPr>
          <w:lang w:val="fr-FR"/>
        </w:rPr>
        <w:t>préoccupation ainsi que</w:t>
      </w:r>
      <w:r w:rsidR="00A50629" w:rsidRPr="00F1660D">
        <w:rPr>
          <w:lang w:val="fr-FR"/>
        </w:rPr>
        <w:t xml:space="preserve"> des </w:t>
      </w:r>
      <w:r w:rsidRPr="00F1660D">
        <w:rPr>
          <w:lang w:val="fr-FR"/>
        </w:rPr>
        <w:t>mesures à prendre pour</w:t>
      </w:r>
      <w:r w:rsidR="00A50629" w:rsidRPr="00F1660D">
        <w:rPr>
          <w:lang w:val="fr-FR"/>
        </w:rPr>
        <w:t xml:space="preserve"> y </w:t>
      </w:r>
      <w:r w:rsidRPr="00F1660D">
        <w:rPr>
          <w:lang w:val="fr-FR"/>
        </w:rPr>
        <w:t>faire face avait été l</w:t>
      </w:r>
      <w:r w:rsidR="00CE30FD" w:rsidRPr="00F1660D">
        <w:rPr>
          <w:lang w:val="fr-FR"/>
        </w:rPr>
        <w:t>’</w:t>
      </w:r>
      <w:r w:rsidRPr="00F1660D">
        <w:rPr>
          <w:lang w:val="fr-FR"/>
        </w:rPr>
        <w:t>un</w:t>
      </w:r>
      <w:r w:rsidR="00A50629" w:rsidRPr="00F1660D">
        <w:rPr>
          <w:lang w:val="fr-FR"/>
        </w:rPr>
        <w:t xml:space="preserve"> des </w:t>
      </w:r>
      <w:r w:rsidRPr="00F1660D">
        <w:rPr>
          <w:lang w:val="fr-FR"/>
        </w:rPr>
        <w:t>principaux atouts</w:t>
      </w:r>
      <w:r w:rsidR="00AF4DDC" w:rsidRPr="00F1660D">
        <w:rPr>
          <w:lang w:val="fr-FR"/>
        </w:rPr>
        <w:t> </w:t>
      </w:r>
      <w:r w:rsidRPr="00F1660D">
        <w:rPr>
          <w:lang w:val="fr-FR"/>
        </w:rPr>
        <w:t>de l</w:t>
      </w:r>
      <w:r w:rsidR="00CE30FD" w:rsidRPr="00F1660D">
        <w:rPr>
          <w:lang w:val="fr-FR"/>
        </w:rPr>
        <w:t>’</w:t>
      </w:r>
      <w:r w:rsidRPr="00F1660D">
        <w:rPr>
          <w:lang w:val="fr-FR"/>
        </w:rPr>
        <w:t>Approche stratégique et ont souligné qu</w:t>
      </w:r>
      <w:r w:rsidR="00CE30FD" w:rsidRPr="00F1660D">
        <w:rPr>
          <w:lang w:val="fr-FR"/>
        </w:rPr>
        <w:t>’</w:t>
      </w:r>
      <w:r w:rsidRPr="00F1660D">
        <w:rPr>
          <w:lang w:val="fr-FR"/>
        </w:rPr>
        <w:t>il importait de poursuivre l</w:t>
      </w:r>
      <w:r w:rsidR="00CE30FD" w:rsidRPr="00F1660D">
        <w:rPr>
          <w:lang w:val="fr-FR"/>
        </w:rPr>
        <w:t>’</w:t>
      </w:r>
      <w:r w:rsidRPr="00F1660D">
        <w:rPr>
          <w:lang w:val="fr-FR"/>
        </w:rPr>
        <w:t>examen de ces</w:t>
      </w:r>
      <w:r w:rsidR="00AF4DDC" w:rsidRPr="00F1660D">
        <w:rPr>
          <w:lang w:val="fr-FR"/>
        </w:rPr>
        <w:t> </w:t>
      </w:r>
      <w:r w:rsidRPr="00F1660D">
        <w:rPr>
          <w:lang w:val="fr-FR"/>
        </w:rPr>
        <w:t>questions au</w:t>
      </w:r>
      <w:r w:rsidRPr="00F1660D">
        <w:rPr>
          <w:lang w:val="fr-FR"/>
        </w:rPr>
        <w:noBreakHyphen/>
        <w:t>delà de 2020.</w:t>
      </w:r>
    </w:p>
    <w:p w14:paraId="259F720F" w14:textId="3A7EA652" w:rsidR="00843F33" w:rsidRPr="00F1660D" w:rsidRDefault="00843F33" w:rsidP="00AF4DDC">
      <w:pPr>
        <w:pStyle w:val="Normalnumber"/>
        <w:rPr>
          <w:lang w:val="fr-FR"/>
        </w:rPr>
      </w:pPr>
      <w:r w:rsidRPr="00F1660D">
        <w:rPr>
          <w:lang w:val="fr-FR"/>
        </w:rPr>
        <w:t>S</w:t>
      </w:r>
      <w:r w:rsidR="00CE30FD" w:rsidRPr="00F1660D">
        <w:rPr>
          <w:lang w:val="fr-FR"/>
        </w:rPr>
        <w:t>’</w:t>
      </w:r>
      <w:r w:rsidRPr="00F1660D">
        <w:rPr>
          <w:lang w:val="fr-FR"/>
        </w:rPr>
        <w:t>exprimant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une représentante a déclaré qu</w:t>
      </w:r>
      <w:r w:rsidR="00CE30FD" w:rsidRPr="00F1660D">
        <w:rPr>
          <w:lang w:val="fr-FR"/>
        </w:rPr>
        <w:t>’</w:t>
      </w:r>
      <w:r w:rsidRPr="00F1660D">
        <w:rPr>
          <w:lang w:val="fr-FR"/>
        </w:rPr>
        <w:t>il fallait faire davantage de progrès</w:t>
      </w:r>
      <w:r w:rsidR="00A50629" w:rsidRPr="00F1660D">
        <w:rPr>
          <w:lang w:val="fr-FR"/>
        </w:rPr>
        <w:t xml:space="preserve"> au </w:t>
      </w:r>
      <w:r w:rsidRPr="00F1660D">
        <w:rPr>
          <w:lang w:val="fr-FR"/>
        </w:rPr>
        <w:t>titre</w:t>
      </w:r>
      <w:r w:rsidR="00A50629" w:rsidRPr="00F1660D">
        <w:rPr>
          <w:lang w:val="fr-FR"/>
        </w:rPr>
        <w:t xml:space="preserve"> des </w:t>
      </w:r>
      <w:r w:rsidRPr="00F1660D">
        <w:rPr>
          <w:lang w:val="fr-FR"/>
        </w:rPr>
        <w:t>nouvelles questions de politique générale, par exemple en ce qui concerne l</w:t>
      </w:r>
      <w:r w:rsidR="00CE30FD" w:rsidRPr="00F1660D">
        <w:rPr>
          <w:lang w:val="fr-FR"/>
        </w:rPr>
        <w:t>’</w:t>
      </w:r>
      <w:r w:rsidRPr="00F1660D">
        <w:rPr>
          <w:lang w:val="fr-FR"/>
        </w:rPr>
        <w:t>échange d</w:t>
      </w:r>
      <w:r w:rsidR="00CE30FD" w:rsidRPr="00F1660D">
        <w:rPr>
          <w:lang w:val="fr-FR"/>
        </w:rPr>
        <w:t>’</w:t>
      </w:r>
      <w:r w:rsidRPr="00F1660D">
        <w:rPr>
          <w:lang w:val="fr-FR"/>
        </w:rPr>
        <w:t>informations sur</w:t>
      </w:r>
      <w:r w:rsidR="00A50629" w:rsidRPr="00F1660D">
        <w:rPr>
          <w:lang w:val="fr-FR"/>
        </w:rPr>
        <w:t xml:space="preserve"> les </w:t>
      </w:r>
      <w:r w:rsidRPr="00F1660D">
        <w:rPr>
          <w:lang w:val="fr-FR"/>
        </w:rPr>
        <w:t>substances chimiques incorporées dans</w:t>
      </w:r>
      <w:r w:rsidR="00A50629" w:rsidRPr="00F1660D">
        <w:rPr>
          <w:lang w:val="fr-FR"/>
        </w:rPr>
        <w:t xml:space="preserve"> des </w:t>
      </w:r>
      <w:r w:rsidRPr="00F1660D">
        <w:rPr>
          <w:lang w:val="fr-FR"/>
        </w:rPr>
        <w:t>produits. Elle</w:t>
      </w:r>
      <w:r w:rsidR="00AF4DDC" w:rsidRPr="00F1660D">
        <w:rPr>
          <w:lang w:val="fr-FR"/>
        </w:rPr>
        <w:t> </w:t>
      </w:r>
      <w:r w:rsidRPr="00F1660D">
        <w:rPr>
          <w:lang w:val="fr-FR"/>
        </w:rPr>
        <w:t>a</w:t>
      </w:r>
      <w:r w:rsidR="00AF4DDC" w:rsidRPr="00F1660D">
        <w:rPr>
          <w:lang w:val="fr-FR"/>
        </w:rPr>
        <w:t> </w:t>
      </w:r>
      <w:r w:rsidRPr="00F1660D">
        <w:rPr>
          <w:lang w:val="fr-FR"/>
        </w:rPr>
        <w:t>invité toutes</w:t>
      </w:r>
      <w:r w:rsidR="00A50629" w:rsidRPr="00F1660D">
        <w:rPr>
          <w:lang w:val="fr-FR"/>
        </w:rPr>
        <w:t xml:space="preserve"> les </w:t>
      </w:r>
      <w:r w:rsidRPr="00F1660D">
        <w:rPr>
          <w:lang w:val="fr-FR"/>
        </w:rPr>
        <w:t>organisations,</w:t>
      </w:r>
      <w:r w:rsidR="00A50629" w:rsidRPr="00F1660D">
        <w:rPr>
          <w:lang w:val="fr-FR"/>
        </w:rPr>
        <w:t xml:space="preserve"> les </w:t>
      </w:r>
      <w:r w:rsidRPr="00F1660D">
        <w:rPr>
          <w:lang w:val="fr-FR"/>
        </w:rPr>
        <w:t>pays participants et</w:t>
      </w:r>
      <w:r w:rsidR="00A50629" w:rsidRPr="00F1660D">
        <w:rPr>
          <w:lang w:val="fr-FR"/>
        </w:rPr>
        <w:t xml:space="preserve"> les </w:t>
      </w:r>
      <w:r w:rsidRPr="00F1660D">
        <w:rPr>
          <w:lang w:val="fr-FR"/>
        </w:rPr>
        <w:t>parties prenantes à redoubler d</w:t>
      </w:r>
      <w:r w:rsidR="00CE30FD" w:rsidRPr="00F1660D">
        <w:rPr>
          <w:lang w:val="fr-FR"/>
        </w:rPr>
        <w:t>’</w:t>
      </w:r>
      <w:r w:rsidRPr="00F1660D">
        <w:rPr>
          <w:lang w:val="fr-FR"/>
        </w:rPr>
        <w:t>efforts pour mettre en œuvre</w:t>
      </w:r>
      <w:r w:rsidR="00A50629" w:rsidRPr="00F1660D">
        <w:rPr>
          <w:lang w:val="fr-FR"/>
        </w:rPr>
        <w:t xml:space="preserve"> les </w:t>
      </w:r>
      <w:r w:rsidRPr="00F1660D">
        <w:rPr>
          <w:lang w:val="fr-FR"/>
        </w:rPr>
        <w:t>décisions relatives aux nouvelles questions de politique générale adoptées par</w:t>
      </w:r>
      <w:r w:rsidR="00A50629" w:rsidRPr="00F1660D">
        <w:rPr>
          <w:lang w:val="fr-FR"/>
        </w:rPr>
        <w:t xml:space="preserve"> la </w:t>
      </w:r>
      <w:r w:rsidRPr="00F1660D">
        <w:rPr>
          <w:lang w:val="fr-FR"/>
        </w:rPr>
        <w:t>Conférence</w:t>
      </w:r>
      <w:r w:rsidR="006D5B10" w:rsidRPr="00F1660D">
        <w:rPr>
          <w:lang w:val="fr-FR"/>
        </w:rPr>
        <w:t xml:space="preserve"> internationale sur la gestion des produits chimiques</w:t>
      </w:r>
      <w:r w:rsidRPr="00F1660D">
        <w:rPr>
          <w:lang w:val="fr-FR"/>
        </w:rPr>
        <w:t xml:space="preserve"> à sa quatrième session. S</w:t>
      </w:r>
      <w:r w:rsidR="00CE30FD" w:rsidRPr="00F1660D">
        <w:rPr>
          <w:lang w:val="fr-FR"/>
        </w:rPr>
        <w:t>’</w:t>
      </w:r>
      <w:r w:rsidRPr="00F1660D">
        <w:rPr>
          <w:lang w:val="fr-FR"/>
        </w:rPr>
        <w:t>agissant de l</w:t>
      </w:r>
      <w:r w:rsidR="00CE30FD" w:rsidRPr="00F1660D">
        <w:rPr>
          <w:lang w:val="fr-FR"/>
        </w:rPr>
        <w:t>’</w:t>
      </w:r>
      <w:r w:rsidRPr="00F1660D">
        <w:rPr>
          <w:lang w:val="fr-FR"/>
        </w:rPr>
        <w:t>après</w:t>
      </w:r>
      <w:r w:rsidRPr="00F1660D">
        <w:rPr>
          <w:lang w:val="fr-FR"/>
        </w:rPr>
        <w:noBreakHyphen/>
        <w:t>2020, elle a estimé qu</w:t>
      </w:r>
      <w:r w:rsidR="00CE30FD" w:rsidRPr="00F1660D">
        <w:rPr>
          <w:lang w:val="fr-FR"/>
        </w:rPr>
        <w:t>’</w:t>
      </w:r>
      <w:r w:rsidRPr="00F1660D">
        <w:rPr>
          <w:lang w:val="fr-FR"/>
        </w:rPr>
        <w:t>il fallait établir</w:t>
      </w:r>
      <w:r w:rsidR="00A50629" w:rsidRPr="00F1660D">
        <w:rPr>
          <w:lang w:val="fr-FR"/>
        </w:rPr>
        <w:t xml:space="preserve"> des </w:t>
      </w:r>
      <w:r w:rsidRPr="00F1660D">
        <w:rPr>
          <w:lang w:val="fr-FR"/>
        </w:rPr>
        <w:t>critères clairs et détaillés pour circonscrire et hiérarchiser</w:t>
      </w:r>
      <w:r w:rsidR="00A50629" w:rsidRPr="00F1660D">
        <w:rPr>
          <w:lang w:val="fr-FR"/>
        </w:rPr>
        <w:t xml:space="preserve"> les </w:t>
      </w:r>
      <w:r w:rsidRPr="00F1660D">
        <w:rPr>
          <w:lang w:val="fr-FR"/>
        </w:rPr>
        <w:t>questions d</w:t>
      </w:r>
      <w:r w:rsidR="00CE30FD" w:rsidRPr="00F1660D">
        <w:rPr>
          <w:lang w:val="fr-FR"/>
        </w:rPr>
        <w:t>’</w:t>
      </w:r>
      <w:r w:rsidRPr="00F1660D">
        <w:rPr>
          <w:lang w:val="fr-FR"/>
        </w:rPr>
        <w:t>intérêt mondial et arrêter</w:t>
      </w:r>
      <w:r w:rsidR="00A50629" w:rsidRPr="00F1660D">
        <w:rPr>
          <w:lang w:val="fr-FR"/>
        </w:rPr>
        <w:t xml:space="preserve"> des </w:t>
      </w:r>
      <w:r w:rsidRPr="00F1660D">
        <w:rPr>
          <w:lang w:val="fr-FR"/>
        </w:rPr>
        <w:t>moyens de traiter ces questions, tel que suggéré dans</w:t>
      </w:r>
      <w:r w:rsidR="00A50629" w:rsidRPr="00F1660D">
        <w:rPr>
          <w:lang w:val="fr-FR"/>
        </w:rPr>
        <w:t xml:space="preserve"> le </w:t>
      </w:r>
      <w:r w:rsidRPr="00F1660D">
        <w:rPr>
          <w:lang w:val="fr-FR"/>
        </w:rPr>
        <w:t>document</w:t>
      </w:r>
      <w:r w:rsidR="00A50629" w:rsidRPr="00F1660D">
        <w:rPr>
          <w:lang w:val="fr-FR"/>
        </w:rPr>
        <w:t xml:space="preserve"> des </w:t>
      </w:r>
      <w:r w:rsidRPr="00F1660D">
        <w:rPr>
          <w:lang w:val="fr-FR"/>
        </w:rPr>
        <w:t xml:space="preserve">coprésidents (SAICM/OEWG.3/4). </w:t>
      </w:r>
    </w:p>
    <w:p w14:paraId="70E7816A" w14:textId="190401A5" w:rsidR="00843F33" w:rsidRPr="00F1660D" w:rsidRDefault="00843F33" w:rsidP="00AF4DDC">
      <w:pPr>
        <w:pStyle w:val="Normalnumber"/>
        <w:rPr>
          <w:lang w:val="fr-FR"/>
        </w:rPr>
      </w:pPr>
      <w:r w:rsidRPr="00F1660D">
        <w:rPr>
          <w:lang w:val="fr-FR"/>
        </w:rPr>
        <w:t>Un autre représentant a considéré qu</w:t>
      </w:r>
      <w:r w:rsidR="00CE30FD" w:rsidRPr="00F1660D">
        <w:rPr>
          <w:lang w:val="fr-FR"/>
        </w:rPr>
        <w:t>’</w:t>
      </w:r>
      <w:r w:rsidRPr="00F1660D">
        <w:rPr>
          <w:lang w:val="fr-FR"/>
        </w:rPr>
        <w:t>il était essentiel, pour traiter</w:t>
      </w:r>
      <w:r w:rsidR="00A50629" w:rsidRPr="00F1660D">
        <w:rPr>
          <w:lang w:val="fr-FR"/>
        </w:rPr>
        <w:t xml:space="preserve"> les </w:t>
      </w:r>
      <w:r w:rsidRPr="00F1660D">
        <w:rPr>
          <w:lang w:val="fr-FR"/>
        </w:rPr>
        <w:t>nouvelles questions de politique générale et</w:t>
      </w:r>
      <w:r w:rsidR="00A50629" w:rsidRPr="00F1660D">
        <w:rPr>
          <w:lang w:val="fr-FR"/>
        </w:rPr>
        <w:t xml:space="preserve"> les </w:t>
      </w:r>
      <w:r w:rsidRPr="00F1660D">
        <w:rPr>
          <w:lang w:val="fr-FR"/>
        </w:rPr>
        <w:t>questions d</w:t>
      </w:r>
      <w:r w:rsidR="00CE30FD" w:rsidRPr="00F1660D">
        <w:rPr>
          <w:lang w:val="fr-FR"/>
        </w:rPr>
        <w:t>’</w:t>
      </w:r>
      <w:r w:rsidRPr="00F1660D">
        <w:rPr>
          <w:lang w:val="fr-FR"/>
        </w:rPr>
        <w:t>intérêt mondial, de trouver un moyen plus systémique de déterminer</w:t>
      </w:r>
      <w:r w:rsidR="00A50629" w:rsidRPr="00F1660D">
        <w:rPr>
          <w:lang w:val="fr-FR"/>
        </w:rPr>
        <w:t xml:space="preserve"> les </w:t>
      </w:r>
      <w:r w:rsidRPr="00F1660D">
        <w:rPr>
          <w:lang w:val="fr-FR"/>
        </w:rPr>
        <w:t>problèmes actuels et nouveaux liés aux produits chimiques et aux déchets et de faire régulièrement</w:t>
      </w:r>
      <w:r w:rsidR="00A50629" w:rsidRPr="00F1660D">
        <w:rPr>
          <w:lang w:val="fr-FR"/>
        </w:rPr>
        <w:t xml:space="preserve"> le </w:t>
      </w:r>
      <w:r w:rsidRPr="00F1660D">
        <w:rPr>
          <w:lang w:val="fr-FR"/>
        </w:rPr>
        <w:t>point sur l</w:t>
      </w:r>
      <w:r w:rsidR="00CE30FD" w:rsidRPr="00F1660D">
        <w:rPr>
          <w:lang w:val="fr-FR"/>
        </w:rPr>
        <w:t>’</w:t>
      </w:r>
      <w:r w:rsidRPr="00F1660D">
        <w:rPr>
          <w:lang w:val="fr-FR"/>
        </w:rPr>
        <w:t>évolution</w:t>
      </w:r>
      <w:r w:rsidR="00A50629" w:rsidRPr="00F1660D">
        <w:rPr>
          <w:lang w:val="fr-FR"/>
        </w:rPr>
        <w:t xml:space="preserve"> des </w:t>
      </w:r>
      <w:r w:rsidRPr="00F1660D">
        <w:rPr>
          <w:lang w:val="fr-FR"/>
        </w:rPr>
        <w:t>éventuelles questions d</w:t>
      </w:r>
      <w:r w:rsidR="00CE30FD" w:rsidRPr="00F1660D">
        <w:rPr>
          <w:lang w:val="fr-FR"/>
        </w:rPr>
        <w:t>’</w:t>
      </w:r>
      <w:r w:rsidRPr="00F1660D">
        <w:rPr>
          <w:lang w:val="fr-FR"/>
        </w:rPr>
        <w:t>intérêt mondial, tel qu</w:t>
      </w:r>
      <w:r w:rsidR="00CE30FD" w:rsidRPr="00F1660D">
        <w:rPr>
          <w:lang w:val="fr-FR"/>
        </w:rPr>
        <w:t>’</w:t>
      </w:r>
      <w:r w:rsidRPr="00F1660D">
        <w:rPr>
          <w:lang w:val="fr-FR"/>
        </w:rPr>
        <w:t>indiqué dans</w:t>
      </w:r>
      <w:r w:rsidR="00A50629" w:rsidRPr="00F1660D">
        <w:rPr>
          <w:lang w:val="fr-FR"/>
        </w:rPr>
        <w:t xml:space="preserve"> les </w:t>
      </w:r>
      <w:r w:rsidRPr="00F1660D">
        <w:rPr>
          <w:lang w:val="fr-FR"/>
        </w:rPr>
        <w:t>rapports sur</w:t>
      </w:r>
      <w:r w:rsidR="00A50629" w:rsidRPr="00F1660D">
        <w:rPr>
          <w:lang w:val="fr-FR"/>
        </w:rPr>
        <w:t xml:space="preserve"> les </w:t>
      </w:r>
      <w:r w:rsidRPr="00F1660D">
        <w:rPr>
          <w:lang w:val="fr-FR"/>
        </w:rPr>
        <w:t>perspectives mondiales en matière de produits chimiques, grâce à une interface science</w:t>
      </w:r>
      <w:r w:rsidRPr="00F1660D">
        <w:rPr>
          <w:lang w:val="fr-FR"/>
        </w:rPr>
        <w:noBreakHyphen/>
        <w:t xml:space="preserve">politique renforcée. </w:t>
      </w:r>
    </w:p>
    <w:p w14:paraId="7C5CA2C9" w14:textId="280A8E24" w:rsidR="00843F33" w:rsidRPr="00F1660D" w:rsidRDefault="00843F33" w:rsidP="00AF4DDC">
      <w:pPr>
        <w:pStyle w:val="Normalnumber"/>
        <w:rPr>
          <w:lang w:val="fr-FR"/>
        </w:rPr>
      </w:pPr>
      <w:r w:rsidRPr="00F1660D">
        <w:rPr>
          <w:lang w:val="fr-FR"/>
        </w:rPr>
        <w:t>Deux représentants, dont une s</w:t>
      </w:r>
      <w:r w:rsidR="00CE30FD" w:rsidRPr="00F1660D">
        <w:rPr>
          <w:lang w:val="fr-FR"/>
        </w:rPr>
        <w:t>’</w:t>
      </w:r>
      <w:r w:rsidRPr="00F1660D">
        <w:rPr>
          <w:lang w:val="fr-FR"/>
        </w:rPr>
        <w:t>est exprimée</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ont proposé qu</w:t>
      </w:r>
      <w:r w:rsidR="00CE30FD" w:rsidRPr="00F1660D">
        <w:rPr>
          <w:lang w:val="fr-FR"/>
        </w:rPr>
        <w:t>’</w:t>
      </w:r>
      <w:r w:rsidRPr="00F1660D">
        <w:rPr>
          <w:lang w:val="fr-FR"/>
        </w:rPr>
        <w:t>un</w:t>
      </w:r>
      <w:r w:rsidR="00AF4DDC" w:rsidRPr="00F1660D">
        <w:rPr>
          <w:lang w:val="fr-FR"/>
        </w:rPr>
        <w:t> </w:t>
      </w:r>
      <w:r w:rsidRPr="00F1660D">
        <w:rPr>
          <w:lang w:val="fr-FR"/>
        </w:rPr>
        <w:t>rapport sur</w:t>
      </w:r>
      <w:r w:rsidR="00A50629" w:rsidRPr="00F1660D">
        <w:rPr>
          <w:lang w:val="fr-FR"/>
        </w:rPr>
        <w:t xml:space="preserve"> les </w:t>
      </w:r>
      <w:r w:rsidRPr="00F1660D">
        <w:rPr>
          <w:lang w:val="fr-FR"/>
        </w:rPr>
        <w:t>nouveaux sujets de préoccupation soit établi par</w:t>
      </w:r>
      <w:r w:rsidR="00A50629" w:rsidRPr="00F1660D">
        <w:rPr>
          <w:lang w:val="fr-FR"/>
        </w:rPr>
        <w:t xml:space="preserve"> la </w:t>
      </w:r>
      <w:r w:rsidRPr="00F1660D">
        <w:rPr>
          <w:lang w:val="fr-FR"/>
        </w:rPr>
        <w:t>Directrice exécutive du PNUE d</w:t>
      </w:r>
      <w:r w:rsidR="00CE30FD" w:rsidRPr="00F1660D">
        <w:rPr>
          <w:lang w:val="fr-FR"/>
        </w:rPr>
        <w:t>’</w:t>
      </w:r>
      <w:r w:rsidRPr="00F1660D">
        <w:rPr>
          <w:lang w:val="fr-FR"/>
        </w:rPr>
        <w:t>ici</w:t>
      </w:r>
      <w:r w:rsidR="00A50629" w:rsidRPr="00F1660D">
        <w:rPr>
          <w:lang w:val="fr-FR"/>
        </w:rPr>
        <w:t xml:space="preserve"> au </w:t>
      </w:r>
      <w:r w:rsidRPr="00F1660D">
        <w:rPr>
          <w:lang w:val="fr-FR"/>
        </w:rPr>
        <w:t>30 avril 2020, conformément à</w:t>
      </w:r>
      <w:r w:rsidR="00A50629" w:rsidRPr="00F1660D">
        <w:rPr>
          <w:lang w:val="fr-FR"/>
        </w:rPr>
        <w:t xml:space="preserve"> la </w:t>
      </w:r>
      <w:r w:rsidRPr="00F1660D">
        <w:rPr>
          <w:lang w:val="fr-FR"/>
        </w:rPr>
        <w:t>résolution</w:t>
      </w:r>
      <w:r w:rsidR="009A4165" w:rsidRPr="00F1660D">
        <w:rPr>
          <w:lang w:val="fr-FR"/>
        </w:rPr>
        <w:t xml:space="preserve"> 4/8</w:t>
      </w:r>
      <w:r w:rsidRPr="00F1660D">
        <w:rPr>
          <w:lang w:val="fr-FR"/>
        </w:rPr>
        <w:t xml:space="preserve"> de l</w:t>
      </w:r>
      <w:r w:rsidR="00CE30FD" w:rsidRPr="00F1660D">
        <w:rPr>
          <w:lang w:val="fr-FR"/>
        </w:rPr>
        <w:t>’</w:t>
      </w:r>
      <w:r w:rsidRPr="00F1660D">
        <w:rPr>
          <w:lang w:val="fr-FR"/>
        </w:rPr>
        <w:t>Assemblée</w:t>
      </w:r>
      <w:r w:rsidR="006D5B10" w:rsidRPr="00F1660D">
        <w:rPr>
          <w:lang w:val="fr-FR"/>
        </w:rPr>
        <w:t xml:space="preserve"> des Nations Unies </w:t>
      </w:r>
      <w:r w:rsidRPr="00F1660D">
        <w:rPr>
          <w:lang w:val="fr-FR"/>
        </w:rPr>
        <w:t>pour l</w:t>
      </w:r>
      <w:r w:rsidR="00CE30FD" w:rsidRPr="00F1660D">
        <w:rPr>
          <w:lang w:val="fr-FR"/>
        </w:rPr>
        <w:t>’</w:t>
      </w:r>
      <w:r w:rsidRPr="00F1660D">
        <w:rPr>
          <w:lang w:val="fr-FR"/>
        </w:rPr>
        <w:t>environnement sur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qui orienterait utilement</w:t>
      </w:r>
      <w:r w:rsidR="00A50629" w:rsidRPr="00F1660D">
        <w:rPr>
          <w:lang w:val="fr-FR"/>
        </w:rPr>
        <w:t xml:space="preserve"> les </w:t>
      </w:r>
      <w:r w:rsidRPr="00F1660D">
        <w:rPr>
          <w:lang w:val="fr-FR"/>
        </w:rPr>
        <w:t>travaux futurs, notamment</w:t>
      </w:r>
      <w:r w:rsidR="00A50629" w:rsidRPr="00F1660D">
        <w:rPr>
          <w:lang w:val="fr-FR"/>
        </w:rPr>
        <w:t xml:space="preserve"> la </w:t>
      </w:r>
      <w:r w:rsidRPr="00F1660D">
        <w:rPr>
          <w:lang w:val="fr-FR"/>
        </w:rPr>
        <w:t>conception de plans de travail et d</w:t>
      </w:r>
      <w:r w:rsidR="00CE30FD" w:rsidRPr="00F1660D">
        <w:rPr>
          <w:lang w:val="fr-FR"/>
        </w:rPr>
        <w:t>’</w:t>
      </w:r>
      <w:r w:rsidRPr="00F1660D">
        <w:rPr>
          <w:lang w:val="fr-FR"/>
        </w:rPr>
        <w:t>indicateurs spécifiques concernant</w:t>
      </w:r>
      <w:r w:rsidR="00A50629" w:rsidRPr="00F1660D">
        <w:rPr>
          <w:lang w:val="fr-FR"/>
        </w:rPr>
        <w:t xml:space="preserve"> les </w:t>
      </w:r>
      <w:r w:rsidRPr="00F1660D">
        <w:rPr>
          <w:lang w:val="fr-FR"/>
        </w:rPr>
        <w:t>questions d</w:t>
      </w:r>
      <w:r w:rsidR="00CE30FD" w:rsidRPr="00F1660D">
        <w:rPr>
          <w:lang w:val="fr-FR"/>
        </w:rPr>
        <w:t>’</w:t>
      </w:r>
      <w:r w:rsidRPr="00F1660D">
        <w:rPr>
          <w:lang w:val="fr-FR"/>
        </w:rPr>
        <w:t>intérêt planétaire.</w:t>
      </w:r>
    </w:p>
    <w:p w14:paraId="08DDECCA" w14:textId="1905E0A4" w:rsidR="00843F33" w:rsidRPr="00F1660D" w:rsidRDefault="00843F33" w:rsidP="00AF4DDC">
      <w:pPr>
        <w:pStyle w:val="Normalnumber"/>
        <w:rPr>
          <w:lang w:val="fr-FR"/>
        </w:rPr>
      </w:pPr>
      <w:r w:rsidRPr="00F1660D">
        <w:rPr>
          <w:lang w:val="fr-FR"/>
        </w:rPr>
        <w:t>Un autre représentant s</w:t>
      </w:r>
      <w:r w:rsidR="00CE30FD" w:rsidRPr="00F1660D">
        <w:rPr>
          <w:lang w:val="fr-FR"/>
        </w:rPr>
        <w:t>’</w:t>
      </w:r>
      <w:r w:rsidRPr="00F1660D">
        <w:rPr>
          <w:lang w:val="fr-FR"/>
        </w:rPr>
        <w:t>exprimant également</w:t>
      </w:r>
      <w:r w:rsidR="00A50629" w:rsidRPr="00F1660D">
        <w:rPr>
          <w:lang w:val="fr-FR"/>
        </w:rPr>
        <w:t xml:space="preserve"> au </w:t>
      </w:r>
      <w:r w:rsidRPr="00F1660D">
        <w:rPr>
          <w:lang w:val="fr-FR"/>
        </w:rPr>
        <w:t>nom d</w:t>
      </w:r>
      <w:r w:rsidR="00CE30FD" w:rsidRPr="00F1660D">
        <w:rPr>
          <w:lang w:val="fr-FR"/>
        </w:rPr>
        <w:t>’</w:t>
      </w:r>
      <w:r w:rsidRPr="00F1660D">
        <w:rPr>
          <w:lang w:val="fr-FR"/>
        </w:rPr>
        <w:t>un groupe de pays a estimé que l</w:t>
      </w:r>
      <w:r w:rsidR="00CE30FD" w:rsidRPr="00F1660D">
        <w:rPr>
          <w:lang w:val="fr-FR"/>
        </w:rPr>
        <w:t>’</w:t>
      </w:r>
      <w:r w:rsidRPr="00F1660D">
        <w:rPr>
          <w:lang w:val="fr-FR"/>
        </w:rPr>
        <w:t>Approche stratégique avait aidé à définir</w:t>
      </w:r>
      <w:r w:rsidR="00A50629" w:rsidRPr="00F1660D">
        <w:rPr>
          <w:lang w:val="fr-FR"/>
        </w:rPr>
        <w:t xml:space="preserve"> des </w:t>
      </w:r>
      <w:r w:rsidRPr="00F1660D">
        <w:rPr>
          <w:lang w:val="fr-FR"/>
        </w:rPr>
        <w:t>questions qui avaient de vastes répercussions sur</w:t>
      </w:r>
      <w:r w:rsidR="00A50629" w:rsidRPr="00F1660D">
        <w:rPr>
          <w:lang w:val="fr-FR"/>
        </w:rPr>
        <w:t xml:space="preserve"> la </w:t>
      </w:r>
      <w:r w:rsidRPr="00F1660D">
        <w:rPr>
          <w:lang w:val="fr-FR"/>
        </w:rPr>
        <w:t>santé et l</w:t>
      </w:r>
      <w:r w:rsidR="00CE30FD" w:rsidRPr="00F1660D">
        <w:rPr>
          <w:lang w:val="fr-FR"/>
        </w:rPr>
        <w:t>’</w:t>
      </w:r>
      <w:r w:rsidRPr="00F1660D">
        <w:rPr>
          <w:lang w:val="fr-FR"/>
        </w:rPr>
        <w:t>environnement et à prendre</w:t>
      </w:r>
      <w:r w:rsidR="00A50629" w:rsidRPr="00F1660D">
        <w:rPr>
          <w:lang w:val="fr-FR"/>
        </w:rPr>
        <w:t xml:space="preserve"> des </w:t>
      </w:r>
      <w:r w:rsidRPr="00F1660D">
        <w:rPr>
          <w:lang w:val="fr-FR"/>
        </w:rPr>
        <w:t>mesures à cet égard, et a dit espérer que l</w:t>
      </w:r>
      <w:r w:rsidR="00CE30FD" w:rsidRPr="00F1660D">
        <w:rPr>
          <w:lang w:val="fr-FR"/>
        </w:rPr>
        <w:t>’</w:t>
      </w:r>
      <w:r w:rsidRPr="00F1660D">
        <w:rPr>
          <w:lang w:val="fr-FR"/>
        </w:rPr>
        <w:t>approche pour l</w:t>
      </w:r>
      <w:r w:rsidR="00CE30FD" w:rsidRPr="00F1660D">
        <w:rPr>
          <w:lang w:val="fr-FR"/>
        </w:rPr>
        <w:t>’</w:t>
      </w:r>
      <w:r w:rsidRPr="00F1660D">
        <w:rPr>
          <w:lang w:val="fr-FR"/>
        </w:rPr>
        <w:t>après</w:t>
      </w:r>
      <w:r w:rsidRPr="00F1660D">
        <w:rPr>
          <w:lang w:val="fr-FR"/>
        </w:rPr>
        <w:noBreakHyphen/>
        <w:t>2020 comporterait un mécanisme similaire propice à un débat approfondi sur</w:t>
      </w:r>
      <w:r w:rsidR="00A50629" w:rsidRPr="00F1660D">
        <w:rPr>
          <w:lang w:val="fr-FR"/>
        </w:rPr>
        <w:t xml:space="preserve"> la </w:t>
      </w:r>
      <w:r w:rsidRPr="00F1660D">
        <w:rPr>
          <w:lang w:val="fr-FR"/>
        </w:rPr>
        <w:t>science et</w:t>
      </w:r>
      <w:r w:rsidR="00A50629" w:rsidRPr="00F1660D">
        <w:rPr>
          <w:lang w:val="fr-FR"/>
        </w:rPr>
        <w:t xml:space="preserve"> le </w:t>
      </w:r>
      <w:r w:rsidRPr="00F1660D">
        <w:rPr>
          <w:lang w:val="fr-FR"/>
        </w:rPr>
        <w:t>niveau d</w:t>
      </w:r>
      <w:r w:rsidR="00CE30FD" w:rsidRPr="00F1660D">
        <w:rPr>
          <w:lang w:val="fr-FR"/>
        </w:rPr>
        <w:t>’</w:t>
      </w:r>
      <w:r w:rsidRPr="00F1660D">
        <w:rPr>
          <w:lang w:val="fr-FR"/>
        </w:rPr>
        <w:t>impact de ces questions et sur</w:t>
      </w:r>
      <w:r w:rsidR="00A50629" w:rsidRPr="00F1660D">
        <w:rPr>
          <w:lang w:val="fr-FR"/>
        </w:rPr>
        <w:t xml:space="preserve"> les </w:t>
      </w:r>
      <w:r w:rsidRPr="00F1660D">
        <w:rPr>
          <w:lang w:val="fr-FR"/>
        </w:rPr>
        <w:t>mesures à prendre pour</w:t>
      </w:r>
      <w:r w:rsidR="00A50629" w:rsidRPr="00F1660D">
        <w:rPr>
          <w:lang w:val="fr-FR"/>
        </w:rPr>
        <w:t xml:space="preserve"> y </w:t>
      </w:r>
      <w:r w:rsidRPr="00F1660D">
        <w:rPr>
          <w:lang w:val="fr-FR"/>
        </w:rPr>
        <w:t>remédier, dans</w:t>
      </w:r>
      <w:r w:rsidR="00A50629" w:rsidRPr="00F1660D">
        <w:rPr>
          <w:lang w:val="fr-FR"/>
        </w:rPr>
        <w:t xml:space="preserve"> le </w:t>
      </w:r>
      <w:r w:rsidRPr="00F1660D">
        <w:rPr>
          <w:lang w:val="fr-FR"/>
        </w:rPr>
        <w:t>cadre du</w:t>
      </w:r>
      <w:r w:rsidR="00AF4DDC" w:rsidRPr="00F1660D">
        <w:rPr>
          <w:lang w:val="fr-FR"/>
        </w:rPr>
        <w:t> </w:t>
      </w:r>
      <w:r w:rsidRPr="00F1660D">
        <w:rPr>
          <w:lang w:val="fr-FR"/>
        </w:rPr>
        <w:t>renforcement,</w:t>
      </w:r>
      <w:r w:rsidR="00A50629" w:rsidRPr="00F1660D">
        <w:rPr>
          <w:lang w:val="fr-FR"/>
        </w:rPr>
        <w:t xml:space="preserve"> au </w:t>
      </w:r>
      <w:r w:rsidRPr="00F1660D">
        <w:rPr>
          <w:lang w:val="fr-FR"/>
        </w:rPr>
        <w:t>niveau international, de l</w:t>
      </w:r>
      <w:r w:rsidR="00CE30FD" w:rsidRPr="00F1660D">
        <w:rPr>
          <w:lang w:val="fr-FR"/>
        </w:rPr>
        <w:t>’</w:t>
      </w:r>
      <w:r w:rsidRPr="00F1660D">
        <w:rPr>
          <w:lang w:val="fr-FR"/>
        </w:rPr>
        <w:t>interface science</w:t>
      </w:r>
      <w:r w:rsidRPr="00F1660D">
        <w:rPr>
          <w:lang w:val="fr-FR"/>
        </w:rPr>
        <w:noBreakHyphen/>
        <w:t>politique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p>
    <w:p w14:paraId="44D1A6EC" w14:textId="1951404C" w:rsidR="00843F33" w:rsidRPr="00F1660D" w:rsidRDefault="00843F33" w:rsidP="00AF4DDC">
      <w:pPr>
        <w:pStyle w:val="Normalnumber"/>
        <w:rPr>
          <w:lang w:val="fr-FR"/>
        </w:rPr>
      </w:pPr>
      <w:r w:rsidRPr="00F1660D">
        <w:rPr>
          <w:lang w:val="fr-FR"/>
        </w:rPr>
        <w:t>Un représentant a déclaré que</w:t>
      </w:r>
      <w:r w:rsidR="00A50629" w:rsidRPr="00F1660D">
        <w:rPr>
          <w:lang w:val="fr-FR"/>
        </w:rPr>
        <w:t xml:space="preserve"> les </w:t>
      </w:r>
      <w:r w:rsidRPr="00F1660D">
        <w:rPr>
          <w:lang w:val="fr-FR"/>
        </w:rPr>
        <w:t>activités menées par</w:t>
      </w:r>
      <w:r w:rsidR="00A50629" w:rsidRPr="00F1660D">
        <w:rPr>
          <w:lang w:val="fr-FR"/>
        </w:rPr>
        <w:t xml:space="preserve"> les </w:t>
      </w:r>
      <w:r w:rsidRPr="00F1660D">
        <w:rPr>
          <w:lang w:val="fr-FR"/>
        </w:rPr>
        <w:t xml:space="preserve">organisations </w:t>
      </w:r>
      <w:r w:rsidR="0066684F" w:rsidRPr="00F1660D">
        <w:rPr>
          <w:lang w:val="fr-FR"/>
        </w:rPr>
        <w:t xml:space="preserve">participant </w:t>
      </w:r>
      <w:r w:rsidR="0066684F" w:rsidRPr="00F1660D">
        <w:rPr>
          <w:rStyle w:val="DeltaViewInsertion"/>
          <w:color w:val="auto"/>
          <w:szCs w:val="25"/>
          <w:u w:val="none"/>
          <w:lang w:val="fr-FR"/>
        </w:rPr>
        <w:t xml:space="preserve">au Programme </w:t>
      </w:r>
      <w:proofErr w:type="spellStart"/>
      <w:r w:rsidR="0066684F" w:rsidRPr="00F1660D">
        <w:rPr>
          <w:rStyle w:val="DeltaViewInsertion"/>
          <w:color w:val="auto"/>
          <w:szCs w:val="25"/>
          <w:u w:val="none"/>
          <w:lang w:val="fr-FR"/>
        </w:rPr>
        <w:t>interorganisations</w:t>
      </w:r>
      <w:proofErr w:type="spellEnd"/>
      <w:r w:rsidR="0066684F" w:rsidRPr="00F1660D">
        <w:rPr>
          <w:rStyle w:val="DeltaViewInsertion"/>
          <w:color w:val="auto"/>
          <w:szCs w:val="25"/>
          <w:u w:val="none"/>
          <w:lang w:val="fr-FR"/>
        </w:rPr>
        <w:t xml:space="preserve"> pour la gestion rationnelle des produits chimiques</w:t>
      </w:r>
      <w:r w:rsidR="0066684F" w:rsidRPr="00F1660D">
        <w:rPr>
          <w:lang w:val="fr-FR"/>
        </w:rPr>
        <w:t xml:space="preserve"> </w:t>
      </w:r>
      <w:r w:rsidRPr="00F1660D">
        <w:rPr>
          <w:lang w:val="fr-FR"/>
        </w:rPr>
        <w:t>avaient été exécutées en fonction de</w:t>
      </w:r>
      <w:r w:rsidR="00A50629" w:rsidRPr="00F1660D">
        <w:rPr>
          <w:lang w:val="fr-FR"/>
        </w:rPr>
        <w:t xml:space="preserve"> la </w:t>
      </w:r>
      <w:r w:rsidRPr="00F1660D">
        <w:rPr>
          <w:lang w:val="fr-FR"/>
        </w:rPr>
        <w:t>disponibilité et du calendrier de chaque organisation et de leurs</w:t>
      </w:r>
      <w:r w:rsidR="00AF4DDC" w:rsidRPr="00F1660D">
        <w:rPr>
          <w:lang w:val="fr-FR"/>
        </w:rPr>
        <w:t> </w:t>
      </w:r>
      <w:r w:rsidRPr="00F1660D">
        <w:rPr>
          <w:lang w:val="fr-FR"/>
        </w:rPr>
        <w:t>ressources respectives. Il a donc suggéré que</w:t>
      </w:r>
      <w:r w:rsidR="00A50629" w:rsidRPr="00F1660D">
        <w:rPr>
          <w:lang w:val="fr-FR"/>
        </w:rPr>
        <w:t xml:space="preserve"> le </w:t>
      </w:r>
      <w:r w:rsidRPr="00F1660D">
        <w:rPr>
          <w:lang w:val="fr-FR"/>
        </w:rPr>
        <w:t>secrétariat de l</w:t>
      </w:r>
      <w:r w:rsidR="00CE30FD" w:rsidRPr="00F1660D">
        <w:rPr>
          <w:lang w:val="fr-FR"/>
        </w:rPr>
        <w:t>’</w:t>
      </w:r>
      <w:r w:rsidRPr="00F1660D">
        <w:rPr>
          <w:lang w:val="fr-FR"/>
        </w:rPr>
        <w:t>Approche stratégique s</w:t>
      </w:r>
      <w:r w:rsidR="00CE30FD" w:rsidRPr="00F1660D">
        <w:rPr>
          <w:lang w:val="fr-FR"/>
        </w:rPr>
        <w:t>’</w:t>
      </w:r>
      <w:r w:rsidRPr="00F1660D">
        <w:rPr>
          <w:lang w:val="fr-FR"/>
        </w:rPr>
        <w:t>enquière plus énergiquement</w:t>
      </w:r>
      <w:r w:rsidR="00A50629" w:rsidRPr="00F1660D">
        <w:rPr>
          <w:lang w:val="fr-FR"/>
        </w:rPr>
        <w:t xml:space="preserve"> des </w:t>
      </w:r>
      <w:r w:rsidR="00606841" w:rsidRPr="00F1660D">
        <w:rPr>
          <w:lang w:val="fr-FR"/>
        </w:rPr>
        <w:t>progrès dans chaque domaine d</w:t>
      </w:r>
      <w:r w:rsidR="00CE30FD" w:rsidRPr="00F1660D">
        <w:rPr>
          <w:lang w:val="fr-FR"/>
        </w:rPr>
        <w:t>’</w:t>
      </w:r>
      <w:r w:rsidR="00606841" w:rsidRPr="00F1660D">
        <w:rPr>
          <w:lang w:val="fr-FR"/>
        </w:rPr>
        <w:t>activité</w:t>
      </w:r>
      <w:r w:rsidRPr="00F1660D">
        <w:rPr>
          <w:lang w:val="fr-FR"/>
        </w:rPr>
        <w:t xml:space="preserve"> et diffuse</w:t>
      </w:r>
      <w:r w:rsidR="00A50629" w:rsidRPr="00F1660D">
        <w:rPr>
          <w:lang w:val="fr-FR"/>
        </w:rPr>
        <w:t xml:space="preserve"> les </w:t>
      </w:r>
      <w:r w:rsidRPr="00F1660D">
        <w:rPr>
          <w:lang w:val="fr-FR"/>
        </w:rPr>
        <w:t>informations recueillies. Si</w:t>
      </w:r>
      <w:r w:rsidR="00A50629" w:rsidRPr="00F1660D">
        <w:rPr>
          <w:lang w:val="fr-FR"/>
        </w:rPr>
        <w:t xml:space="preserve"> le </w:t>
      </w:r>
      <w:r w:rsidRPr="00F1660D">
        <w:rPr>
          <w:lang w:val="fr-FR"/>
        </w:rPr>
        <w:t>secrétariat de l</w:t>
      </w:r>
      <w:r w:rsidR="00CE30FD" w:rsidRPr="00F1660D">
        <w:rPr>
          <w:lang w:val="fr-FR"/>
        </w:rPr>
        <w:t>’</w:t>
      </w:r>
      <w:r w:rsidRPr="00F1660D">
        <w:rPr>
          <w:lang w:val="fr-FR"/>
        </w:rPr>
        <w:t>Approche stratégique s</w:t>
      </w:r>
      <w:r w:rsidR="00CE30FD" w:rsidRPr="00F1660D">
        <w:rPr>
          <w:lang w:val="fr-FR"/>
        </w:rPr>
        <w:t>’</w:t>
      </w:r>
      <w:r w:rsidRPr="00F1660D">
        <w:rPr>
          <w:lang w:val="fr-FR"/>
        </w:rPr>
        <w:t>efforçait activement en ce sens, cela permettrait d</w:t>
      </w:r>
      <w:r w:rsidR="00CE30FD" w:rsidRPr="00F1660D">
        <w:rPr>
          <w:lang w:val="fr-FR"/>
        </w:rPr>
        <w:t>’</w:t>
      </w:r>
      <w:r w:rsidRPr="00F1660D">
        <w:rPr>
          <w:lang w:val="fr-FR"/>
        </w:rPr>
        <w:t>améliorer</w:t>
      </w:r>
      <w:r w:rsidR="00A50629" w:rsidRPr="00F1660D">
        <w:rPr>
          <w:lang w:val="fr-FR"/>
        </w:rPr>
        <w:t xml:space="preserve"> la </w:t>
      </w:r>
      <w:r w:rsidRPr="00F1660D">
        <w:rPr>
          <w:lang w:val="fr-FR"/>
        </w:rPr>
        <w:t>visibilité de l</w:t>
      </w:r>
      <w:r w:rsidR="00CE30FD" w:rsidRPr="00F1660D">
        <w:rPr>
          <w:lang w:val="fr-FR"/>
        </w:rPr>
        <w:t>’</w:t>
      </w:r>
      <w:r w:rsidRPr="00F1660D">
        <w:rPr>
          <w:lang w:val="fr-FR"/>
        </w:rPr>
        <w:t>Approche stratégique et de renforcer</w:t>
      </w:r>
      <w:r w:rsidR="00A50629" w:rsidRPr="00F1660D">
        <w:rPr>
          <w:lang w:val="fr-FR"/>
        </w:rPr>
        <w:t xml:space="preserve"> le </w:t>
      </w:r>
      <w:r w:rsidRPr="00F1660D">
        <w:rPr>
          <w:lang w:val="fr-FR"/>
        </w:rPr>
        <w:t>cadre pour l</w:t>
      </w:r>
      <w:r w:rsidR="00CE30FD" w:rsidRPr="00F1660D">
        <w:rPr>
          <w:lang w:val="fr-FR"/>
        </w:rPr>
        <w:t>’</w:t>
      </w:r>
      <w:r w:rsidRPr="00F1660D">
        <w:rPr>
          <w:lang w:val="fr-FR"/>
        </w:rPr>
        <w:t>après</w:t>
      </w:r>
      <w:r w:rsidRPr="00F1660D">
        <w:rPr>
          <w:lang w:val="fr-FR"/>
        </w:rPr>
        <w:noBreakHyphen/>
        <w:t xml:space="preserve">2020. </w:t>
      </w:r>
    </w:p>
    <w:p w14:paraId="618FA6FA" w14:textId="1E2BBE39" w:rsidR="00793C3B" w:rsidRPr="00F1660D" w:rsidRDefault="00793C3B" w:rsidP="00793C3B">
      <w:pPr>
        <w:pStyle w:val="CH3"/>
        <w:rPr>
          <w:bCs/>
          <w:lang w:val="fr-FR"/>
        </w:rPr>
      </w:pPr>
      <w:r w:rsidRPr="00F1660D">
        <w:rPr>
          <w:lang w:val="fr-FR"/>
        </w:rPr>
        <w:tab/>
        <w:t>1.</w:t>
      </w:r>
      <w:r w:rsidRPr="00F1660D">
        <w:rPr>
          <w:lang w:val="fr-FR"/>
        </w:rPr>
        <w:tab/>
        <w:t>Peintures</w:t>
      </w:r>
      <w:r w:rsidR="00A50629" w:rsidRPr="00F1660D">
        <w:rPr>
          <w:lang w:val="fr-FR"/>
        </w:rPr>
        <w:t xml:space="preserve"> au </w:t>
      </w:r>
      <w:r w:rsidRPr="00F1660D">
        <w:rPr>
          <w:lang w:val="fr-FR"/>
        </w:rPr>
        <w:t xml:space="preserve">plomb </w:t>
      </w:r>
    </w:p>
    <w:p w14:paraId="5F05B789" w14:textId="62FA25F2" w:rsidR="00793C3B" w:rsidRPr="00F1660D" w:rsidRDefault="00793C3B" w:rsidP="00793C3B">
      <w:pPr>
        <w:pStyle w:val="Normalnumber"/>
        <w:rPr>
          <w:bCs/>
          <w:lang w:val="fr-FR"/>
        </w:rPr>
      </w:pPr>
      <w:r w:rsidRPr="00F1660D">
        <w:rPr>
          <w:lang w:val="fr-FR"/>
        </w:rPr>
        <w:t>Le représentant de l</w:t>
      </w:r>
      <w:r w:rsidR="00CE30FD" w:rsidRPr="00F1660D">
        <w:rPr>
          <w:lang w:val="fr-FR"/>
        </w:rPr>
        <w:t>’</w:t>
      </w:r>
      <w:r w:rsidRPr="00F1660D">
        <w:rPr>
          <w:lang w:val="fr-FR"/>
        </w:rPr>
        <w:t>IOMC a signalé que</w:t>
      </w:r>
      <w:r w:rsidR="00A50629" w:rsidRPr="00F1660D">
        <w:rPr>
          <w:lang w:val="fr-FR"/>
        </w:rPr>
        <w:t xml:space="preserve"> des </w:t>
      </w:r>
      <w:r w:rsidRPr="00F1660D">
        <w:rPr>
          <w:lang w:val="fr-FR"/>
        </w:rPr>
        <w:t>progrès importants avaient été réalisés dans</w:t>
      </w:r>
      <w:r w:rsidR="00A50629" w:rsidRPr="00F1660D">
        <w:rPr>
          <w:lang w:val="fr-FR"/>
        </w:rPr>
        <w:t xml:space="preserve"> le </w:t>
      </w:r>
      <w:r w:rsidRPr="00F1660D">
        <w:rPr>
          <w:lang w:val="fr-FR"/>
        </w:rPr>
        <w:t>domaine</w:t>
      </w:r>
      <w:r w:rsidR="00A50629" w:rsidRPr="00F1660D">
        <w:rPr>
          <w:lang w:val="fr-FR"/>
        </w:rPr>
        <w:t xml:space="preserve"> des </w:t>
      </w:r>
      <w:r w:rsidRPr="00F1660D">
        <w:rPr>
          <w:lang w:val="fr-FR"/>
        </w:rPr>
        <w:t>peintures</w:t>
      </w:r>
      <w:r w:rsidR="00A50629" w:rsidRPr="00F1660D">
        <w:rPr>
          <w:lang w:val="fr-FR"/>
        </w:rPr>
        <w:t xml:space="preserve"> au </w:t>
      </w:r>
      <w:r w:rsidRPr="00F1660D">
        <w:rPr>
          <w:lang w:val="fr-FR"/>
        </w:rPr>
        <w:t>plomb, grâce à l</w:t>
      </w:r>
      <w:r w:rsidR="00CE30FD" w:rsidRPr="00F1660D">
        <w:rPr>
          <w:lang w:val="fr-FR"/>
        </w:rPr>
        <w:t>’</w:t>
      </w:r>
      <w:r w:rsidRPr="00F1660D">
        <w:rPr>
          <w:lang w:val="fr-FR"/>
        </w:rPr>
        <w:t>initiative de l</w:t>
      </w:r>
      <w:r w:rsidR="00CE30FD" w:rsidRPr="00F1660D">
        <w:rPr>
          <w:lang w:val="fr-FR"/>
        </w:rPr>
        <w:t>’</w:t>
      </w:r>
      <w:r w:rsidRPr="00F1660D">
        <w:rPr>
          <w:lang w:val="fr-FR"/>
        </w:rPr>
        <w:t>Alliance mondiale pour l</w:t>
      </w:r>
      <w:r w:rsidR="00CE30FD" w:rsidRPr="00F1660D">
        <w:rPr>
          <w:lang w:val="fr-FR"/>
        </w:rPr>
        <w:t>’</w:t>
      </w:r>
      <w:r w:rsidRPr="00F1660D">
        <w:rPr>
          <w:lang w:val="fr-FR"/>
        </w:rPr>
        <w:t>élimination</w:t>
      </w:r>
      <w:r w:rsidR="00A50629" w:rsidRPr="00F1660D">
        <w:rPr>
          <w:lang w:val="fr-FR"/>
        </w:rPr>
        <w:t xml:space="preserve"> des </w:t>
      </w:r>
      <w:r w:rsidRPr="00F1660D">
        <w:rPr>
          <w:lang w:val="fr-FR"/>
        </w:rPr>
        <w:t>peintures</w:t>
      </w:r>
      <w:r w:rsidR="00A50629" w:rsidRPr="00F1660D">
        <w:rPr>
          <w:lang w:val="fr-FR"/>
        </w:rPr>
        <w:t xml:space="preserve"> au </w:t>
      </w:r>
      <w:r w:rsidRPr="00F1660D">
        <w:rPr>
          <w:lang w:val="fr-FR"/>
        </w:rPr>
        <w:t>plomb, appuyée par</w:t>
      </w:r>
      <w:r w:rsidR="00A50629" w:rsidRPr="00F1660D">
        <w:rPr>
          <w:lang w:val="fr-FR"/>
        </w:rPr>
        <w:t xml:space="preserve"> le </w:t>
      </w:r>
      <w:r w:rsidRPr="00F1660D">
        <w:rPr>
          <w:lang w:val="fr-FR"/>
        </w:rPr>
        <w:t>PNUE et l</w:t>
      </w:r>
      <w:r w:rsidR="00CE30FD" w:rsidRPr="00F1660D">
        <w:rPr>
          <w:lang w:val="fr-FR"/>
        </w:rPr>
        <w:t>’</w:t>
      </w:r>
      <w:r w:rsidRPr="00F1660D">
        <w:rPr>
          <w:lang w:val="fr-FR"/>
        </w:rPr>
        <w:t>OMS. L</w:t>
      </w:r>
      <w:r w:rsidR="00CE30FD" w:rsidRPr="00F1660D">
        <w:rPr>
          <w:lang w:val="fr-FR"/>
        </w:rPr>
        <w:t>’</w:t>
      </w:r>
      <w:r w:rsidRPr="00F1660D">
        <w:rPr>
          <w:lang w:val="fr-FR"/>
        </w:rPr>
        <w:t>Alliance, qui comptait 95 partenaires issus</w:t>
      </w:r>
      <w:r w:rsidR="00A50629" w:rsidRPr="00F1660D">
        <w:rPr>
          <w:lang w:val="fr-FR"/>
        </w:rPr>
        <w:t xml:space="preserve"> des </w:t>
      </w:r>
      <w:r w:rsidRPr="00F1660D">
        <w:rPr>
          <w:lang w:val="fr-FR"/>
        </w:rPr>
        <w:t>rangs</w:t>
      </w:r>
      <w:r w:rsidR="00A50629" w:rsidRPr="00F1660D">
        <w:rPr>
          <w:lang w:val="fr-FR"/>
        </w:rPr>
        <w:t xml:space="preserve"> des </w:t>
      </w:r>
      <w:r w:rsidRPr="00F1660D">
        <w:rPr>
          <w:lang w:val="fr-FR"/>
        </w:rPr>
        <w:t>gouvernements, de</w:t>
      </w:r>
      <w:r w:rsidR="00A50629" w:rsidRPr="00F1660D">
        <w:rPr>
          <w:lang w:val="fr-FR"/>
        </w:rPr>
        <w:t xml:space="preserve"> la </w:t>
      </w:r>
      <w:r w:rsidRPr="00F1660D">
        <w:rPr>
          <w:lang w:val="fr-FR"/>
        </w:rPr>
        <w:t>société civile,</w:t>
      </w:r>
      <w:r w:rsidR="00A50629" w:rsidRPr="00F1660D">
        <w:rPr>
          <w:lang w:val="fr-FR"/>
        </w:rPr>
        <w:t xml:space="preserve"> des </w:t>
      </w:r>
      <w:r w:rsidRPr="00F1660D">
        <w:rPr>
          <w:lang w:val="fr-FR"/>
        </w:rPr>
        <w:t>milieux universitaires et de l</w:t>
      </w:r>
      <w:r w:rsidR="00CE30FD" w:rsidRPr="00F1660D">
        <w:rPr>
          <w:lang w:val="fr-FR"/>
        </w:rPr>
        <w:t>’</w:t>
      </w:r>
      <w:r w:rsidRPr="00F1660D">
        <w:rPr>
          <w:lang w:val="fr-FR"/>
        </w:rPr>
        <w:t>industrie, reconnaissait que</w:t>
      </w:r>
      <w:r w:rsidR="00A50629" w:rsidRPr="00F1660D">
        <w:rPr>
          <w:lang w:val="fr-FR"/>
        </w:rPr>
        <w:t xml:space="preserve"> le </w:t>
      </w:r>
      <w:r w:rsidRPr="00F1660D">
        <w:rPr>
          <w:lang w:val="fr-FR"/>
        </w:rPr>
        <w:t>meilleur moyen de réduire l</w:t>
      </w:r>
      <w:r w:rsidR="00CE30FD" w:rsidRPr="00F1660D">
        <w:rPr>
          <w:lang w:val="fr-FR"/>
        </w:rPr>
        <w:t>’</w:t>
      </w:r>
      <w:r w:rsidRPr="00F1660D">
        <w:rPr>
          <w:lang w:val="fr-FR"/>
        </w:rPr>
        <w:t>exposition aux peintures</w:t>
      </w:r>
      <w:r w:rsidR="00A50629" w:rsidRPr="00F1660D">
        <w:rPr>
          <w:lang w:val="fr-FR"/>
        </w:rPr>
        <w:t xml:space="preserve"> au </w:t>
      </w:r>
      <w:r w:rsidRPr="00F1660D">
        <w:rPr>
          <w:lang w:val="fr-FR"/>
        </w:rPr>
        <w:t>plomb était d</w:t>
      </w:r>
      <w:r w:rsidR="00F40DBC" w:rsidRPr="00F1660D">
        <w:rPr>
          <w:lang w:val="fr-FR"/>
        </w:rPr>
        <w:t xml:space="preserve">e légiférer à ce sujet, </w:t>
      </w:r>
      <w:r w:rsidRPr="00F1660D">
        <w:rPr>
          <w:lang w:val="fr-FR"/>
        </w:rPr>
        <w:t xml:space="preserve">et </w:t>
      </w:r>
      <w:r w:rsidR="00F40DBC" w:rsidRPr="00F1660D">
        <w:rPr>
          <w:lang w:val="fr-FR"/>
        </w:rPr>
        <w:t>elle s’était intensément employée à mettre au point des o</w:t>
      </w:r>
      <w:r w:rsidRPr="00F1660D">
        <w:rPr>
          <w:lang w:val="fr-FR"/>
        </w:rPr>
        <w:t xml:space="preserve">utils </w:t>
      </w:r>
      <w:r w:rsidR="007B4C39" w:rsidRPr="00F1660D">
        <w:rPr>
          <w:lang w:val="fr-FR"/>
        </w:rPr>
        <w:t xml:space="preserve">destinés à </w:t>
      </w:r>
      <w:r w:rsidRPr="00F1660D">
        <w:rPr>
          <w:lang w:val="fr-FR"/>
        </w:rPr>
        <w:t>aider</w:t>
      </w:r>
      <w:r w:rsidR="00A50629" w:rsidRPr="00F1660D">
        <w:rPr>
          <w:lang w:val="fr-FR"/>
        </w:rPr>
        <w:t xml:space="preserve"> les </w:t>
      </w:r>
      <w:r w:rsidRPr="00F1660D">
        <w:rPr>
          <w:lang w:val="fr-FR"/>
        </w:rPr>
        <w:t xml:space="preserve">pays à </w:t>
      </w:r>
      <w:r w:rsidR="007B4C39" w:rsidRPr="00F1660D">
        <w:rPr>
          <w:lang w:val="fr-FR"/>
        </w:rPr>
        <w:t xml:space="preserve">élaborer </w:t>
      </w:r>
      <w:r w:rsidRPr="00F1660D">
        <w:rPr>
          <w:lang w:val="fr-FR"/>
        </w:rPr>
        <w:t>de telles lois. En mars 2019, 72 pays, soit 38 % de leur effectif total, avaient confirmé avoir mis en place</w:t>
      </w:r>
      <w:r w:rsidR="00A50629" w:rsidRPr="00F1660D">
        <w:rPr>
          <w:lang w:val="fr-FR"/>
        </w:rPr>
        <w:t xml:space="preserve"> des </w:t>
      </w:r>
      <w:r w:rsidRPr="00F1660D">
        <w:rPr>
          <w:lang w:val="fr-FR"/>
        </w:rPr>
        <w:t>contrôles juridiquement contraignants pour</w:t>
      </w:r>
      <w:r w:rsidR="00A50629" w:rsidRPr="00F1660D">
        <w:rPr>
          <w:lang w:val="fr-FR"/>
        </w:rPr>
        <w:t xml:space="preserve"> les </w:t>
      </w:r>
      <w:r w:rsidRPr="00F1660D">
        <w:rPr>
          <w:lang w:val="fr-FR"/>
        </w:rPr>
        <w:t>peintures</w:t>
      </w:r>
      <w:r w:rsidR="00A50629" w:rsidRPr="00F1660D">
        <w:rPr>
          <w:lang w:val="fr-FR"/>
        </w:rPr>
        <w:t xml:space="preserve"> au </w:t>
      </w:r>
      <w:r w:rsidRPr="00F1660D">
        <w:rPr>
          <w:lang w:val="fr-FR"/>
        </w:rPr>
        <w:t>plomb.</w:t>
      </w:r>
    </w:p>
    <w:p w14:paraId="795EE021" w14:textId="677AF7DE" w:rsidR="00793C3B" w:rsidRPr="00F1660D" w:rsidRDefault="00793C3B" w:rsidP="00793C3B">
      <w:pPr>
        <w:pStyle w:val="Normalnumber"/>
        <w:rPr>
          <w:bCs/>
          <w:lang w:val="fr-FR"/>
        </w:rPr>
      </w:pPr>
      <w:r w:rsidRPr="00F1660D">
        <w:rPr>
          <w:lang w:val="fr-FR"/>
        </w:rPr>
        <w:t>Les efforts visant à aider</w:t>
      </w:r>
      <w:r w:rsidR="00A50629" w:rsidRPr="00F1660D">
        <w:rPr>
          <w:lang w:val="fr-FR"/>
        </w:rPr>
        <w:t xml:space="preserve"> les </w:t>
      </w:r>
      <w:r w:rsidRPr="00F1660D">
        <w:rPr>
          <w:lang w:val="fr-FR"/>
        </w:rPr>
        <w:t>pays à adopter</w:t>
      </w:r>
      <w:r w:rsidR="00A50629" w:rsidRPr="00F1660D">
        <w:rPr>
          <w:lang w:val="fr-FR"/>
        </w:rPr>
        <w:t xml:space="preserve"> des </w:t>
      </w:r>
      <w:r w:rsidRPr="00F1660D">
        <w:rPr>
          <w:lang w:val="fr-FR"/>
        </w:rPr>
        <w:t>lois sur</w:t>
      </w:r>
      <w:r w:rsidR="00A50629" w:rsidRPr="00F1660D">
        <w:rPr>
          <w:lang w:val="fr-FR"/>
        </w:rPr>
        <w:t xml:space="preserve"> les </w:t>
      </w:r>
      <w:r w:rsidRPr="00F1660D">
        <w:rPr>
          <w:lang w:val="fr-FR"/>
        </w:rPr>
        <w:t>peintures</w:t>
      </w:r>
      <w:r w:rsidR="00A50629" w:rsidRPr="00F1660D">
        <w:rPr>
          <w:lang w:val="fr-FR"/>
        </w:rPr>
        <w:t xml:space="preserve"> au </w:t>
      </w:r>
      <w:r w:rsidRPr="00F1660D">
        <w:rPr>
          <w:lang w:val="fr-FR"/>
        </w:rPr>
        <w:t xml:space="preserve">plomb seraient consolidés </w:t>
      </w:r>
      <w:r w:rsidR="0060061A" w:rsidRPr="00F1660D">
        <w:rPr>
          <w:lang w:val="fr-FR"/>
        </w:rPr>
        <w:t xml:space="preserve">grâce à </w:t>
      </w:r>
      <w:r w:rsidRPr="00F1660D">
        <w:rPr>
          <w:lang w:val="fr-FR"/>
        </w:rPr>
        <w:t>un projet d</w:t>
      </w:r>
      <w:r w:rsidR="0060061A" w:rsidRPr="00F1660D">
        <w:rPr>
          <w:lang w:val="fr-FR"/>
        </w:rPr>
        <w:t>e l’A</w:t>
      </w:r>
      <w:r w:rsidRPr="00F1660D">
        <w:rPr>
          <w:lang w:val="fr-FR"/>
        </w:rPr>
        <w:t>pproche stratégique financé par</w:t>
      </w:r>
      <w:r w:rsidR="00A50629" w:rsidRPr="00F1660D">
        <w:rPr>
          <w:lang w:val="fr-FR"/>
        </w:rPr>
        <w:t xml:space="preserve"> le </w:t>
      </w:r>
      <w:r w:rsidRPr="00F1660D">
        <w:rPr>
          <w:lang w:val="fr-FR"/>
        </w:rPr>
        <w:t>FEM qui encouragerait</w:t>
      </w:r>
      <w:r w:rsidR="00A50629" w:rsidRPr="00F1660D">
        <w:rPr>
          <w:lang w:val="fr-FR"/>
        </w:rPr>
        <w:t xml:space="preserve"> les </w:t>
      </w:r>
      <w:r w:rsidRPr="00F1660D">
        <w:rPr>
          <w:lang w:val="fr-FR"/>
        </w:rPr>
        <w:t>gouvernements et l</w:t>
      </w:r>
      <w:r w:rsidR="00CE30FD" w:rsidRPr="00F1660D">
        <w:rPr>
          <w:lang w:val="fr-FR"/>
        </w:rPr>
        <w:t>’</w:t>
      </w:r>
      <w:r w:rsidRPr="00F1660D">
        <w:rPr>
          <w:lang w:val="fr-FR"/>
        </w:rPr>
        <w:t xml:space="preserve">industrie à éliminer progressivement ces peintures. </w:t>
      </w:r>
      <w:r w:rsidR="0060061A" w:rsidRPr="00F1660D">
        <w:rPr>
          <w:lang w:val="fr-FR"/>
        </w:rPr>
        <w:t xml:space="preserve">On escomptait que le </w:t>
      </w:r>
      <w:r w:rsidRPr="00F1660D">
        <w:rPr>
          <w:lang w:val="fr-FR"/>
        </w:rPr>
        <w:t xml:space="preserve">projet </w:t>
      </w:r>
      <w:r w:rsidR="0060061A" w:rsidRPr="00F1660D">
        <w:rPr>
          <w:lang w:val="fr-FR"/>
        </w:rPr>
        <w:t xml:space="preserve">déboucherait sur </w:t>
      </w:r>
      <w:r w:rsidRPr="00F1660D">
        <w:rPr>
          <w:lang w:val="fr-FR"/>
        </w:rPr>
        <w:t>l</w:t>
      </w:r>
      <w:r w:rsidR="00CE30FD" w:rsidRPr="00F1660D">
        <w:rPr>
          <w:lang w:val="fr-FR"/>
        </w:rPr>
        <w:t>’</w:t>
      </w:r>
      <w:r w:rsidRPr="00F1660D">
        <w:rPr>
          <w:lang w:val="fr-FR"/>
        </w:rPr>
        <w:t>élaboration et</w:t>
      </w:r>
      <w:r w:rsidR="00A50629" w:rsidRPr="00F1660D">
        <w:rPr>
          <w:lang w:val="fr-FR"/>
        </w:rPr>
        <w:t xml:space="preserve"> la </w:t>
      </w:r>
      <w:r w:rsidRPr="00F1660D">
        <w:rPr>
          <w:lang w:val="fr-FR"/>
        </w:rPr>
        <w:t>mise en œuvre d</w:t>
      </w:r>
      <w:r w:rsidR="00CE30FD" w:rsidRPr="00F1660D">
        <w:rPr>
          <w:lang w:val="fr-FR"/>
        </w:rPr>
        <w:t>’</w:t>
      </w:r>
      <w:r w:rsidRPr="00F1660D">
        <w:rPr>
          <w:lang w:val="fr-FR"/>
        </w:rPr>
        <w:t>une législation sur</w:t>
      </w:r>
      <w:r w:rsidR="00A50629" w:rsidRPr="00F1660D">
        <w:rPr>
          <w:lang w:val="fr-FR"/>
        </w:rPr>
        <w:t xml:space="preserve"> les </w:t>
      </w:r>
      <w:r w:rsidRPr="00F1660D">
        <w:rPr>
          <w:lang w:val="fr-FR"/>
        </w:rPr>
        <w:t>peintures</w:t>
      </w:r>
      <w:r w:rsidR="00A50629" w:rsidRPr="00F1660D">
        <w:rPr>
          <w:lang w:val="fr-FR"/>
        </w:rPr>
        <w:t xml:space="preserve"> au </w:t>
      </w:r>
      <w:r w:rsidRPr="00F1660D">
        <w:rPr>
          <w:lang w:val="fr-FR"/>
        </w:rPr>
        <w:t>plomb dans</w:t>
      </w:r>
      <w:r w:rsidR="00A50629" w:rsidRPr="00F1660D">
        <w:rPr>
          <w:lang w:val="fr-FR"/>
        </w:rPr>
        <w:t xml:space="preserve"> au </w:t>
      </w:r>
      <w:r w:rsidRPr="00F1660D">
        <w:rPr>
          <w:lang w:val="fr-FR"/>
        </w:rPr>
        <w:t>moins 40 pays et l</w:t>
      </w:r>
      <w:r w:rsidR="00CE30FD" w:rsidRPr="00F1660D">
        <w:rPr>
          <w:lang w:val="fr-FR"/>
        </w:rPr>
        <w:t>’</w:t>
      </w:r>
      <w:r w:rsidRPr="00F1660D">
        <w:rPr>
          <w:lang w:val="fr-FR"/>
        </w:rPr>
        <w:t>élimination progressive de l</w:t>
      </w:r>
      <w:r w:rsidR="00CE30FD" w:rsidRPr="00F1660D">
        <w:rPr>
          <w:lang w:val="fr-FR"/>
        </w:rPr>
        <w:t>’</w:t>
      </w:r>
      <w:r w:rsidRPr="00F1660D">
        <w:rPr>
          <w:lang w:val="fr-FR"/>
        </w:rPr>
        <w:t>utilisation de plomb dans</w:t>
      </w:r>
      <w:r w:rsidR="00A50629" w:rsidRPr="00F1660D">
        <w:rPr>
          <w:lang w:val="fr-FR"/>
        </w:rPr>
        <w:t xml:space="preserve"> au </w:t>
      </w:r>
      <w:r w:rsidRPr="00F1660D">
        <w:rPr>
          <w:lang w:val="fr-FR"/>
        </w:rPr>
        <w:t>moins 35 petites et moyennes entreprises de fabrication de peintures de 7 pays.</w:t>
      </w:r>
      <w:r w:rsidR="00A50629" w:rsidRPr="00F1660D">
        <w:rPr>
          <w:lang w:val="fr-FR"/>
        </w:rPr>
        <w:t xml:space="preserve"> Les </w:t>
      </w:r>
      <w:r w:rsidRPr="00F1660D">
        <w:rPr>
          <w:lang w:val="fr-FR"/>
        </w:rPr>
        <w:t>représentants ont</w:t>
      </w:r>
      <w:r w:rsidR="0060061A" w:rsidRPr="00F1660D">
        <w:rPr>
          <w:lang w:val="fr-FR"/>
        </w:rPr>
        <w:t xml:space="preserve">, à la réunion en cours, </w:t>
      </w:r>
      <w:r w:rsidRPr="00F1660D">
        <w:rPr>
          <w:lang w:val="fr-FR"/>
        </w:rPr>
        <w:t xml:space="preserve">été invités à </w:t>
      </w:r>
      <w:r w:rsidR="00733BD4" w:rsidRPr="00F1660D">
        <w:rPr>
          <w:lang w:val="fr-FR"/>
        </w:rPr>
        <w:t xml:space="preserve">faire part de </w:t>
      </w:r>
      <w:r w:rsidRPr="00F1660D">
        <w:rPr>
          <w:lang w:val="fr-FR"/>
        </w:rPr>
        <w:t xml:space="preserve">leurs intentions </w:t>
      </w:r>
      <w:r w:rsidR="00733BD4" w:rsidRPr="00F1660D">
        <w:rPr>
          <w:lang w:val="fr-FR"/>
        </w:rPr>
        <w:t xml:space="preserve">au sujet de </w:t>
      </w:r>
      <w:r w:rsidR="00A50629" w:rsidRPr="00F1660D">
        <w:rPr>
          <w:lang w:val="fr-FR"/>
        </w:rPr>
        <w:t>la </w:t>
      </w:r>
      <w:r w:rsidRPr="00F1660D">
        <w:rPr>
          <w:lang w:val="fr-FR"/>
        </w:rPr>
        <w:t>promulgation de lois sur</w:t>
      </w:r>
      <w:r w:rsidR="00A50629" w:rsidRPr="00F1660D">
        <w:rPr>
          <w:lang w:val="fr-FR"/>
        </w:rPr>
        <w:t xml:space="preserve"> les </w:t>
      </w:r>
      <w:r w:rsidRPr="00F1660D">
        <w:rPr>
          <w:lang w:val="fr-FR"/>
        </w:rPr>
        <w:t>peintures</w:t>
      </w:r>
      <w:r w:rsidR="00A50629" w:rsidRPr="00F1660D">
        <w:rPr>
          <w:lang w:val="fr-FR"/>
        </w:rPr>
        <w:t xml:space="preserve"> au </w:t>
      </w:r>
      <w:r w:rsidRPr="00F1660D">
        <w:rPr>
          <w:lang w:val="fr-FR"/>
        </w:rPr>
        <w:t>plomb et à</w:t>
      </w:r>
      <w:r w:rsidR="00CE30FD" w:rsidRPr="00F1660D">
        <w:rPr>
          <w:lang w:val="fr-FR"/>
        </w:rPr>
        <w:t> </w:t>
      </w:r>
      <w:r w:rsidR="00733BD4" w:rsidRPr="00F1660D">
        <w:rPr>
          <w:lang w:val="fr-FR"/>
        </w:rPr>
        <w:t xml:space="preserve">partager </w:t>
      </w:r>
      <w:r w:rsidRPr="00F1660D">
        <w:rPr>
          <w:lang w:val="fr-FR"/>
        </w:rPr>
        <w:t>leurs expériences en</w:t>
      </w:r>
      <w:r w:rsidR="00A50629" w:rsidRPr="00F1660D">
        <w:rPr>
          <w:lang w:val="fr-FR"/>
        </w:rPr>
        <w:t xml:space="preserve"> la </w:t>
      </w:r>
      <w:r w:rsidRPr="00F1660D">
        <w:rPr>
          <w:lang w:val="fr-FR"/>
        </w:rPr>
        <w:t>matière à</w:t>
      </w:r>
      <w:r w:rsidR="00A50629" w:rsidRPr="00F1660D">
        <w:rPr>
          <w:lang w:val="fr-FR"/>
        </w:rPr>
        <w:t xml:space="preserve"> la </w:t>
      </w:r>
      <w:r w:rsidRPr="00F1660D">
        <w:rPr>
          <w:lang w:val="fr-FR"/>
        </w:rPr>
        <w:t>cinquième session de</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w:t>
      </w:r>
    </w:p>
    <w:p w14:paraId="47C93844" w14:textId="23AFDAAC" w:rsidR="00793C3B" w:rsidRPr="00F1660D" w:rsidRDefault="00793C3B" w:rsidP="00793C3B">
      <w:pPr>
        <w:pStyle w:val="Normalnumber"/>
        <w:rPr>
          <w:bCs/>
          <w:lang w:val="fr-FR"/>
        </w:rPr>
      </w:pPr>
      <w:r w:rsidRPr="00F1660D">
        <w:rPr>
          <w:lang w:val="fr-FR"/>
        </w:rPr>
        <w:t>Au cours du débat qui a suivi,</w:t>
      </w:r>
      <w:r w:rsidR="00A50629" w:rsidRPr="00F1660D">
        <w:rPr>
          <w:lang w:val="fr-FR"/>
        </w:rPr>
        <w:t xml:space="preserve"> les </w:t>
      </w:r>
      <w:r w:rsidRPr="00F1660D">
        <w:rPr>
          <w:lang w:val="fr-FR"/>
        </w:rPr>
        <w:t>représentants ont remercié l</w:t>
      </w:r>
      <w:r w:rsidR="00CE30FD" w:rsidRPr="00F1660D">
        <w:rPr>
          <w:lang w:val="fr-FR"/>
        </w:rPr>
        <w:t>’</w:t>
      </w:r>
      <w:r w:rsidRPr="00F1660D">
        <w:rPr>
          <w:lang w:val="fr-FR"/>
        </w:rPr>
        <w:t>IOMC pour</w:t>
      </w:r>
      <w:r w:rsidR="00A50629" w:rsidRPr="00F1660D">
        <w:rPr>
          <w:lang w:val="fr-FR"/>
        </w:rPr>
        <w:t xml:space="preserve"> les </w:t>
      </w:r>
      <w:r w:rsidRPr="00F1660D">
        <w:rPr>
          <w:lang w:val="fr-FR"/>
        </w:rPr>
        <w:t>informations fournies et l</w:t>
      </w:r>
      <w:r w:rsidR="00CE30FD" w:rsidRPr="00F1660D">
        <w:rPr>
          <w:lang w:val="fr-FR"/>
        </w:rPr>
        <w:t>’</w:t>
      </w:r>
      <w:r w:rsidRPr="00F1660D">
        <w:rPr>
          <w:lang w:val="fr-FR"/>
        </w:rPr>
        <w:t>Alliance mondiale pour</w:t>
      </w:r>
      <w:r w:rsidR="00A50629" w:rsidRPr="00F1660D">
        <w:rPr>
          <w:lang w:val="fr-FR"/>
        </w:rPr>
        <w:t xml:space="preserve"> </w:t>
      </w:r>
      <w:r w:rsidR="00733BD4" w:rsidRPr="00F1660D">
        <w:rPr>
          <w:lang w:val="fr-FR"/>
        </w:rPr>
        <w:t xml:space="preserve">les travaux menés </w:t>
      </w:r>
      <w:r w:rsidRPr="00F1660D">
        <w:rPr>
          <w:lang w:val="fr-FR"/>
        </w:rPr>
        <w:t>et</w:t>
      </w:r>
      <w:r w:rsidR="00A50629" w:rsidRPr="00F1660D">
        <w:rPr>
          <w:lang w:val="fr-FR"/>
        </w:rPr>
        <w:t xml:space="preserve"> les </w:t>
      </w:r>
      <w:r w:rsidRPr="00F1660D">
        <w:rPr>
          <w:lang w:val="fr-FR"/>
        </w:rPr>
        <w:t>progrès accomplis sur</w:t>
      </w:r>
      <w:r w:rsidR="00A50629" w:rsidRPr="00F1660D">
        <w:rPr>
          <w:lang w:val="fr-FR"/>
        </w:rPr>
        <w:t xml:space="preserve"> la </w:t>
      </w:r>
      <w:r w:rsidRPr="00F1660D">
        <w:rPr>
          <w:lang w:val="fr-FR"/>
        </w:rPr>
        <w:t>question</w:t>
      </w:r>
      <w:r w:rsidR="00A50629" w:rsidRPr="00F1660D">
        <w:rPr>
          <w:lang w:val="fr-FR"/>
        </w:rPr>
        <w:t xml:space="preserve"> des </w:t>
      </w:r>
      <w:r w:rsidRPr="00F1660D">
        <w:rPr>
          <w:lang w:val="fr-FR"/>
        </w:rPr>
        <w:t>peintures</w:t>
      </w:r>
      <w:r w:rsidR="00A50629" w:rsidRPr="00F1660D">
        <w:rPr>
          <w:lang w:val="fr-FR"/>
        </w:rPr>
        <w:t xml:space="preserve"> au </w:t>
      </w:r>
      <w:r w:rsidRPr="00F1660D">
        <w:rPr>
          <w:lang w:val="fr-FR"/>
        </w:rPr>
        <w:t>plomb.</w:t>
      </w:r>
    </w:p>
    <w:p w14:paraId="0D80604C" w14:textId="5D0F85FA" w:rsidR="00793C3B" w:rsidRPr="00F1660D" w:rsidRDefault="00793C3B" w:rsidP="00793C3B">
      <w:pPr>
        <w:pStyle w:val="Normalnumber"/>
        <w:rPr>
          <w:bCs/>
          <w:lang w:val="fr-FR"/>
        </w:rPr>
      </w:pPr>
      <w:r w:rsidRPr="00F1660D">
        <w:rPr>
          <w:lang w:val="fr-FR"/>
        </w:rPr>
        <w:t>Deux représentantes se sont félicitées de l</w:t>
      </w:r>
      <w:r w:rsidR="00CE30FD" w:rsidRPr="00F1660D">
        <w:rPr>
          <w:lang w:val="fr-FR"/>
        </w:rPr>
        <w:t>’</w:t>
      </w:r>
      <w:r w:rsidRPr="00F1660D">
        <w:rPr>
          <w:lang w:val="fr-FR"/>
        </w:rPr>
        <w:t>adoption de lois sur</w:t>
      </w:r>
      <w:r w:rsidR="00A50629" w:rsidRPr="00F1660D">
        <w:rPr>
          <w:lang w:val="fr-FR"/>
        </w:rPr>
        <w:t xml:space="preserve"> les </w:t>
      </w:r>
      <w:r w:rsidRPr="00F1660D">
        <w:rPr>
          <w:lang w:val="fr-FR"/>
        </w:rPr>
        <w:t>peintures</w:t>
      </w:r>
      <w:r w:rsidR="00A50629" w:rsidRPr="00F1660D">
        <w:rPr>
          <w:lang w:val="fr-FR"/>
        </w:rPr>
        <w:t xml:space="preserve"> au </w:t>
      </w:r>
      <w:r w:rsidRPr="00F1660D">
        <w:rPr>
          <w:lang w:val="fr-FR"/>
        </w:rPr>
        <w:t>plomb, mais l</w:t>
      </w:r>
      <w:r w:rsidR="00CE30FD" w:rsidRPr="00F1660D">
        <w:rPr>
          <w:lang w:val="fr-FR"/>
        </w:rPr>
        <w:t>’</w:t>
      </w:r>
      <w:r w:rsidRPr="00F1660D">
        <w:rPr>
          <w:lang w:val="fr-FR"/>
        </w:rPr>
        <w:t>une d</w:t>
      </w:r>
      <w:r w:rsidR="00CE30FD" w:rsidRPr="00F1660D">
        <w:rPr>
          <w:lang w:val="fr-FR"/>
        </w:rPr>
        <w:t>’</w:t>
      </w:r>
      <w:r w:rsidRPr="00F1660D">
        <w:rPr>
          <w:lang w:val="fr-FR"/>
        </w:rPr>
        <w:t>entre elles a trouvé préoccupant que moins de 40 %</w:t>
      </w:r>
      <w:r w:rsidR="00A50629" w:rsidRPr="00F1660D">
        <w:rPr>
          <w:lang w:val="fr-FR"/>
        </w:rPr>
        <w:t xml:space="preserve"> des </w:t>
      </w:r>
      <w:r w:rsidRPr="00F1660D">
        <w:rPr>
          <w:lang w:val="fr-FR"/>
        </w:rPr>
        <w:t>pays aient mis en place une législation ou une réglementation sur</w:t>
      </w:r>
      <w:r w:rsidR="00A50629" w:rsidRPr="00F1660D">
        <w:rPr>
          <w:lang w:val="fr-FR"/>
        </w:rPr>
        <w:t xml:space="preserve"> les </w:t>
      </w:r>
      <w:r w:rsidRPr="00F1660D">
        <w:rPr>
          <w:lang w:val="fr-FR"/>
        </w:rPr>
        <w:t>limites acceptables, en particulier pour</w:t>
      </w:r>
      <w:r w:rsidR="00A50629" w:rsidRPr="00F1660D">
        <w:rPr>
          <w:lang w:val="fr-FR"/>
        </w:rPr>
        <w:t xml:space="preserve"> les </w:t>
      </w:r>
      <w:r w:rsidRPr="00F1660D">
        <w:rPr>
          <w:lang w:val="fr-FR"/>
        </w:rPr>
        <w:t>peintures domestiques et celles utilisées dans</w:t>
      </w:r>
      <w:r w:rsidR="00A50629" w:rsidRPr="00F1660D">
        <w:rPr>
          <w:lang w:val="fr-FR"/>
        </w:rPr>
        <w:t xml:space="preserve"> les </w:t>
      </w:r>
      <w:r w:rsidRPr="00F1660D">
        <w:rPr>
          <w:lang w:val="fr-FR"/>
        </w:rPr>
        <w:t>produits de consommation, soulignant qu</w:t>
      </w:r>
      <w:r w:rsidR="00CE30FD" w:rsidRPr="00F1660D">
        <w:rPr>
          <w:lang w:val="fr-FR"/>
        </w:rPr>
        <w:t>’</w:t>
      </w:r>
      <w:r w:rsidRPr="00F1660D">
        <w:rPr>
          <w:lang w:val="fr-FR"/>
        </w:rPr>
        <w:t>il restait beaucoup à faire pour atteindre l</w:t>
      </w:r>
      <w:r w:rsidR="00CE30FD" w:rsidRPr="00F1660D">
        <w:rPr>
          <w:lang w:val="fr-FR"/>
        </w:rPr>
        <w:t>’</w:t>
      </w:r>
      <w:r w:rsidRPr="00F1660D">
        <w:rPr>
          <w:lang w:val="fr-FR"/>
        </w:rPr>
        <w:t>objectif de 2020 et</w:t>
      </w:r>
      <w:r w:rsidR="00A50629" w:rsidRPr="00F1660D">
        <w:rPr>
          <w:lang w:val="fr-FR"/>
        </w:rPr>
        <w:t xml:space="preserve"> les </w:t>
      </w:r>
      <w:r w:rsidRPr="00F1660D">
        <w:rPr>
          <w:lang w:val="fr-FR"/>
        </w:rPr>
        <w:t>cibles du Programme 2030, notamment en matière d</w:t>
      </w:r>
      <w:r w:rsidR="00CE30FD" w:rsidRPr="00F1660D">
        <w:rPr>
          <w:lang w:val="fr-FR"/>
        </w:rPr>
        <w:t>’</w:t>
      </w:r>
      <w:r w:rsidRPr="00F1660D">
        <w:rPr>
          <w:lang w:val="fr-FR"/>
        </w:rPr>
        <w:t>élimination</w:t>
      </w:r>
      <w:r w:rsidR="00A50629" w:rsidRPr="00F1660D">
        <w:rPr>
          <w:lang w:val="fr-FR"/>
        </w:rPr>
        <w:t xml:space="preserve"> des </w:t>
      </w:r>
      <w:r w:rsidRPr="00F1660D">
        <w:rPr>
          <w:lang w:val="fr-FR"/>
        </w:rPr>
        <w:t>peintures</w:t>
      </w:r>
      <w:r w:rsidR="00A50629" w:rsidRPr="00F1660D">
        <w:rPr>
          <w:lang w:val="fr-FR"/>
        </w:rPr>
        <w:t xml:space="preserve"> au </w:t>
      </w:r>
      <w:r w:rsidRPr="00F1660D">
        <w:rPr>
          <w:lang w:val="fr-FR"/>
        </w:rPr>
        <w:t>plomb. Selon elle, il était impératif de poursuivre</w:t>
      </w:r>
      <w:r w:rsidR="00A50629" w:rsidRPr="00F1660D">
        <w:rPr>
          <w:lang w:val="fr-FR"/>
        </w:rPr>
        <w:t xml:space="preserve"> les </w:t>
      </w:r>
      <w:r w:rsidRPr="00F1660D">
        <w:rPr>
          <w:lang w:val="fr-FR"/>
        </w:rPr>
        <w:t>travaux au-delà de 2020, soit dans</w:t>
      </w:r>
      <w:r w:rsidR="00A50629" w:rsidRPr="00F1660D">
        <w:rPr>
          <w:lang w:val="fr-FR"/>
        </w:rPr>
        <w:t xml:space="preserve"> le </w:t>
      </w:r>
      <w:r w:rsidRPr="00F1660D">
        <w:rPr>
          <w:lang w:val="fr-FR"/>
        </w:rPr>
        <w:t>cadre de l</w:t>
      </w:r>
      <w:r w:rsidR="00CE30FD" w:rsidRPr="00F1660D">
        <w:rPr>
          <w:lang w:val="fr-FR"/>
        </w:rPr>
        <w:t>’</w:t>
      </w:r>
      <w:r w:rsidRPr="00F1660D">
        <w:rPr>
          <w:lang w:val="fr-FR"/>
        </w:rPr>
        <w:t xml:space="preserve">Approche stratégique, soit </w:t>
      </w:r>
      <w:r w:rsidR="00733BD4" w:rsidRPr="00F1660D">
        <w:rPr>
          <w:lang w:val="fr-FR"/>
        </w:rPr>
        <w:t xml:space="preserve">au titre </w:t>
      </w:r>
      <w:r w:rsidRPr="00F1660D">
        <w:rPr>
          <w:lang w:val="fr-FR"/>
        </w:rPr>
        <w:t>d</w:t>
      </w:r>
      <w:r w:rsidR="00CE30FD" w:rsidRPr="00F1660D">
        <w:rPr>
          <w:lang w:val="fr-FR"/>
        </w:rPr>
        <w:t>’</w:t>
      </w:r>
      <w:r w:rsidRPr="00F1660D">
        <w:rPr>
          <w:lang w:val="fr-FR"/>
        </w:rPr>
        <w:t>un forum similaire.</w:t>
      </w:r>
    </w:p>
    <w:p w14:paraId="10FB040D" w14:textId="5A8FB04A" w:rsidR="00793C3B" w:rsidRPr="00F1660D" w:rsidRDefault="00793C3B" w:rsidP="00793C3B">
      <w:pPr>
        <w:pStyle w:val="Normalnumber"/>
        <w:rPr>
          <w:bCs/>
          <w:lang w:val="fr-FR"/>
        </w:rPr>
      </w:pPr>
      <w:r w:rsidRPr="00F1660D">
        <w:rPr>
          <w:lang w:val="fr-FR"/>
        </w:rPr>
        <w:t>La représentante d</w:t>
      </w:r>
      <w:r w:rsidR="00CE30FD" w:rsidRPr="00F1660D">
        <w:rPr>
          <w:lang w:val="fr-FR"/>
        </w:rPr>
        <w:t>’</w:t>
      </w:r>
      <w:r w:rsidRPr="00F1660D">
        <w:rPr>
          <w:lang w:val="fr-FR"/>
        </w:rPr>
        <w:t>une organisation non gouvernementale a appelé l</w:t>
      </w:r>
      <w:r w:rsidR="00CE30FD" w:rsidRPr="00F1660D">
        <w:rPr>
          <w:lang w:val="fr-FR"/>
        </w:rPr>
        <w:t>’</w:t>
      </w:r>
      <w:r w:rsidRPr="00F1660D">
        <w:rPr>
          <w:lang w:val="fr-FR"/>
        </w:rPr>
        <w:t xml:space="preserve">attention </w:t>
      </w:r>
      <w:r w:rsidR="00CF69B5" w:rsidRPr="00F1660D">
        <w:rPr>
          <w:lang w:val="fr-FR"/>
        </w:rPr>
        <w:t xml:space="preserve">des participants </w:t>
      </w:r>
      <w:r w:rsidRPr="00F1660D">
        <w:rPr>
          <w:lang w:val="fr-FR"/>
        </w:rPr>
        <w:t>sur</w:t>
      </w:r>
      <w:r w:rsidR="00A50629" w:rsidRPr="00F1660D">
        <w:rPr>
          <w:lang w:val="fr-FR"/>
        </w:rPr>
        <w:t xml:space="preserve"> les </w:t>
      </w:r>
      <w:r w:rsidRPr="00F1660D">
        <w:rPr>
          <w:lang w:val="fr-FR"/>
        </w:rPr>
        <w:t xml:space="preserve">travaux menés par son organisation </w:t>
      </w:r>
      <w:r w:rsidR="00CF69B5" w:rsidRPr="00F1660D">
        <w:rPr>
          <w:lang w:val="fr-FR"/>
        </w:rPr>
        <w:t xml:space="preserve">pour mener des activités de </w:t>
      </w:r>
      <w:r w:rsidRPr="00F1660D">
        <w:rPr>
          <w:lang w:val="fr-FR"/>
        </w:rPr>
        <w:t xml:space="preserve">sensibilisation, </w:t>
      </w:r>
      <w:r w:rsidR="00CF69B5" w:rsidRPr="00F1660D">
        <w:rPr>
          <w:lang w:val="fr-FR"/>
        </w:rPr>
        <w:t xml:space="preserve">travailler de concert avec </w:t>
      </w:r>
      <w:r w:rsidR="00A50629" w:rsidRPr="00F1660D">
        <w:rPr>
          <w:lang w:val="fr-FR"/>
        </w:rPr>
        <w:t>les </w:t>
      </w:r>
      <w:r w:rsidRPr="00F1660D">
        <w:rPr>
          <w:lang w:val="fr-FR"/>
        </w:rPr>
        <w:t xml:space="preserve">fabricants de peinture, </w:t>
      </w:r>
      <w:r w:rsidR="00CF69B5" w:rsidRPr="00F1660D">
        <w:rPr>
          <w:lang w:val="fr-FR"/>
        </w:rPr>
        <w:t xml:space="preserve">inciter les législateurs à </w:t>
      </w:r>
      <w:r w:rsidRPr="00F1660D">
        <w:rPr>
          <w:lang w:val="fr-FR"/>
        </w:rPr>
        <w:t>adopt</w:t>
      </w:r>
      <w:r w:rsidR="00CF69B5" w:rsidRPr="00F1660D">
        <w:rPr>
          <w:lang w:val="fr-FR"/>
        </w:rPr>
        <w:t>er</w:t>
      </w:r>
      <w:r w:rsidRPr="00F1660D">
        <w:rPr>
          <w:lang w:val="fr-FR"/>
        </w:rPr>
        <w:t xml:space="preserve"> de lois sur</w:t>
      </w:r>
      <w:r w:rsidR="00A50629" w:rsidRPr="00F1660D">
        <w:rPr>
          <w:lang w:val="fr-FR"/>
        </w:rPr>
        <w:t xml:space="preserve"> les </w:t>
      </w:r>
      <w:r w:rsidRPr="00F1660D">
        <w:rPr>
          <w:lang w:val="fr-FR"/>
        </w:rPr>
        <w:t>peintures</w:t>
      </w:r>
      <w:r w:rsidR="00A50629" w:rsidRPr="00F1660D">
        <w:rPr>
          <w:lang w:val="fr-FR"/>
        </w:rPr>
        <w:t xml:space="preserve"> au </w:t>
      </w:r>
      <w:r w:rsidRPr="00F1660D">
        <w:rPr>
          <w:lang w:val="fr-FR"/>
        </w:rPr>
        <w:t>plomb et contrôle</w:t>
      </w:r>
      <w:r w:rsidR="00CF69B5" w:rsidRPr="00F1660D">
        <w:rPr>
          <w:lang w:val="fr-FR"/>
        </w:rPr>
        <w:t>r</w:t>
      </w:r>
      <w:r w:rsidR="00A50629" w:rsidRPr="00F1660D">
        <w:rPr>
          <w:lang w:val="fr-FR"/>
        </w:rPr>
        <w:t xml:space="preserve"> </w:t>
      </w:r>
      <w:r w:rsidR="00CF69B5" w:rsidRPr="00F1660D">
        <w:rPr>
          <w:lang w:val="fr-FR"/>
        </w:rPr>
        <w:t>l</w:t>
      </w:r>
      <w:r w:rsidR="00A50629" w:rsidRPr="00F1660D">
        <w:rPr>
          <w:lang w:val="fr-FR"/>
        </w:rPr>
        <w:t>es </w:t>
      </w:r>
      <w:r w:rsidRPr="00F1660D">
        <w:rPr>
          <w:lang w:val="fr-FR"/>
        </w:rPr>
        <w:t>produits afin de vérifier l</w:t>
      </w:r>
      <w:r w:rsidR="00CE30FD" w:rsidRPr="00F1660D">
        <w:rPr>
          <w:lang w:val="fr-FR"/>
        </w:rPr>
        <w:t>’</w:t>
      </w:r>
      <w:r w:rsidRPr="00F1660D">
        <w:rPr>
          <w:lang w:val="fr-FR"/>
        </w:rPr>
        <w:t>application</w:t>
      </w:r>
      <w:r w:rsidR="00A50629" w:rsidRPr="00F1660D">
        <w:rPr>
          <w:lang w:val="fr-FR"/>
        </w:rPr>
        <w:t xml:space="preserve"> des </w:t>
      </w:r>
      <w:r w:rsidRPr="00F1660D">
        <w:rPr>
          <w:lang w:val="fr-FR"/>
        </w:rPr>
        <w:t>législations existantes. Malgré</w:t>
      </w:r>
      <w:r w:rsidR="00A50629" w:rsidRPr="00F1660D">
        <w:rPr>
          <w:lang w:val="fr-FR"/>
        </w:rPr>
        <w:t xml:space="preserve"> les </w:t>
      </w:r>
      <w:r w:rsidRPr="00F1660D">
        <w:rPr>
          <w:lang w:val="fr-FR"/>
        </w:rPr>
        <w:t>progrès réalisés à ce jour, seul un tiers</w:t>
      </w:r>
      <w:r w:rsidR="00A50629" w:rsidRPr="00F1660D">
        <w:rPr>
          <w:lang w:val="fr-FR"/>
        </w:rPr>
        <w:t xml:space="preserve"> des </w:t>
      </w:r>
      <w:r w:rsidRPr="00F1660D">
        <w:rPr>
          <w:lang w:val="fr-FR"/>
        </w:rPr>
        <w:t>contrôles juridiquement contraignants prévus avaient été adoptés depuis 2009, lorsque</w:t>
      </w:r>
      <w:r w:rsidR="00A50629" w:rsidRPr="00F1660D">
        <w:rPr>
          <w:lang w:val="fr-FR"/>
        </w:rPr>
        <w:t xml:space="preserve"> le </w:t>
      </w:r>
      <w:r w:rsidRPr="00F1660D">
        <w:rPr>
          <w:lang w:val="fr-FR"/>
        </w:rPr>
        <w:t>problème</w:t>
      </w:r>
      <w:r w:rsidR="00A50629" w:rsidRPr="00F1660D">
        <w:rPr>
          <w:lang w:val="fr-FR"/>
        </w:rPr>
        <w:t xml:space="preserve"> des </w:t>
      </w:r>
      <w:r w:rsidRPr="00F1660D">
        <w:rPr>
          <w:lang w:val="fr-FR"/>
        </w:rPr>
        <w:t>peintures</w:t>
      </w:r>
      <w:r w:rsidR="00A50629" w:rsidRPr="00F1660D">
        <w:rPr>
          <w:lang w:val="fr-FR"/>
        </w:rPr>
        <w:t xml:space="preserve"> au </w:t>
      </w:r>
      <w:r w:rsidRPr="00F1660D">
        <w:rPr>
          <w:lang w:val="fr-FR"/>
        </w:rPr>
        <w:t xml:space="preserve">plomb était devenu une nouvelle question de politique générale </w:t>
      </w:r>
      <w:r w:rsidR="00CF69B5" w:rsidRPr="00F1660D">
        <w:rPr>
          <w:lang w:val="fr-FR"/>
        </w:rPr>
        <w:t xml:space="preserve">au titre de </w:t>
      </w:r>
      <w:r w:rsidRPr="00F1660D">
        <w:rPr>
          <w:lang w:val="fr-FR"/>
        </w:rPr>
        <w:t>l</w:t>
      </w:r>
      <w:r w:rsidR="00CE30FD" w:rsidRPr="00F1660D">
        <w:rPr>
          <w:lang w:val="fr-FR"/>
        </w:rPr>
        <w:t>’</w:t>
      </w:r>
      <w:r w:rsidRPr="00F1660D">
        <w:rPr>
          <w:lang w:val="fr-FR"/>
        </w:rPr>
        <w:t>Approche stratégique, et plusieurs de ces contrôles n</w:t>
      </w:r>
      <w:r w:rsidR="00CE30FD" w:rsidRPr="00F1660D">
        <w:rPr>
          <w:lang w:val="fr-FR"/>
        </w:rPr>
        <w:t>’</w:t>
      </w:r>
      <w:r w:rsidRPr="00F1660D">
        <w:rPr>
          <w:lang w:val="fr-FR"/>
        </w:rPr>
        <w:t>étaient pas appliqués. En outre, 122 pays n</w:t>
      </w:r>
      <w:r w:rsidR="00CE30FD" w:rsidRPr="00F1660D">
        <w:rPr>
          <w:lang w:val="fr-FR"/>
        </w:rPr>
        <w:t>’</w:t>
      </w:r>
      <w:r w:rsidRPr="00F1660D">
        <w:rPr>
          <w:lang w:val="fr-FR"/>
        </w:rPr>
        <w:t>avaient mis en place aucune réglementation sur</w:t>
      </w:r>
      <w:r w:rsidR="00A50629" w:rsidRPr="00F1660D">
        <w:rPr>
          <w:lang w:val="fr-FR"/>
        </w:rPr>
        <w:t xml:space="preserve"> la </w:t>
      </w:r>
      <w:r w:rsidRPr="00F1660D">
        <w:rPr>
          <w:lang w:val="fr-FR"/>
        </w:rPr>
        <w:t>teneur en plomb</w:t>
      </w:r>
      <w:r w:rsidR="00A50629" w:rsidRPr="00F1660D">
        <w:rPr>
          <w:lang w:val="fr-FR"/>
        </w:rPr>
        <w:t xml:space="preserve"> des </w:t>
      </w:r>
      <w:r w:rsidRPr="00F1660D">
        <w:rPr>
          <w:lang w:val="fr-FR"/>
        </w:rPr>
        <w:t>peintures, de sorte que</w:t>
      </w:r>
      <w:r w:rsidR="00A50629" w:rsidRPr="00F1660D">
        <w:rPr>
          <w:lang w:val="fr-FR"/>
        </w:rPr>
        <w:t xml:space="preserve"> des </w:t>
      </w:r>
      <w:r w:rsidRPr="00F1660D">
        <w:rPr>
          <w:lang w:val="fr-FR"/>
        </w:rPr>
        <w:t>mesures urgentes s</w:t>
      </w:r>
      <w:r w:rsidR="00CE30FD" w:rsidRPr="00F1660D">
        <w:rPr>
          <w:lang w:val="fr-FR"/>
        </w:rPr>
        <w:t>’</w:t>
      </w:r>
      <w:r w:rsidRPr="00F1660D">
        <w:rPr>
          <w:lang w:val="fr-FR"/>
        </w:rPr>
        <w:t>imposaient d</w:t>
      </w:r>
      <w:r w:rsidR="00CE30FD" w:rsidRPr="00F1660D">
        <w:rPr>
          <w:lang w:val="fr-FR"/>
        </w:rPr>
        <w:t>’</w:t>
      </w:r>
      <w:r w:rsidRPr="00F1660D">
        <w:rPr>
          <w:lang w:val="fr-FR"/>
        </w:rPr>
        <w:t>ici à</w:t>
      </w:r>
      <w:r w:rsidR="00A50629" w:rsidRPr="00F1660D">
        <w:rPr>
          <w:lang w:val="fr-FR"/>
        </w:rPr>
        <w:t xml:space="preserve"> la </w:t>
      </w:r>
      <w:r w:rsidRPr="00F1660D">
        <w:rPr>
          <w:lang w:val="fr-FR"/>
        </w:rPr>
        <w:t>cinquième session de</w:t>
      </w:r>
      <w:r w:rsidR="00A50629" w:rsidRPr="00F1660D">
        <w:rPr>
          <w:lang w:val="fr-FR"/>
        </w:rPr>
        <w:t xml:space="preserve"> la </w:t>
      </w:r>
      <w:r w:rsidRPr="00F1660D">
        <w:rPr>
          <w:lang w:val="fr-FR"/>
        </w:rPr>
        <w:t>Conférence en 2020 pour réaliser de nouveaux progrès.</w:t>
      </w:r>
    </w:p>
    <w:p w14:paraId="08D7224B" w14:textId="5724AD9E" w:rsidR="00793C3B" w:rsidRPr="00F1660D" w:rsidRDefault="00793C3B" w:rsidP="00793C3B">
      <w:pPr>
        <w:pStyle w:val="CH3"/>
        <w:rPr>
          <w:lang w:val="fr-FR"/>
        </w:rPr>
      </w:pPr>
      <w:r w:rsidRPr="00F1660D">
        <w:rPr>
          <w:lang w:val="fr-FR"/>
        </w:rPr>
        <w:tab/>
        <w:t>2.</w:t>
      </w:r>
      <w:r w:rsidRPr="00F1660D">
        <w:rPr>
          <w:lang w:val="fr-FR"/>
        </w:rPr>
        <w:tab/>
        <w:t>Substances chimiques incorporées dans</w:t>
      </w:r>
      <w:r w:rsidR="00A50629" w:rsidRPr="00F1660D">
        <w:rPr>
          <w:lang w:val="fr-FR"/>
        </w:rPr>
        <w:t xml:space="preserve"> les </w:t>
      </w:r>
      <w:r w:rsidRPr="00F1660D">
        <w:rPr>
          <w:lang w:val="fr-FR"/>
        </w:rPr>
        <w:t>produits</w:t>
      </w:r>
    </w:p>
    <w:p w14:paraId="7657EFFE" w14:textId="6F3FD7C8" w:rsidR="00B639EE" w:rsidRPr="00F1660D" w:rsidRDefault="00B639EE" w:rsidP="00B639EE">
      <w:pPr>
        <w:pStyle w:val="Normalnumber"/>
        <w:rPr>
          <w:szCs w:val="25"/>
          <w:lang w:val="fr-FR"/>
        </w:rPr>
      </w:pPr>
      <w:bookmarkStart w:id="18" w:name="_DV_C229"/>
      <w:r w:rsidRPr="00F1660D">
        <w:rPr>
          <w:lang w:val="fr-FR"/>
        </w:rPr>
        <w:t>Le</w:t>
      </w:r>
      <w:r w:rsidRPr="00F1660D">
        <w:rPr>
          <w:rStyle w:val="DeltaViewInsertion"/>
          <w:color w:val="auto"/>
          <w:szCs w:val="25"/>
          <w:u w:val="none"/>
          <w:lang w:val="fr-FR"/>
        </w:rPr>
        <w:t xml:space="preserve"> représentant de l’IOMC a décrit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activités menées par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PNUE dans</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cadre de son programme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substances chimiques incorporées dans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et sa mise en œuvre réussie d’un projet financé par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FEM visant à identifier et démontrer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meilleures pratiques pour faciliter l’accès à l’information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substances chimiques présentes dans</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produits textiles, qui avait été exécuté conjointement par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Gouvernement chinois et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principaux fabricants de textiles. Un autre projet récent financé par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FEM comportait,</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titre de l’Approche stratégique, un volet sur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 du cycle de vie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substances chimiques incorporées dans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qui appelait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gouvernements et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acteurs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chaîne de valeurs à prendre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mesures pour tracer et gérer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substances chimiques préoccupantes présentes dans leurs produits dans</w:t>
      </w:r>
      <w:r w:rsidR="00A50629" w:rsidRPr="00F1660D">
        <w:rPr>
          <w:rStyle w:val="DeltaViewInsertion"/>
          <w:color w:val="auto"/>
          <w:szCs w:val="25"/>
          <w:u w:val="none"/>
          <w:lang w:val="fr-FR"/>
        </w:rPr>
        <w:t xml:space="preserve"> les </w:t>
      </w:r>
      <w:r w:rsidR="00755A6D" w:rsidRPr="00F1660D">
        <w:rPr>
          <w:rStyle w:val="DeltaViewInsertion"/>
          <w:color w:val="auto"/>
          <w:szCs w:val="25"/>
          <w:u w:val="none"/>
          <w:lang w:val="fr-FR"/>
        </w:rPr>
        <w:t>secteurs du bâtiment, de </w:t>
      </w:r>
      <w:r w:rsidRPr="00F1660D">
        <w:rPr>
          <w:rStyle w:val="DeltaViewInsertion"/>
          <w:color w:val="auto"/>
          <w:szCs w:val="25"/>
          <w:u w:val="none"/>
          <w:lang w:val="fr-FR"/>
        </w:rPr>
        <w:t>l’électronique et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jouets. Par</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biais de son « programme de travail amélioré » et de divers programmes de pays, l’OIT promouvait activement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sécurité chimique et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bonne gestion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dans l’industrie de l’habillement et du textile dans toute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chaîne d’approvisionnement ;</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 xml:space="preserve">Banque mondiale avait établi un fonds d’affectation spéciale </w:t>
      </w:r>
      <w:proofErr w:type="spellStart"/>
      <w:r w:rsidRPr="00F1660D">
        <w:rPr>
          <w:rStyle w:val="DeltaViewInsertion"/>
          <w:color w:val="auto"/>
          <w:szCs w:val="25"/>
          <w:u w:val="none"/>
          <w:lang w:val="fr-FR"/>
        </w:rPr>
        <w:t>multidonateurs</w:t>
      </w:r>
      <w:proofErr w:type="spellEnd"/>
      <w:r w:rsidRPr="00F1660D">
        <w:rPr>
          <w:rStyle w:val="DeltaViewInsertion"/>
          <w:color w:val="auto"/>
          <w:szCs w:val="25"/>
          <w:u w:val="none"/>
          <w:lang w:val="fr-FR"/>
        </w:rPr>
        <w:t xml:space="preserve"> appelé PROBLUE doté d’un guichet dédié à</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et plastiques présents dans</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milieu marin, qui accordait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subventions et un cofinancement en vue d’investissements visant à détoxifier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produits plastiques et promouvoir leur recyclage. En outre,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 xml:space="preserve">Banque </w:t>
      </w:r>
      <w:r w:rsidR="00044E9E" w:rsidRPr="00F1660D">
        <w:rPr>
          <w:rStyle w:val="DeltaViewInsertion"/>
          <w:color w:val="auto"/>
          <w:szCs w:val="25"/>
          <w:u w:val="none"/>
          <w:lang w:val="fr-FR"/>
        </w:rPr>
        <w:t xml:space="preserve">mondiale </w:t>
      </w:r>
      <w:r w:rsidRPr="00F1660D">
        <w:rPr>
          <w:rStyle w:val="DeltaViewInsertion"/>
          <w:color w:val="auto"/>
          <w:szCs w:val="25"/>
          <w:u w:val="none"/>
          <w:lang w:val="fr-FR"/>
        </w:rPr>
        <w:t>avait entrepris de créer un nouveau Fonds d’affectation spéciale dédié à l’économie circulaire qui aurait pour but de réduire</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minimum</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production de déchets toxiques, ainsi que</w:t>
      </w:r>
      <w:r w:rsidR="00A50629" w:rsidRPr="00F1660D">
        <w:rPr>
          <w:rStyle w:val="DeltaViewInsertion"/>
          <w:color w:val="auto"/>
          <w:szCs w:val="25"/>
          <w:u w:val="none"/>
          <w:lang w:val="fr-FR"/>
        </w:rPr>
        <w:t xml:space="preserve"> le </w:t>
      </w:r>
      <w:r w:rsidRPr="00F1660D">
        <w:rPr>
          <w:rStyle w:val="DeltaViewInsertion"/>
          <w:color w:val="auto"/>
          <w:szCs w:val="25"/>
          <w:u w:val="none"/>
          <w:lang w:val="fr-FR"/>
        </w:rPr>
        <w:t>recyclage et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 xml:space="preserve">réutilisation de toutes sortes de produits. </w:t>
      </w:r>
      <w:bookmarkStart w:id="19" w:name="_DV_C230"/>
      <w:bookmarkEnd w:id="18"/>
    </w:p>
    <w:p w14:paraId="269EDE75" w14:textId="11908C6B" w:rsidR="00B639EE" w:rsidRPr="00F1660D" w:rsidRDefault="00B639EE" w:rsidP="00B639EE">
      <w:pPr>
        <w:pStyle w:val="Normalnumber"/>
        <w:rPr>
          <w:szCs w:val="25"/>
          <w:lang w:val="fr-FR"/>
        </w:rPr>
      </w:pPr>
      <w:bookmarkStart w:id="20" w:name="_DV_C231"/>
      <w:bookmarkEnd w:id="19"/>
      <w:r w:rsidRPr="00F1660D">
        <w:rPr>
          <w:rStyle w:val="DeltaViewInsertion"/>
          <w:color w:val="auto"/>
          <w:szCs w:val="25"/>
          <w:u w:val="none"/>
          <w:lang w:val="fr-FR"/>
        </w:rPr>
        <w:t>Au cours du débat qui a suivi, de nombreux représentants se sont f</w:t>
      </w:r>
      <w:r w:rsidR="00044E9E" w:rsidRPr="00F1660D">
        <w:rPr>
          <w:rStyle w:val="DeltaViewInsertion"/>
          <w:color w:val="auto"/>
          <w:szCs w:val="25"/>
          <w:u w:val="none"/>
          <w:lang w:val="fr-FR"/>
        </w:rPr>
        <w:t>é</w:t>
      </w:r>
      <w:r w:rsidRPr="00F1660D">
        <w:rPr>
          <w:rStyle w:val="DeltaViewInsertion"/>
          <w:color w:val="auto"/>
          <w:szCs w:val="25"/>
          <w:u w:val="none"/>
          <w:lang w:val="fr-FR"/>
        </w:rPr>
        <w:t>licités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progrès accomplis concernant</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 xml:space="preserve">substances chimiques </w:t>
      </w:r>
      <w:proofErr w:type="spellStart"/>
      <w:r w:rsidRPr="00F1660D">
        <w:rPr>
          <w:rStyle w:val="DeltaViewInsertion"/>
          <w:color w:val="auto"/>
          <w:szCs w:val="25"/>
          <w:u w:val="none"/>
          <w:lang w:val="fr-FR"/>
        </w:rPr>
        <w:t>incorporéese</w:t>
      </w:r>
      <w:proofErr w:type="spellEnd"/>
      <w:r w:rsidRPr="00F1660D">
        <w:rPr>
          <w:rStyle w:val="DeltaViewInsertion"/>
          <w:color w:val="auto"/>
          <w:szCs w:val="25"/>
          <w:u w:val="none"/>
          <w:lang w:val="fr-FR"/>
        </w:rPr>
        <w:t xml:space="preserve"> dans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et remercié ceux qui avaient contribué</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programme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substances chimiques incorporées dans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en menant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activités de sensibilisation, de renforcement</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capacités et d’échange d’informations, l’un d’eux soulignant que l’échange d’informations dans ce domaines pouvait être extrêmement bénéfique pour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 xml:space="preserve">parties prenantes et qu’il devait se poursuivre. </w:t>
      </w:r>
      <w:bookmarkStart w:id="21" w:name="_DV_C232"/>
      <w:bookmarkEnd w:id="20"/>
    </w:p>
    <w:bookmarkEnd w:id="21"/>
    <w:p w14:paraId="404B5A3B" w14:textId="7E7F17B3" w:rsidR="00793C3B" w:rsidRPr="00F1660D" w:rsidRDefault="00B639EE" w:rsidP="00B639EE">
      <w:pPr>
        <w:pStyle w:val="Normalnumber"/>
        <w:rPr>
          <w:rStyle w:val="DeltaViewInsertion"/>
          <w:color w:val="auto"/>
          <w:u w:val="none"/>
          <w:lang w:val="fr-FR"/>
        </w:rPr>
      </w:pPr>
      <w:r w:rsidRPr="00F1660D">
        <w:rPr>
          <w:rStyle w:val="DeltaViewInsertion"/>
          <w:color w:val="auto"/>
          <w:szCs w:val="25"/>
          <w:u w:val="none"/>
          <w:lang w:val="fr-FR"/>
        </w:rPr>
        <w:t xml:space="preserve">Un </w:t>
      </w:r>
      <w:proofErr w:type="spellStart"/>
      <w:r w:rsidRPr="00F1660D">
        <w:rPr>
          <w:rStyle w:val="DeltaViewInsertion"/>
          <w:color w:val="auto"/>
          <w:szCs w:val="25"/>
          <w:u w:val="none"/>
          <w:lang w:val="fr-FR"/>
        </w:rPr>
        <w:t>représenant</w:t>
      </w:r>
      <w:proofErr w:type="spellEnd"/>
      <w:r w:rsidRPr="00F1660D">
        <w:rPr>
          <w:rStyle w:val="DeltaViewInsertion"/>
          <w:color w:val="auto"/>
          <w:szCs w:val="25"/>
          <w:u w:val="none"/>
          <w:lang w:val="fr-FR"/>
        </w:rPr>
        <w:t xml:space="preserve"> a fait observer que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gestion</w:t>
      </w:r>
      <w:r w:rsidR="00A50629" w:rsidRPr="00F1660D">
        <w:rPr>
          <w:rStyle w:val="DeltaViewInsertion"/>
          <w:color w:val="auto"/>
          <w:szCs w:val="25"/>
          <w:u w:val="none"/>
          <w:lang w:val="fr-FR"/>
        </w:rPr>
        <w:t xml:space="preserve"> </w:t>
      </w:r>
      <w:r w:rsidR="00044E9E" w:rsidRPr="00F1660D">
        <w:rPr>
          <w:rStyle w:val="DeltaViewInsertion"/>
          <w:color w:val="auto"/>
          <w:szCs w:val="25"/>
          <w:u w:val="none"/>
          <w:lang w:val="fr-FR"/>
        </w:rPr>
        <w:t xml:space="preserve">responsable </w:t>
      </w:r>
      <w:r w:rsidR="00A50629" w:rsidRPr="00F1660D">
        <w:rPr>
          <w:rStyle w:val="DeltaViewInsertion"/>
          <w:color w:val="auto"/>
          <w:szCs w:val="25"/>
          <w:u w:val="none"/>
          <w:lang w:val="fr-FR"/>
        </w:rPr>
        <w:t>des </w:t>
      </w:r>
      <w:r w:rsidRPr="00F1660D">
        <w:rPr>
          <w:rStyle w:val="DeltaViewInsertion"/>
          <w:color w:val="auto"/>
          <w:szCs w:val="25"/>
          <w:u w:val="none"/>
          <w:lang w:val="fr-FR"/>
        </w:rPr>
        <w:t>substances chimiques incorporées dans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était liée</w:t>
      </w:r>
      <w:r w:rsidR="00A50629" w:rsidRPr="00F1660D">
        <w:rPr>
          <w:rStyle w:val="DeltaViewInsertion"/>
          <w:color w:val="auto"/>
          <w:szCs w:val="25"/>
          <w:u w:val="none"/>
          <w:lang w:val="fr-FR"/>
        </w:rPr>
        <w:t xml:space="preserve"> au </w:t>
      </w:r>
      <w:r w:rsidRPr="00F1660D">
        <w:rPr>
          <w:rStyle w:val="DeltaViewInsertion"/>
          <w:color w:val="auto"/>
          <w:szCs w:val="25"/>
          <w:u w:val="none"/>
          <w:lang w:val="fr-FR"/>
        </w:rPr>
        <w:t>plaidoyer mondial pour l’économie circulaire et</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réduction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déchets, auxquelles on ne pourrait parvenir sans une meilleure connaissance de</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composition chimique</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données sur</w:t>
      </w:r>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composition</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mis sur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marchés mondiaux de marchandises étaient indispensables pour évaluer et gérer</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risques, pour encourager l’innovations dans</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produits et procédés chimiques plus sûrs, et pour améliorer l’accès du public à</w:t>
      </w:r>
      <w:r w:rsidR="00A50629" w:rsidRPr="00F1660D">
        <w:rPr>
          <w:rStyle w:val="DeltaViewInsertion"/>
          <w:color w:val="auto"/>
          <w:szCs w:val="25"/>
          <w:u w:val="none"/>
          <w:lang w:val="fr-FR"/>
        </w:rPr>
        <w:t xml:space="preserve"> des </w:t>
      </w:r>
      <w:r w:rsidRPr="00F1660D">
        <w:rPr>
          <w:rStyle w:val="DeltaViewInsertion"/>
          <w:color w:val="auto"/>
          <w:szCs w:val="25"/>
          <w:u w:val="none"/>
          <w:lang w:val="fr-FR"/>
        </w:rPr>
        <w:t>infor</w:t>
      </w:r>
      <w:r w:rsidR="00044E9E" w:rsidRPr="00F1660D">
        <w:rPr>
          <w:rStyle w:val="DeltaViewInsertion"/>
          <w:color w:val="auto"/>
          <w:szCs w:val="25"/>
          <w:u w:val="none"/>
          <w:lang w:val="fr-FR"/>
        </w:rPr>
        <w:t>ma</w:t>
      </w:r>
      <w:r w:rsidRPr="00F1660D">
        <w:rPr>
          <w:rStyle w:val="DeltaViewInsertion"/>
          <w:color w:val="auto"/>
          <w:szCs w:val="25"/>
          <w:u w:val="none"/>
          <w:lang w:val="fr-FR"/>
        </w:rPr>
        <w:t xml:space="preserve">tions crédibles. Il était donc important de </w:t>
      </w:r>
      <w:proofErr w:type="spellStart"/>
      <w:r w:rsidRPr="00F1660D">
        <w:rPr>
          <w:rStyle w:val="DeltaViewInsertion"/>
          <w:color w:val="auto"/>
          <w:szCs w:val="25"/>
          <w:u w:val="none"/>
          <w:lang w:val="fr-FR"/>
        </w:rPr>
        <w:t>promuvoir</w:t>
      </w:r>
      <w:proofErr w:type="spellEnd"/>
      <w:r w:rsidR="00A50629" w:rsidRPr="00F1660D">
        <w:rPr>
          <w:rStyle w:val="DeltaViewInsertion"/>
          <w:color w:val="auto"/>
          <w:szCs w:val="25"/>
          <w:u w:val="none"/>
          <w:lang w:val="fr-FR"/>
        </w:rPr>
        <w:t xml:space="preserve"> la </w:t>
      </w:r>
      <w:r w:rsidRPr="00F1660D">
        <w:rPr>
          <w:rStyle w:val="DeltaViewInsertion"/>
          <w:color w:val="auto"/>
          <w:szCs w:val="25"/>
          <w:u w:val="none"/>
          <w:lang w:val="fr-FR"/>
        </w:rPr>
        <w:t>transparence dans</w:t>
      </w:r>
      <w:r w:rsidR="00A50629" w:rsidRPr="00F1660D">
        <w:rPr>
          <w:rStyle w:val="DeltaViewInsertion"/>
          <w:color w:val="auto"/>
          <w:szCs w:val="25"/>
          <w:u w:val="none"/>
          <w:lang w:val="fr-FR"/>
        </w:rPr>
        <w:t xml:space="preserve"> les </w:t>
      </w:r>
      <w:r w:rsidRPr="00F1660D">
        <w:rPr>
          <w:rStyle w:val="DeltaViewInsertion"/>
          <w:color w:val="auto"/>
          <w:szCs w:val="25"/>
          <w:u w:val="none"/>
          <w:lang w:val="fr-FR"/>
        </w:rPr>
        <w:t>chaînes d’approvisionnement mondiales de substances chimiques et de produits.</w:t>
      </w:r>
    </w:p>
    <w:p w14:paraId="3D5AC699" w14:textId="0D75C312" w:rsidR="0026169C" w:rsidRPr="00F1660D" w:rsidRDefault="0026169C" w:rsidP="004E6786">
      <w:pPr>
        <w:pStyle w:val="Normalnumber"/>
        <w:rPr>
          <w:bCs/>
          <w:lang w:val="fr-FR"/>
        </w:rPr>
      </w:pPr>
      <w:r w:rsidRPr="00F1660D">
        <w:rPr>
          <w:lang w:val="fr-FR"/>
        </w:rPr>
        <w:t>Une représentante, s’exprimant</w:t>
      </w:r>
      <w:r w:rsidR="00A50629" w:rsidRPr="00F1660D">
        <w:rPr>
          <w:lang w:val="fr-FR"/>
        </w:rPr>
        <w:t xml:space="preserve"> au </w:t>
      </w:r>
      <w:r w:rsidRPr="00F1660D">
        <w:rPr>
          <w:lang w:val="fr-FR"/>
        </w:rPr>
        <w:t>nom d’un groupe de pays, a déclaré qu’une économie circulaire ne pouvait être durable que si l’on prévenait</w:t>
      </w:r>
      <w:r w:rsidR="00A50629" w:rsidRPr="00F1660D">
        <w:rPr>
          <w:lang w:val="fr-FR"/>
        </w:rPr>
        <w:t xml:space="preserve"> le </w:t>
      </w:r>
      <w:r w:rsidRPr="00F1660D">
        <w:rPr>
          <w:lang w:val="fr-FR"/>
        </w:rPr>
        <w:t>mouvement</w:t>
      </w:r>
      <w:r w:rsidR="00A50629" w:rsidRPr="00F1660D">
        <w:rPr>
          <w:lang w:val="fr-FR"/>
        </w:rPr>
        <w:t xml:space="preserve"> des </w:t>
      </w:r>
      <w:r w:rsidRPr="00F1660D">
        <w:rPr>
          <w:lang w:val="fr-FR"/>
        </w:rPr>
        <w:t>produits chimiques dangereux, et a encouragé</w:t>
      </w:r>
      <w:r w:rsidR="00A50629" w:rsidRPr="00F1660D">
        <w:rPr>
          <w:lang w:val="fr-FR"/>
        </w:rPr>
        <w:t xml:space="preserve"> les </w:t>
      </w:r>
      <w:r w:rsidRPr="00F1660D">
        <w:rPr>
          <w:lang w:val="fr-FR"/>
        </w:rPr>
        <w:t>organismes chefs de file,</w:t>
      </w:r>
      <w:r w:rsidR="00A50629" w:rsidRPr="00F1660D">
        <w:rPr>
          <w:lang w:val="fr-FR"/>
        </w:rPr>
        <w:t xml:space="preserve"> les </w:t>
      </w:r>
      <w:r w:rsidRPr="00F1660D">
        <w:rPr>
          <w:lang w:val="fr-FR"/>
        </w:rPr>
        <w:t>pays et</w:t>
      </w:r>
      <w:r w:rsidR="00A50629" w:rsidRPr="00F1660D">
        <w:rPr>
          <w:lang w:val="fr-FR"/>
        </w:rPr>
        <w:t xml:space="preserve"> les </w:t>
      </w:r>
      <w:r w:rsidRPr="00F1660D">
        <w:rPr>
          <w:lang w:val="fr-FR"/>
        </w:rPr>
        <w:t>parties prenantes à intensifier leurs efforts dans ce domaine. Elle a appelé l’attention sur une nouvelle base de données concernant</w:t>
      </w:r>
      <w:r w:rsidR="00A50629" w:rsidRPr="00F1660D">
        <w:rPr>
          <w:lang w:val="fr-FR"/>
        </w:rPr>
        <w:t xml:space="preserve"> les </w:t>
      </w:r>
      <w:r w:rsidRPr="00F1660D">
        <w:rPr>
          <w:lang w:val="fr-FR"/>
        </w:rPr>
        <w:t>substances chimiques contenues dans</w:t>
      </w:r>
      <w:r w:rsidR="00A50629" w:rsidRPr="00F1660D">
        <w:rPr>
          <w:lang w:val="fr-FR"/>
        </w:rPr>
        <w:t xml:space="preserve"> les </w:t>
      </w:r>
      <w:r w:rsidRPr="00F1660D">
        <w:rPr>
          <w:lang w:val="fr-FR"/>
        </w:rPr>
        <w:t>articles qui serait bientôt accessible</w:t>
      </w:r>
      <w:r w:rsidR="00A50629" w:rsidRPr="00F1660D">
        <w:rPr>
          <w:lang w:val="fr-FR"/>
        </w:rPr>
        <w:t xml:space="preserve"> au </w:t>
      </w:r>
      <w:r w:rsidRPr="00F1660D">
        <w:rPr>
          <w:lang w:val="fr-FR"/>
        </w:rPr>
        <w:t>public.</w:t>
      </w:r>
    </w:p>
    <w:p w14:paraId="5E81A4A3" w14:textId="125A296B" w:rsidR="0026169C" w:rsidRPr="00F1660D" w:rsidRDefault="0026169C" w:rsidP="004E6786">
      <w:pPr>
        <w:pStyle w:val="Normalnumber"/>
        <w:rPr>
          <w:bCs/>
          <w:lang w:val="fr-FR"/>
        </w:rPr>
      </w:pPr>
      <w:r w:rsidRPr="00F1660D">
        <w:rPr>
          <w:lang w:val="fr-FR"/>
        </w:rPr>
        <w:t>Plusieurs représentants ont exposé</w:t>
      </w:r>
      <w:r w:rsidR="00A50629" w:rsidRPr="00F1660D">
        <w:rPr>
          <w:lang w:val="fr-FR"/>
        </w:rPr>
        <w:t xml:space="preserve"> les </w:t>
      </w:r>
      <w:r w:rsidRPr="00F1660D">
        <w:rPr>
          <w:lang w:val="fr-FR"/>
        </w:rPr>
        <w:t>efforts déployés par leurs pays pour lutter contre</w:t>
      </w:r>
      <w:r w:rsidR="00A50629" w:rsidRPr="00F1660D">
        <w:rPr>
          <w:lang w:val="fr-FR"/>
        </w:rPr>
        <w:t xml:space="preserve"> les </w:t>
      </w:r>
      <w:r w:rsidRPr="00F1660D">
        <w:rPr>
          <w:lang w:val="fr-FR"/>
        </w:rPr>
        <w:t>matières toxiques et dangereuses contenues dans</w:t>
      </w:r>
      <w:r w:rsidR="00A50629" w:rsidRPr="00F1660D">
        <w:rPr>
          <w:lang w:val="fr-FR"/>
        </w:rPr>
        <w:t xml:space="preserve"> les </w:t>
      </w:r>
      <w:r w:rsidRPr="00F1660D">
        <w:rPr>
          <w:lang w:val="fr-FR"/>
        </w:rPr>
        <w:t>produits, notamment par</w:t>
      </w:r>
      <w:r w:rsidR="00A50629" w:rsidRPr="00F1660D">
        <w:rPr>
          <w:lang w:val="fr-FR"/>
        </w:rPr>
        <w:t xml:space="preserve"> des </w:t>
      </w:r>
      <w:r w:rsidRPr="00F1660D">
        <w:rPr>
          <w:lang w:val="fr-FR"/>
        </w:rPr>
        <w:t>mesures législatives et réglementaires, l’innovation et l’échange d’informations.</w:t>
      </w:r>
    </w:p>
    <w:p w14:paraId="07B05616" w14:textId="0D7388D2" w:rsidR="0026169C" w:rsidRPr="00F1660D" w:rsidRDefault="0026169C" w:rsidP="004E6786">
      <w:pPr>
        <w:pStyle w:val="Normalnumber"/>
        <w:rPr>
          <w:lang w:val="fr-FR"/>
        </w:rPr>
      </w:pPr>
      <w:r w:rsidRPr="00F1660D">
        <w:rPr>
          <w:lang w:val="fr-FR"/>
        </w:rPr>
        <w:t>Trois représentants de trois organisations non gouvernementales ont insisté sur</w:t>
      </w:r>
      <w:r w:rsidR="00A50629" w:rsidRPr="00F1660D">
        <w:rPr>
          <w:lang w:val="fr-FR"/>
        </w:rPr>
        <w:t xml:space="preserve"> la </w:t>
      </w:r>
      <w:r w:rsidR="00755A6D" w:rsidRPr="00F1660D">
        <w:rPr>
          <w:lang w:val="fr-FR"/>
        </w:rPr>
        <w:t>nécessité de </w:t>
      </w:r>
      <w:r w:rsidRPr="00F1660D">
        <w:rPr>
          <w:lang w:val="fr-FR"/>
        </w:rPr>
        <w:t>faire en sorte que</w:t>
      </w:r>
      <w:r w:rsidR="00A50629" w:rsidRPr="00F1660D">
        <w:rPr>
          <w:lang w:val="fr-FR"/>
        </w:rPr>
        <w:t xml:space="preserve"> des </w:t>
      </w:r>
      <w:r w:rsidRPr="00F1660D">
        <w:rPr>
          <w:lang w:val="fr-FR"/>
        </w:rPr>
        <w:t>informations complètes sur</w:t>
      </w:r>
      <w:r w:rsidR="00A50629" w:rsidRPr="00F1660D">
        <w:rPr>
          <w:lang w:val="fr-FR"/>
        </w:rPr>
        <w:t xml:space="preserve"> la </w:t>
      </w:r>
      <w:r w:rsidRPr="00F1660D">
        <w:rPr>
          <w:lang w:val="fr-FR"/>
        </w:rPr>
        <w:t>santé et</w:t>
      </w:r>
      <w:r w:rsidR="00A50629" w:rsidRPr="00F1660D">
        <w:rPr>
          <w:lang w:val="fr-FR"/>
        </w:rPr>
        <w:t xml:space="preserve"> la </w:t>
      </w:r>
      <w:r w:rsidRPr="00F1660D">
        <w:rPr>
          <w:lang w:val="fr-FR"/>
        </w:rPr>
        <w:t>sécurité de tous</w:t>
      </w:r>
      <w:r w:rsidR="00A50629" w:rsidRPr="00F1660D">
        <w:rPr>
          <w:lang w:val="fr-FR"/>
        </w:rPr>
        <w:t xml:space="preserve"> les </w:t>
      </w:r>
      <w:r w:rsidRPr="00F1660D">
        <w:rPr>
          <w:lang w:val="fr-FR"/>
        </w:rPr>
        <w:t>ingrédients chimiques contenus dans</w:t>
      </w:r>
      <w:r w:rsidR="00A50629" w:rsidRPr="00F1660D">
        <w:rPr>
          <w:lang w:val="fr-FR"/>
        </w:rPr>
        <w:t xml:space="preserve"> les </w:t>
      </w:r>
      <w:r w:rsidRPr="00F1660D">
        <w:rPr>
          <w:lang w:val="fr-FR"/>
        </w:rPr>
        <w:t>produits, ainsi que leur identité, tout</w:t>
      </w:r>
      <w:r w:rsidR="00A50629" w:rsidRPr="00F1660D">
        <w:rPr>
          <w:lang w:val="fr-FR"/>
        </w:rPr>
        <w:t xml:space="preserve"> au </w:t>
      </w:r>
      <w:r w:rsidRPr="00F1660D">
        <w:rPr>
          <w:lang w:val="fr-FR"/>
        </w:rPr>
        <w:t>long du cycle de vie d’un produit soient communiquées, en établissant</w:t>
      </w:r>
      <w:r w:rsidR="00A50629" w:rsidRPr="00F1660D">
        <w:rPr>
          <w:lang w:val="fr-FR"/>
        </w:rPr>
        <w:t xml:space="preserve"> des </w:t>
      </w:r>
      <w:r w:rsidRPr="00F1660D">
        <w:rPr>
          <w:lang w:val="fr-FR"/>
        </w:rPr>
        <w:t>priorités entre</w:t>
      </w:r>
      <w:r w:rsidR="00A50629" w:rsidRPr="00F1660D">
        <w:rPr>
          <w:lang w:val="fr-FR"/>
        </w:rPr>
        <w:t xml:space="preserve"> les </w:t>
      </w:r>
      <w:r w:rsidRPr="00F1660D">
        <w:rPr>
          <w:lang w:val="fr-FR"/>
        </w:rPr>
        <w:t>substances conformément aux critères de l’Approche stratégique, en se fondant sur</w:t>
      </w:r>
      <w:r w:rsidR="00A50629" w:rsidRPr="00F1660D">
        <w:rPr>
          <w:lang w:val="fr-FR"/>
        </w:rPr>
        <w:t xml:space="preserve"> la </w:t>
      </w:r>
      <w:r w:rsidRPr="00F1660D">
        <w:rPr>
          <w:lang w:val="fr-FR"/>
        </w:rPr>
        <w:t>réduction</w:t>
      </w:r>
      <w:r w:rsidR="00A50629" w:rsidRPr="00F1660D">
        <w:rPr>
          <w:lang w:val="fr-FR"/>
        </w:rPr>
        <w:t xml:space="preserve"> des </w:t>
      </w:r>
      <w:r w:rsidRPr="00F1660D">
        <w:rPr>
          <w:lang w:val="fr-FR"/>
        </w:rPr>
        <w:t>dangers et</w:t>
      </w:r>
      <w:r w:rsidR="00A50629" w:rsidRPr="00F1660D">
        <w:rPr>
          <w:lang w:val="fr-FR"/>
        </w:rPr>
        <w:t xml:space="preserve"> des </w:t>
      </w:r>
      <w:r w:rsidRPr="00F1660D">
        <w:rPr>
          <w:lang w:val="fr-FR"/>
        </w:rPr>
        <w:t>risques. L’un de ces représentants a déclaré que l’on pourrait</w:t>
      </w:r>
      <w:r w:rsidR="00A50629" w:rsidRPr="00F1660D">
        <w:rPr>
          <w:lang w:val="fr-FR"/>
        </w:rPr>
        <w:t xml:space="preserve"> y </w:t>
      </w:r>
      <w:r w:rsidRPr="00F1660D">
        <w:rPr>
          <w:lang w:val="fr-FR"/>
        </w:rPr>
        <w:t>parvenir en harmonisant</w:t>
      </w:r>
      <w:r w:rsidR="00A50629" w:rsidRPr="00F1660D">
        <w:rPr>
          <w:lang w:val="fr-FR"/>
        </w:rPr>
        <w:t xml:space="preserve"> les </w:t>
      </w:r>
      <w:r w:rsidRPr="00F1660D">
        <w:rPr>
          <w:lang w:val="fr-FR"/>
        </w:rPr>
        <w:t>règles relatives aux substances chimiques contenues dans</w:t>
      </w:r>
      <w:r w:rsidR="00A50629" w:rsidRPr="00F1660D">
        <w:rPr>
          <w:lang w:val="fr-FR"/>
        </w:rPr>
        <w:t xml:space="preserve"> les </w:t>
      </w:r>
      <w:r w:rsidRPr="00F1660D">
        <w:rPr>
          <w:lang w:val="fr-FR"/>
        </w:rPr>
        <w:t>produits, soulignant que</w:t>
      </w:r>
      <w:r w:rsidR="00A50629" w:rsidRPr="00F1660D">
        <w:rPr>
          <w:lang w:val="fr-FR"/>
        </w:rPr>
        <w:t xml:space="preserve"> le </w:t>
      </w:r>
      <w:r w:rsidRPr="00F1660D">
        <w:rPr>
          <w:lang w:val="fr-FR"/>
        </w:rPr>
        <w:t>principal obstacle à</w:t>
      </w:r>
      <w:r w:rsidR="00A50629" w:rsidRPr="00F1660D">
        <w:rPr>
          <w:lang w:val="fr-FR"/>
        </w:rPr>
        <w:t xml:space="preserve"> la </w:t>
      </w:r>
      <w:r w:rsidRPr="00F1660D">
        <w:rPr>
          <w:lang w:val="fr-FR"/>
        </w:rPr>
        <w:t>réalisation</w:t>
      </w:r>
      <w:r w:rsidR="00A50629" w:rsidRPr="00F1660D">
        <w:rPr>
          <w:lang w:val="fr-FR"/>
        </w:rPr>
        <w:t xml:space="preserve"> des </w:t>
      </w:r>
      <w:r w:rsidRPr="00F1660D">
        <w:rPr>
          <w:lang w:val="fr-FR"/>
        </w:rPr>
        <w:t>objectifs du programme portant sur ces substances avait été que</w:t>
      </w:r>
      <w:r w:rsidR="00A50629" w:rsidRPr="00F1660D">
        <w:rPr>
          <w:lang w:val="fr-FR"/>
        </w:rPr>
        <w:t xml:space="preserve"> le </w:t>
      </w:r>
      <w:r w:rsidRPr="00F1660D">
        <w:rPr>
          <w:lang w:val="fr-FR"/>
        </w:rPr>
        <w:t>secteur privé ne communiquait pas d’informations sur</w:t>
      </w:r>
      <w:r w:rsidR="00A50629" w:rsidRPr="00F1660D">
        <w:rPr>
          <w:lang w:val="fr-FR"/>
        </w:rPr>
        <w:t xml:space="preserve"> les </w:t>
      </w:r>
      <w:r w:rsidRPr="00F1660D">
        <w:rPr>
          <w:lang w:val="fr-FR"/>
        </w:rPr>
        <w:t>substances préoccupantes présentes dans</w:t>
      </w:r>
      <w:r w:rsidR="00A50629" w:rsidRPr="00F1660D">
        <w:rPr>
          <w:lang w:val="fr-FR"/>
        </w:rPr>
        <w:t xml:space="preserve"> les </w:t>
      </w:r>
      <w:r w:rsidRPr="00F1660D">
        <w:rPr>
          <w:lang w:val="fr-FR"/>
        </w:rPr>
        <w:t>produits,</w:t>
      </w:r>
      <w:r w:rsidR="00A50629" w:rsidRPr="00F1660D">
        <w:rPr>
          <w:lang w:val="fr-FR"/>
        </w:rPr>
        <w:t xml:space="preserve"> y </w:t>
      </w:r>
      <w:r w:rsidRPr="00F1660D">
        <w:rPr>
          <w:lang w:val="fr-FR"/>
        </w:rPr>
        <w:t>compris dans</w:t>
      </w:r>
      <w:r w:rsidR="00A50629" w:rsidRPr="00F1660D">
        <w:rPr>
          <w:lang w:val="fr-FR"/>
        </w:rPr>
        <w:t xml:space="preserve"> les </w:t>
      </w:r>
      <w:r w:rsidRPr="00F1660D">
        <w:rPr>
          <w:lang w:val="fr-FR"/>
        </w:rPr>
        <w:t>produits d’hygiène et ceux destinés aux enfants, ni sur tous</w:t>
      </w:r>
      <w:r w:rsidR="00A50629" w:rsidRPr="00F1660D">
        <w:rPr>
          <w:lang w:val="fr-FR"/>
        </w:rPr>
        <w:t xml:space="preserve"> les </w:t>
      </w:r>
      <w:r w:rsidRPr="00F1660D">
        <w:rPr>
          <w:lang w:val="fr-FR"/>
        </w:rPr>
        <w:t>ingrédients chimiques qui</w:t>
      </w:r>
      <w:r w:rsidR="00A50629" w:rsidRPr="00F1660D">
        <w:rPr>
          <w:lang w:val="fr-FR"/>
        </w:rPr>
        <w:t xml:space="preserve"> s’y </w:t>
      </w:r>
      <w:r w:rsidRPr="00F1660D">
        <w:rPr>
          <w:lang w:val="fr-FR"/>
        </w:rPr>
        <w:t>trouvaient ou sur</w:t>
      </w:r>
      <w:r w:rsidR="00A50629" w:rsidRPr="00F1660D">
        <w:rPr>
          <w:lang w:val="fr-FR"/>
        </w:rPr>
        <w:t xml:space="preserve"> les </w:t>
      </w:r>
      <w:r w:rsidRPr="00F1660D">
        <w:rPr>
          <w:lang w:val="fr-FR"/>
        </w:rPr>
        <w:t>possibles effets sur</w:t>
      </w:r>
      <w:r w:rsidR="00A50629" w:rsidRPr="00F1660D">
        <w:rPr>
          <w:lang w:val="fr-FR"/>
        </w:rPr>
        <w:t xml:space="preserve"> la </w:t>
      </w:r>
      <w:r w:rsidRPr="00F1660D">
        <w:rPr>
          <w:lang w:val="fr-FR"/>
        </w:rPr>
        <w:t>santé ou</w:t>
      </w:r>
      <w:r w:rsidR="00A50629" w:rsidRPr="00F1660D">
        <w:rPr>
          <w:lang w:val="fr-FR"/>
        </w:rPr>
        <w:t xml:space="preserve"> les </w:t>
      </w:r>
      <w:r w:rsidRPr="00F1660D">
        <w:rPr>
          <w:lang w:val="fr-FR"/>
        </w:rPr>
        <w:t>voies d’exposition.</w:t>
      </w:r>
    </w:p>
    <w:p w14:paraId="25D1721C" w14:textId="66667462" w:rsidR="00793C3B" w:rsidRPr="00F1660D" w:rsidRDefault="00793C3B" w:rsidP="004E6786">
      <w:pPr>
        <w:pStyle w:val="CH3"/>
        <w:rPr>
          <w:lang w:val="fr-FR"/>
        </w:rPr>
      </w:pPr>
      <w:r w:rsidRPr="00F1660D">
        <w:rPr>
          <w:lang w:val="fr-FR"/>
        </w:rPr>
        <w:tab/>
        <w:t>3.</w:t>
      </w:r>
      <w:r w:rsidRPr="00F1660D">
        <w:rPr>
          <w:lang w:val="fr-FR"/>
        </w:rPr>
        <w:tab/>
        <w:t>Substances dangereuses présentes tout</w:t>
      </w:r>
      <w:r w:rsidR="00A50629" w:rsidRPr="00F1660D">
        <w:rPr>
          <w:lang w:val="fr-FR"/>
        </w:rPr>
        <w:t xml:space="preserve"> au </w:t>
      </w:r>
      <w:r w:rsidRPr="00F1660D">
        <w:rPr>
          <w:lang w:val="fr-FR"/>
        </w:rPr>
        <w:t>long du cycle de vie</w:t>
      </w:r>
      <w:r w:rsidR="00A50629" w:rsidRPr="00F1660D">
        <w:rPr>
          <w:lang w:val="fr-FR"/>
        </w:rPr>
        <w:t xml:space="preserve"> des </w:t>
      </w:r>
      <w:r w:rsidRPr="00F1660D">
        <w:rPr>
          <w:lang w:val="fr-FR"/>
        </w:rPr>
        <w:t>équipements électriques et</w:t>
      </w:r>
      <w:r w:rsidR="00592CC7" w:rsidRPr="00F1660D">
        <w:rPr>
          <w:lang w:val="fr-FR"/>
        </w:rPr>
        <w:t> </w:t>
      </w:r>
      <w:r w:rsidRPr="00F1660D">
        <w:rPr>
          <w:lang w:val="fr-FR"/>
        </w:rPr>
        <w:t>électroniques</w:t>
      </w:r>
    </w:p>
    <w:p w14:paraId="46459258" w14:textId="31D1BBDE" w:rsidR="0026169C" w:rsidRPr="00F1660D" w:rsidRDefault="0026169C" w:rsidP="004E6786">
      <w:pPr>
        <w:pStyle w:val="Normalnumber"/>
        <w:rPr>
          <w:lang w:val="fr-FR"/>
        </w:rPr>
      </w:pPr>
      <w:r w:rsidRPr="00F1660D">
        <w:rPr>
          <w:lang w:val="fr-FR"/>
        </w:rPr>
        <w:t>Une représentante de l’OIT a présenté ce sous-point</w:t>
      </w:r>
      <w:r w:rsidR="00A50629" w:rsidRPr="00F1660D">
        <w:rPr>
          <w:lang w:val="fr-FR"/>
        </w:rPr>
        <w:t xml:space="preserve"> au </w:t>
      </w:r>
      <w:r w:rsidRPr="00F1660D">
        <w:rPr>
          <w:lang w:val="fr-FR"/>
        </w:rPr>
        <w:t>nom de l’Organisation</w:t>
      </w:r>
      <w:r w:rsidR="00A50629" w:rsidRPr="00F1660D">
        <w:rPr>
          <w:lang w:val="fr-FR"/>
        </w:rPr>
        <w:t xml:space="preserve"> des </w:t>
      </w:r>
      <w:r w:rsidR="002C67A2" w:rsidRPr="00F1660D">
        <w:rPr>
          <w:lang w:val="fr-FR"/>
        </w:rPr>
        <w:t>Nations Unies</w:t>
      </w:r>
      <w:r w:rsidRPr="00F1660D">
        <w:rPr>
          <w:lang w:val="fr-FR"/>
        </w:rPr>
        <w:t xml:space="preserve"> pour</w:t>
      </w:r>
      <w:r w:rsidR="00A50629" w:rsidRPr="00F1660D">
        <w:rPr>
          <w:lang w:val="fr-FR"/>
        </w:rPr>
        <w:t xml:space="preserve"> le </w:t>
      </w:r>
      <w:r w:rsidRPr="00F1660D">
        <w:rPr>
          <w:lang w:val="fr-FR"/>
        </w:rPr>
        <w:t>développement industriel (ONUDI), qui dirigeait</w:t>
      </w:r>
      <w:r w:rsidR="00A50629" w:rsidRPr="00F1660D">
        <w:rPr>
          <w:lang w:val="fr-FR"/>
        </w:rPr>
        <w:t xml:space="preserve"> les </w:t>
      </w:r>
      <w:r w:rsidRPr="00F1660D">
        <w:rPr>
          <w:lang w:val="fr-FR"/>
        </w:rPr>
        <w:t>travaux sur cette nouvelle question de politique générale en collaboration avec</w:t>
      </w:r>
      <w:r w:rsidR="00A50629" w:rsidRPr="00F1660D">
        <w:rPr>
          <w:lang w:val="fr-FR"/>
        </w:rPr>
        <w:t xml:space="preserve"> le </w:t>
      </w:r>
      <w:r w:rsidRPr="00F1660D">
        <w:rPr>
          <w:lang w:val="fr-FR"/>
        </w:rPr>
        <w:t>secrétariat</w:t>
      </w:r>
      <w:r w:rsidR="00A50629" w:rsidRPr="00F1660D">
        <w:rPr>
          <w:lang w:val="fr-FR"/>
        </w:rPr>
        <w:t xml:space="preserve"> des </w:t>
      </w:r>
      <w:r w:rsidR="00044E9E" w:rsidRPr="00F1660D">
        <w:rPr>
          <w:lang w:val="fr-FR"/>
        </w:rPr>
        <w:t>c</w:t>
      </w:r>
      <w:r w:rsidR="00755A6D" w:rsidRPr="00F1660D">
        <w:rPr>
          <w:lang w:val="fr-FR"/>
        </w:rPr>
        <w:t>onventions de Bâle, de </w:t>
      </w:r>
      <w:r w:rsidRPr="00F1660D">
        <w:rPr>
          <w:lang w:val="fr-FR"/>
        </w:rPr>
        <w:t>Rotterdam et de Stockholm et</w:t>
      </w:r>
      <w:r w:rsidR="00A50629" w:rsidRPr="00F1660D">
        <w:rPr>
          <w:lang w:val="fr-FR"/>
        </w:rPr>
        <w:t xml:space="preserve"> le </w:t>
      </w:r>
      <w:r w:rsidRPr="00F1660D">
        <w:rPr>
          <w:lang w:val="fr-FR"/>
        </w:rPr>
        <w:t>Centre international d’écotechnologie du PNUE. Elle a souligné</w:t>
      </w:r>
      <w:r w:rsidR="00A50629" w:rsidRPr="00F1660D">
        <w:rPr>
          <w:lang w:val="fr-FR"/>
        </w:rPr>
        <w:t xml:space="preserve"> les </w:t>
      </w:r>
      <w:r w:rsidRPr="00F1660D">
        <w:rPr>
          <w:lang w:val="fr-FR"/>
        </w:rPr>
        <w:t>activités connexes menées par l’ONUDI dans</w:t>
      </w:r>
      <w:r w:rsidR="00A50629" w:rsidRPr="00F1660D">
        <w:rPr>
          <w:lang w:val="fr-FR"/>
        </w:rPr>
        <w:t xml:space="preserve"> le </w:t>
      </w:r>
      <w:r w:rsidRPr="00F1660D">
        <w:rPr>
          <w:lang w:val="fr-FR"/>
        </w:rPr>
        <w:t>cadre de son plan de travail pour</w:t>
      </w:r>
      <w:r w:rsidR="00A50629" w:rsidRPr="00F1660D">
        <w:rPr>
          <w:lang w:val="fr-FR"/>
        </w:rPr>
        <w:t xml:space="preserve"> la </w:t>
      </w:r>
      <w:r w:rsidRPr="00F1660D">
        <w:rPr>
          <w:lang w:val="fr-FR"/>
        </w:rPr>
        <w:t>période 2016-2020. Le financement de nombreuses activités prévues dans ce plan ne s’était pas concrétisé, mais d’autres travaux se poursuivaient jusqu’en 2020, sur</w:t>
      </w:r>
      <w:r w:rsidR="00A50629" w:rsidRPr="00F1660D">
        <w:rPr>
          <w:lang w:val="fr-FR"/>
        </w:rPr>
        <w:t xml:space="preserve"> la </w:t>
      </w:r>
      <w:r w:rsidRPr="00F1660D">
        <w:rPr>
          <w:lang w:val="fr-FR"/>
        </w:rPr>
        <w:t>promotion</w:t>
      </w:r>
      <w:r w:rsidR="00A50629" w:rsidRPr="00F1660D">
        <w:rPr>
          <w:lang w:val="fr-FR"/>
        </w:rPr>
        <w:t xml:space="preserve"> des </w:t>
      </w:r>
      <w:r w:rsidRPr="00F1660D">
        <w:rPr>
          <w:lang w:val="fr-FR"/>
        </w:rPr>
        <w:t>achats verts,</w:t>
      </w:r>
      <w:r w:rsidR="00A50629" w:rsidRPr="00F1660D">
        <w:rPr>
          <w:lang w:val="fr-FR"/>
        </w:rPr>
        <w:t xml:space="preserve"> la </w:t>
      </w:r>
      <w:r w:rsidRPr="00F1660D">
        <w:rPr>
          <w:lang w:val="fr-FR"/>
        </w:rPr>
        <w:t>conception</w:t>
      </w:r>
      <w:r w:rsidR="00A50629" w:rsidRPr="00F1660D">
        <w:rPr>
          <w:lang w:val="fr-FR"/>
        </w:rPr>
        <w:t xml:space="preserve"> au </w:t>
      </w:r>
      <w:r w:rsidRPr="00F1660D">
        <w:rPr>
          <w:lang w:val="fr-FR"/>
        </w:rPr>
        <w:t>service de l’environnement et</w:t>
      </w:r>
      <w:r w:rsidR="00A50629" w:rsidRPr="00F1660D">
        <w:rPr>
          <w:lang w:val="fr-FR"/>
        </w:rPr>
        <w:t xml:space="preserve"> le </w:t>
      </w:r>
      <w:r w:rsidRPr="00F1660D">
        <w:rPr>
          <w:lang w:val="fr-FR"/>
        </w:rPr>
        <w:t>suivi</w:t>
      </w:r>
      <w:r w:rsidR="00A50629" w:rsidRPr="00F1660D">
        <w:rPr>
          <w:lang w:val="fr-FR"/>
        </w:rPr>
        <w:t xml:space="preserve"> des </w:t>
      </w:r>
      <w:r w:rsidRPr="00F1660D">
        <w:rPr>
          <w:lang w:val="fr-FR"/>
        </w:rPr>
        <w:t>substances dans</w:t>
      </w:r>
      <w:r w:rsidR="00A50629" w:rsidRPr="00F1660D">
        <w:rPr>
          <w:lang w:val="fr-FR"/>
        </w:rPr>
        <w:t xml:space="preserve"> le </w:t>
      </w:r>
      <w:r w:rsidRPr="00F1660D">
        <w:rPr>
          <w:lang w:val="fr-FR"/>
        </w:rPr>
        <w:t>processus de fabrication tout</w:t>
      </w:r>
      <w:r w:rsidR="00A50629" w:rsidRPr="00F1660D">
        <w:rPr>
          <w:lang w:val="fr-FR"/>
        </w:rPr>
        <w:t xml:space="preserve"> au </w:t>
      </w:r>
      <w:r w:rsidRPr="00F1660D">
        <w:rPr>
          <w:lang w:val="fr-FR"/>
        </w:rPr>
        <w:t>long du cycle de vie d’un produit. Parallèlement, d’autres acteurs de l’Approche stratégique, comme l’OMS,</w:t>
      </w:r>
      <w:r w:rsidR="00A50629" w:rsidRPr="00F1660D">
        <w:rPr>
          <w:lang w:val="fr-FR"/>
        </w:rPr>
        <w:t xml:space="preserve"> la </w:t>
      </w:r>
      <w:r w:rsidRPr="00F1660D">
        <w:rPr>
          <w:lang w:val="fr-FR"/>
        </w:rPr>
        <w:t>Banque mondiale,</w:t>
      </w:r>
      <w:r w:rsidR="00A50629" w:rsidRPr="00F1660D">
        <w:rPr>
          <w:lang w:val="fr-FR"/>
        </w:rPr>
        <w:t xml:space="preserve"> le </w:t>
      </w:r>
      <w:r w:rsidRPr="00F1660D">
        <w:rPr>
          <w:lang w:val="fr-FR"/>
        </w:rPr>
        <w:t>PNUD,</w:t>
      </w:r>
      <w:r w:rsidR="00A50629" w:rsidRPr="00F1660D">
        <w:rPr>
          <w:lang w:val="fr-FR"/>
        </w:rPr>
        <w:t xml:space="preserve"> le </w:t>
      </w:r>
      <w:r w:rsidRPr="00F1660D">
        <w:rPr>
          <w:lang w:val="fr-FR"/>
        </w:rPr>
        <w:t>PNU</w:t>
      </w:r>
      <w:r w:rsidR="00606A8F" w:rsidRPr="00F1660D">
        <w:rPr>
          <w:lang w:val="fr-FR"/>
        </w:rPr>
        <w:t>E</w:t>
      </w:r>
      <w:r w:rsidRPr="00F1660D">
        <w:rPr>
          <w:lang w:val="fr-FR"/>
        </w:rPr>
        <w:t xml:space="preserve"> et l’OIT, s’attaquaient également à</w:t>
      </w:r>
      <w:r w:rsidR="00A50629" w:rsidRPr="00F1660D">
        <w:rPr>
          <w:lang w:val="fr-FR"/>
        </w:rPr>
        <w:t xml:space="preserve"> la </w:t>
      </w:r>
      <w:r w:rsidRPr="00F1660D">
        <w:rPr>
          <w:lang w:val="fr-FR"/>
        </w:rPr>
        <w:t>question</w:t>
      </w:r>
      <w:r w:rsidR="00A50629" w:rsidRPr="00F1660D">
        <w:rPr>
          <w:lang w:val="fr-FR"/>
        </w:rPr>
        <w:t xml:space="preserve"> des </w:t>
      </w:r>
      <w:r w:rsidRPr="00F1660D">
        <w:rPr>
          <w:lang w:val="fr-FR"/>
        </w:rPr>
        <w:t>substances dangereuses dans</w:t>
      </w:r>
      <w:r w:rsidR="00A50629" w:rsidRPr="00F1660D">
        <w:rPr>
          <w:lang w:val="fr-FR"/>
        </w:rPr>
        <w:t xml:space="preserve"> le </w:t>
      </w:r>
      <w:r w:rsidRPr="00F1660D">
        <w:rPr>
          <w:lang w:val="fr-FR"/>
        </w:rPr>
        <w:t>cycle de vie</w:t>
      </w:r>
      <w:r w:rsidR="00A50629" w:rsidRPr="00F1660D">
        <w:rPr>
          <w:lang w:val="fr-FR"/>
        </w:rPr>
        <w:t xml:space="preserve"> des </w:t>
      </w:r>
      <w:r w:rsidRPr="00F1660D">
        <w:rPr>
          <w:lang w:val="fr-FR"/>
        </w:rPr>
        <w:t>produits électriques et électroniques dans divers aspects de leur action.</w:t>
      </w:r>
    </w:p>
    <w:p w14:paraId="760C1454" w14:textId="493BC00E" w:rsidR="0026169C" w:rsidRPr="00F1660D" w:rsidRDefault="0026169C" w:rsidP="004E6786">
      <w:pPr>
        <w:pStyle w:val="Normalnumber"/>
        <w:rPr>
          <w:lang w:val="fr-FR"/>
        </w:rPr>
      </w:pPr>
      <w:r w:rsidRPr="00F1660D">
        <w:rPr>
          <w:lang w:val="fr-FR"/>
        </w:rPr>
        <w:t>Au cours</w:t>
      </w:r>
      <w:r w:rsidR="00A50629" w:rsidRPr="00F1660D">
        <w:rPr>
          <w:lang w:val="fr-FR"/>
        </w:rPr>
        <w:t xml:space="preserve"> d</w:t>
      </w:r>
      <w:r w:rsidR="00606A8F" w:rsidRPr="00F1660D">
        <w:rPr>
          <w:lang w:val="fr-FR"/>
        </w:rPr>
        <w:t>u</w:t>
      </w:r>
      <w:r w:rsidR="00A50629" w:rsidRPr="00F1660D">
        <w:rPr>
          <w:lang w:val="fr-FR"/>
        </w:rPr>
        <w:t> </w:t>
      </w:r>
      <w:r w:rsidRPr="00F1660D">
        <w:rPr>
          <w:lang w:val="fr-FR"/>
        </w:rPr>
        <w:t xml:space="preserve">débat qui </w:t>
      </w:r>
      <w:r w:rsidR="00606A8F" w:rsidRPr="00F1660D">
        <w:rPr>
          <w:lang w:val="fr-FR"/>
        </w:rPr>
        <w:t>a</w:t>
      </w:r>
      <w:r w:rsidRPr="00F1660D">
        <w:rPr>
          <w:lang w:val="fr-FR"/>
        </w:rPr>
        <w:t xml:space="preserve"> suivi, une représentante s’est dite en faveur du plan de travail de l’IOMC, parce qu’il mettait l’accent sur ce qu’elle a décrit comme</w:t>
      </w:r>
      <w:r w:rsidR="00A50629" w:rsidRPr="00F1660D">
        <w:rPr>
          <w:lang w:val="fr-FR"/>
        </w:rPr>
        <w:t xml:space="preserve"> les </w:t>
      </w:r>
      <w:r w:rsidRPr="00F1660D">
        <w:rPr>
          <w:lang w:val="fr-FR"/>
        </w:rPr>
        <w:t>domaines où l’Approche stratégique pouvait potentiellement apporter une valeur ajoutée : activités de gestion en amont du cycle de vie, comme dans</w:t>
      </w:r>
      <w:r w:rsidR="00A50629" w:rsidRPr="00F1660D">
        <w:rPr>
          <w:lang w:val="fr-FR"/>
        </w:rPr>
        <w:t xml:space="preserve"> les </w:t>
      </w:r>
      <w:r w:rsidRPr="00F1660D">
        <w:rPr>
          <w:lang w:val="fr-FR"/>
        </w:rPr>
        <w:t>phases de conception, de fabrication et d’a</w:t>
      </w:r>
      <w:r w:rsidR="00755A6D" w:rsidRPr="00F1660D">
        <w:rPr>
          <w:lang w:val="fr-FR"/>
        </w:rPr>
        <w:t>chat de produits électriques et </w:t>
      </w:r>
      <w:r w:rsidRPr="00F1660D">
        <w:rPr>
          <w:lang w:val="fr-FR"/>
        </w:rPr>
        <w:t>électroniques, et</w:t>
      </w:r>
      <w:r w:rsidR="00A50629" w:rsidRPr="00F1660D">
        <w:rPr>
          <w:lang w:val="fr-FR"/>
        </w:rPr>
        <w:t xml:space="preserve"> le </w:t>
      </w:r>
      <w:r w:rsidRPr="00F1660D">
        <w:rPr>
          <w:lang w:val="fr-FR"/>
        </w:rPr>
        <w:t>renforcement</w:t>
      </w:r>
      <w:r w:rsidR="00A50629" w:rsidRPr="00F1660D">
        <w:rPr>
          <w:lang w:val="fr-FR"/>
        </w:rPr>
        <w:t xml:space="preserve"> des </w:t>
      </w:r>
      <w:r w:rsidRPr="00F1660D">
        <w:rPr>
          <w:lang w:val="fr-FR"/>
        </w:rPr>
        <w:t>capacités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électroniques autres que</w:t>
      </w:r>
      <w:r w:rsidR="00A50629" w:rsidRPr="00F1660D">
        <w:rPr>
          <w:lang w:val="fr-FR"/>
        </w:rPr>
        <w:t xml:space="preserve"> les </w:t>
      </w:r>
      <w:r w:rsidRPr="00F1660D">
        <w:rPr>
          <w:lang w:val="fr-FR"/>
        </w:rPr>
        <w:t>déchets. Ainsi, l’Approche stratégique ne faisait pas double emploi avec</w:t>
      </w:r>
      <w:r w:rsidR="00A50629" w:rsidRPr="00F1660D">
        <w:rPr>
          <w:lang w:val="fr-FR"/>
        </w:rPr>
        <w:t xml:space="preserve"> les </w:t>
      </w:r>
      <w:r w:rsidRPr="00F1660D">
        <w:rPr>
          <w:lang w:val="fr-FR"/>
        </w:rPr>
        <w:t>efforts entrepris</w:t>
      </w:r>
      <w:r w:rsidR="00A50629" w:rsidRPr="00F1660D">
        <w:rPr>
          <w:lang w:val="fr-FR"/>
        </w:rPr>
        <w:t xml:space="preserve"> au </w:t>
      </w:r>
      <w:r w:rsidRPr="00F1660D">
        <w:rPr>
          <w:lang w:val="fr-FR"/>
        </w:rPr>
        <w:t>titre de</w:t>
      </w:r>
      <w:r w:rsidR="00A50629" w:rsidRPr="00F1660D">
        <w:rPr>
          <w:lang w:val="fr-FR"/>
        </w:rPr>
        <w:t xml:space="preserve"> la </w:t>
      </w:r>
      <w:r w:rsidRPr="00F1660D">
        <w:rPr>
          <w:lang w:val="fr-FR"/>
        </w:rPr>
        <w:t>Convention de Bâle sur</w:t>
      </w:r>
      <w:r w:rsidR="00A50629" w:rsidRPr="00F1660D">
        <w:rPr>
          <w:lang w:val="fr-FR"/>
        </w:rPr>
        <w:t xml:space="preserve"> le </w:t>
      </w:r>
      <w:r w:rsidRPr="00F1660D">
        <w:rPr>
          <w:lang w:val="fr-FR"/>
        </w:rPr>
        <w:t>contrôle</w:t>
      </w:r>
      <w:r w:rsidR="00A50629" w:rsidRPr="00F1660D">
        <w:rPr>
          <w:lang w:val="fr-FR"/>
        </w:rPr>
        <w:t xml:space="preserve"> des </w:t>
      </w:r>
      <w:r w:rsidRPr="00F1660D">
        <w:rPr>
          <w:lang w:val="fr-FR"/>
        </w:rPr>
        <w:t>mouvements transfrontières de déchets dangereux et de leur élimination. Un représentant d’une organisation non gouvernementale a également invité à adopter une approche qui mette en avant une gestion en amont, afin de limiter autant que possible</w:t>
      </w:r>
      <w:r w:rsidR="00A50629" w:rsidRPr="00F1660D">
        <w:rPr>
          <w:lang w:val="fr-FR"/>
        </w:rPr>
        <w:t xml:space="preserve"> les </w:t>
      </w:r>
      <w:r w:rsidRPr="00F1660D">
        <w:rPr>
          <w:lang w:val="fr-FR"/>
        </w:rPr>
        <w:t>dangers en aval et en fin de vie, en appliquant</w:t>
      </w:r>
      <w:r w:rsidR="00A50629" w:rsidRPr="00F1660D">
        <w:rPr>
          <w:lang w:val="fr-FR"/>
        </w:rPr>
        <w:t xml:space="preserve"> le </w:t>
      </w:r>
      <w:r w:rsidRPr="00F1660D">
        <w:rPr>
          <w:lang w:val="fr-FR"/>
        </w:rPr>
        <w:t>principe de responsabilité élargie du producteur pour répondre aux questions qui se posent en aval.</w:t>
      </w:r>
      <w:bookmarkStart w:id="22" w:name="_Hlk5202301"/>
      <w:bookmarkEnd w:id="22"/>
    </w:p>
    <w:p w14:paraId="6F136C7E" w14:textId="6D32D55C" w:rsidR="00793C3B" w:rsidRPr="00F1660D" w:rsidRDefault="0026169C" w:rsidP="004E6786">
      <w:pPr>
        <w:pStyle w:val="Normalnumber"/>
        <w:rPr>
          <w:lang w:val="fr-FR"/>
        </w:rPr>
      </w:pPr>
      <w:r w:rsidRPr="00F1660D">
        <w:rPr>
          <w:lang w:val="fr-FR"/>
        </w:rPr>
        <w:t>Un autre représentant a souligné qu’il fallait un engagement solide</w:t>
      </w:r>
      <w:r w:rsidR="00A50629" w:rsidRPr="00F1660D">
        <w:rPr>
          <w:lang w:val="fr-FR"/>
        </w:rPr>
        <w:t xml:space="preserve"> des </w:t>
      </w:r>
      <w:r w:rsidRPr="00F1660D">
        <w:rPr>
          <w:lang w:val="fr-FR"/>
        </w:rPr>
        <w:t>gouvernements et</w:t>
      </w:r>
      <w:r w:rsidR="00A50629" w:rsidRPr="00F1660D">
        <w:rPr>
          <w:lang w:val="fr-FR"/>
        </w:rPr>
        <w:t xml:space="preserve"> la </w:t>
      </w:r>
      <w:r w:rsidRPr="00F1660D">
        <w:rPr>
          <w:lang w:val="fr-FR"/>
        </w:rPr>
        <w:t>transposition</w:t>
      </w:r>
      <w:r w:rsidR="00A50629" w:rsidRPr="00F1660D">
        <w:rPr>
          <w:lang w:val="fr-FR"/>
        </w:rPr>
        <w:t xml:space="preserve"> des </w:t>
      </w:r>
      <w:r w:rsidRPr="00F1660D">
        <w:rPr>
          <w:lang w:val="fr-FR"/>
        </w:rPr>
        <w:t>conventions signées en un cadre juridique national pour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déchets électriques et électroniques. Dans sa région, il était en outre essentiel de réglementer</w:t>
      </w:r>
      <w:r w:rsidR="00A50629" w:rsidRPr="00F1660D">
        <w:rPr>
          <w:lang w:val="fr-FR"/>
        </w:rPr>
        <w:t xml:space="preserve"> le </w:t>
      </w:r>
      <w:r w:rsidRPr="00F1660D">
        <w:rPr>
          <w:lang w:val="fr-FR"/>
        </w:rPr>
        <w:t>secteur informel qui gérait souvent ces déchets et de créer</w:t>
      </w:r>
      <w:r w:rsidR="00A50629" w:rsidRPr="00F1660D">
        <w:rPr>
          <w:lang w:val="fr-FR"/>
        </w:rPr>
        <w:t xml:space="preserve"> des </w:t>
      </w:r>
      <w:r w:rsidRPr="00F1660D">
        <w:rPr>
          <w:lang w:val="fr-FR"/>
        </w:rPr>
        <w:t>emplois « verts » décents.</w:t>
      </w:r>
    </w:p>
    <w:p w14:paraId="5736132F" w14:textId="053652CE" w:rsidR="00793C3B" w:rsidRPr="00F1660D" w:rsidRDefault="00793C3B" w:rsidP="004E6786">
      <w:pPr>
        <w:pStyle w:val="CH3"/>
        <w:rPr>
          <w:b w:val="0"/>
          <w:lang w:val="fr-FR"/>
        </w:rPr>
      </w:pPr>
      <w:r w:rsidRPr="00F1660D">
        <w:rPr>
          <w:lang w:val="fr-FR"/>
        </w:rPr>
        <w:tab/>
        <w:t>4.</w:t>
      </w:r>
      <w:r w:rsidRPr="00F1660D">
        <w:rPr>
          <w:lang w:val="fr-FR"/>
        </w:rPr>
        <w:tab/>
        <w:t>Nanotechnologies et nanomatériaux manufacturés</w:t>
      </w:r>
    </w:p>
    <w:p w14:paraId="508AE430" w14:textId="1611D8DD" w:rsidR="00793C3B" w:rsidRPr="00F1660D" w:rsidRDefault="0026169C" w:rsidP="004E6786">
      <w:pPr>
        <w:pStyle w:val="Normalnumber"/>
        <w:rPr>
          <w:lang w:val="fr-FR"/>
        </w:rPr>
      </w:pPr>
      <w:r w:rsidRPr="00F1660D">
        <w:rPr>
          <w:lang w:val="fr-FR"/>
        </w:rPr>
        <w:t>Présentant ce sous-point,</w:t>
      </w:r>
      <w:r w:rsidR="00A50629" w:rsidRPr="00F1660D">
        <w:rPr>
          <w:lang w:val="fr-FR"/>
        </w:rPr>
        <w:t xml:space="preserve"> le </w:t>
      </w:r>
      <w:r w:rsidRPr="00F1660D">
        <w:rPr>
          <w:lang w:val="fr-FR"/>
        </w:rPr>
        <w:t>représentant de l’UNITAR, s’exprimant également</w:t>
      </w:r>
      <w:r w:rsidR="00A50629" w:rsidRPr="00F1660D">
        <w:rPr>
          <w:lang w:val="fr-FR"/>
        </w:rPr>
        <w:t xml:space="preserve"> au </w:t>
      </w:r>
      <w:r w:rsidRPr="00F1660D">
        <w:rPr>
          <w:lang w:val="fr-FR"/>
        </w:rPr>
        <w:t>nom de l’OCDE, a donné un aperçu</w:t>
      </w:r>
      <w:r w:rsidR="00A50629" w:rsidRPr="00F1660D">
        <w:rPr>
          <w:lang w:val="fr-FR"/>
        </w:rPr>
        <w:t xml:space="preserve"> des </w:t>
      </w:r>
      <w:r w:rsidRPr="00F1660D">
        <w:rPr>
          <w:lang w:val="fr-FR"/>
        </w:rPr>
        <w:t>activité</w:t>
      </w:r>
      <w:r w:rsidR="00755A6D" w:rsidRPr="00F1660D">
        <w:rPr>
          <w:lang w:val="fr-FR"/>
        </w:rPr>
        <w:t>s</w:t>
      </w:r>
      <w:r w:rsidRPr="00F1660D">
        <w:rPr>
          <w:lang w:val="fr-FR"/>
        </w:rPr>
        <w:t xml:space="preserve"> menées par</w:t>
      </w:r>
      <w:r w:rsidR="00A50629" w:rsidRPr="00F1660D">
        <w:rPr>
          <w:lang w:val="fr-FR"/>
        </w:rPr>
        <w:t xml:space="preserve"> les </w:t>
      </w:r>
      <w:r w:rsidRPr="00F1660D">
        <w:rPr>
          <w:lang w:val="fr-FR"/>
        </w:rPr>
        <w:t>deux entités et leurs partenaires dans</w:t>
      </w:r>
      <w:r w:rsidR="00A50629" w:rsidRPr="00F1660D">
        <w:rPr>
          <w:lang w:val="fr-FR"/>
        </w:rPr>
        <w:t xml:space="preserve"> le </w:t>
      </w:r>
      <w:r w:rsidRPr="00F1660D">
        <w:rPr>
          <w:lang w:val="fr-FR"/>
        </w:rPr>
        <w:t>domaine</w:t>
      </w:r>
      <w:r w:rsidR="00A50629" w:rsidRPr="00F1660D">
        <w:rPr>
          <w:lang w:val="fr-FR"/>
        </w:rPr>
        <w:t xml:space="preserve"> des </w:t>
      </w:r>
      <w:r w:rsidRPr="00F1660D">
        <w:rPr>
          <w:lang w:val="fr-FR"/>
        </w:rPr>
        <w:t>nanotechnologies et</w:t>
      </w:r>
      <w:r w:rsidR="00A50629" w:rsidRPr="00F1660D">
        <w:rPr>
          <w:lang w:val="fr-FR"/>
        </w:rPr>
        <w:t xml:space="preserve"> des </w:t>
      </w:r>
      <w:r w:rsidRPr="00F1660D">
        <w:rPr>
          <w:lang w:val="fr-FR"/>
        </w:rPr>
        <w:t>nanomatériaux manufacturés, décrites plus en détail dans</w:t>
      </w:r>
      <w:r w:rsidR="00A50629" w:rsidRPr="00F1660D">
        <w:rPr>
          <w:lang w:val="fr-FR"/>
        </w:rPr>
        <w:t xml:space="preserve"> le </w:t>
      </w:r>
      <w:r w:rsidRPr="00F1660D">
        <w:rPr>
          <w:lang w:val="fr-FR"/>
        </w:rPr>
        <w:t>document SAICM/OEWG.3/6. On avait bien progressé dans ce domaine à ce jour, mais il restait encore beaucoup à faire. Parmi</w:t>
      </w:r>
      <w:r w:rsidR="00A50629" w:rsidRPr="00F1660D">
        <w:rPr>
          <w:lang w:val="fr-FR"/>
        </w:rPr>
        <w:t xml:space="preserve"> les </w:t>
      </w:r>
      <w:r w:rsidRPr="00F1660D">
        <w:rPr>
          <w:lang w:val="fr-FR"/>
        </w:rPr>
        <w:t>travaux à venir, l’UNITAR organiserait d’autres ateliers régionaux pour partager plus d’informations sur</w:t>
      </w:r>
      <w:r w:rsidR="00A50629" w:rsidRPr="00F1660D">
        <w:rPr>
          <w:lang w:val="fr-FR"/>
        </w:rPr>
        <w:t xml:space="preserve"> la </w:t>
      </w:r>
      <w:proofErr w:type="spellStart"/>
      <w:r w:rsidRPr="00F1660D">
        <w:rPr>
          <w:lang w:val="fr-FR"/>
        </w:rPr>
        <w:t>nanosécurité</w:t>
      </w:r>
      <w:proofErr w:type="spellEnd"/>
      <w:r w:rsidRPr="00F1660D">
        <w:rPr>
          <w:lang w:val="fr-FR"/>
        </w:rPr>
        <w:t xml:space="preserve"> et poursuivre</w:t>
      </w:r>
      <w:r w:rsidR="00A50629" w:rsidRPr="00F1660D">
        <w:rPr>
          <w:lang w:val="fr-FR"/>
        </w:rPr>
        <w:t xml:space="preserve"> la </w:t>
      </w:r>
      <w:r w:rsidRPr="00F1660D">
        <w:rPr>
          <w:lang w:val="fr-FR"/>
        </w:rPr>
        <w:t>mise en réseaux</w:t>
      </w:r>
      <w:r w:rsidR="00A50629" w:rsidRPr="00F1660D">
        <w:rPr>
          <w:lang w:val="fr-FR"/>
        </w:rPr>
        <w:t xml:space="preserve"> des </w:t>
      </w:r>
      <w:r w:rsidRPr="00F1660D">
        <w:rPr>
          <w:lang w:val="fr-FR"/>
        </w:rPr>
        <w:t>experts et parties prenantes régionaux, tandis que l’OCDE mettrait l’accent sur l’élaboration d’autres lignes directrices et méthodes pour</w:t>
      </w:r>
      <w:r w:rsidR="00A50629" w:rsidRPr="00F1660D">
        <w:rPr>
          <w:lang w:val="fr-FR"/>
        </w:rPr>
        <w:t xml:space="preserve"> les </w:t>
      </w:r>
      <w:r w:rsidRPr="00F1660D">
        <w:rPr>
          <w:lang w:val="fr-FR"/>
        </w:rPr>
        <w:t>essais afin d’évaluer l’exposition du consommateur et de l’environnement.</w:t>
      </w:r>
      <w:r w:rsidR="00A50629" w:rsidRPr="00F1660D">
        <w:rPr>
          <w:lang w:val="fr-FR"/>
        </w:rPr>
        <w:t xml:space="preserve"> Les </w:t>
      </w:r>
      <w:r w:rsidRPr="00F1660D">
        <w:rPr>
          <w:lang w:val="fr-FR"/>
        </w:rPr>
        <w:t>deux entités demeuraient résolues à travailler sur ce qu’elles considéraient être une nouvelle question de politique générale importante jusqu’en 2020 et au-delà.</w:t>
      </w:r>
    </w:p>
    <w:p w14:paraId="7B60F7C6" w14:textId="5E815882" w:rsidR="00793C3B" w:rsidRPr="00F1660D" w:rsidRDefault="00793C3B" w:rsidP="00793C3B">
      <w:pPr>
        <w:pStyle w:val="CH3"/>
        <w:rPr>
          <w:b w:val="0"/>
          <w:lang w:val="fr-FR"/>
        </w:rPr>
      </w:pPr>
      <w:r w:rsidRPr="00F1660D">
        <w:rPr>
          <w:lang w:val="fr-FR"/>
        </w:rPr>
        <w:tab/>
        <w:t>5.</w:t>
      </w:r>
      <w:r w:rsidRPr="00F1660D">
        <w:rPr>
          <w:lang w:val="fr-FR"/>
        </w:rPr>
        <w:tab/>
        <w:t>Perturbateurs endocriniens</w:t>
      </w:r>
    </w:p>
    <w:p w14:paraId="3B30B9F4" w14:textId="560C5BCB" w:rsidR="0026169C" w:rsidRPr="00F1660D" w:rsidRDefault="0026169C" w:rsidP="004E6786">
      <w:pPr>
        <w:pStyle w:val="Normalnumber"/>
        <w:rPr>
          <w:lang w:val="fr-FR"/>
        </w:rPr>
      </w:pPr>
      <w:r w:rsidRPr="00F1660D">
        <w:rPr>
          <w:lang w:val="fr-FR"/>
        </w:rPr>
        <w:t>Le représentant de l’OCDE a présenté ce sous-point, décrit plus en détail dans</w:t>
      </w:r>
      <w:r w:rsidR="00A50629" w:rsidRPr="00F1660D">
        <w:rPr>
          <w:lang w:val="fr-FR"/>
        </w:rPr>
        <w:t xml:space="preserve"> le </w:t>
      </w:r>
      <w:r w:rsidRPr="00F1660D">
        <w:rPr>
          <w:lang w:val="fr-FR"/>
        </w:rPr>
        <w:t>document SAICM/OEWG.3/6. Notant que</w:t>
      </w:r>
      <w:r w:rsidR="00A50629" w:rsidRPr="00F1660D">
        <w:rPr>
          <w:lang w:val="fr-FR"/>
        </w:rPr>
        <w:t xml:space="preserve"> le </w:t>
      </w:r>
      <w:r w:rsidRPr="00F1660D">
        <w:rPr>
          <w:lang w:val="fr-FR"/>
        </w:rPr>
        <w:t>PNUE, l’OMS et l’OCDE dirigeaient</w:t>
      </w:r>
      <w:r w:rsidR="00A50629" w:rsidRPr="00F1660D">
        <w:rPr>
          <w:lang w:val="fr-FR"/>
        </w:rPr>
        <w:t xml:space="preserve"> les </w:t>
      </w:r>
      <w:r w:rsidRPr="00F1660D">
        <w:rPr>
          <w:lang w:val="fr-FR"/>
        </w:rPr>
        <w:t>activités liées à</w:t>
      </w:r>
      <w:r w:rsidR="00A50629" w:rsidRPr="00F1660D">
        <w:rPr>
          <w:lang w:val="fr-FR"/>
        </w:rPr>
        <w:t xml:space="preserve"> la </w:t>
      </w:r>
      <w:r w:rsidRPr="00F1660D">
        <w:rPr>
          <w:lang w:val="fr-FR"/>
        </w:rPr>
        <w:t>nouvelle question de politique générale</w:t>
      </w:r>
      <w:r w:rsidR="00A50629" w:rsidRPr="00F1660D">
        <w:rPr>
          <w:lang w:val="fr-FR"/>
        </w:rPr>
        <w:t xml:space="preserve"> des </w:t>
      </w:r>
      <w:r w:rsidRPr="00F1660D">
        <w:rPr>
          <w:lang w:val="fr-FR"/>
        </w:rPr>
        <w:t>perturbateurs endocriniens, il a souligné</w:t>
      </w:r>
      <w:r w:rsidR="00A50629" w:rsidRPr="00F1660D">
        <w:rPr>
          <w:lang w:val="fr-FR"/>
        </w:rPr>
        <w:t xml:space="preserve"> les </w:t>
      </w:r>
      <w:r w:rsidRPr="00F1660D">
        <w:rPr>
          <w:lang w:val="fr-FR"/>
        </w:rPr>
        <w:t>réalisations récentes, notamment trois rapports du PNUE sur l’identification</w:t>
      </w:r>
      <w:r w:rsidR="00A50629" w:rsidRPr="00F1660D">
        <w:rPr>
          <w:lang w:val="fr-FR"/>
        </w:rPr>
        <w:t xml:space="preserve"> des </w:t>
      </w:r>
      <w:r w:rsidRPr="00F1660D">
        <w:rPr>
          <w:lang w:val="fr-FR"/>
        </w:rPr>
        <w:t>perturbateurs endocriniens et</w:t>
      </w:r>
      <w:r w:rsidR="00A50629" w:rsidRPr="00F1660D">
        <w:rPr>
          <w:lang w:val="fr-FR"/>
        </w:rPr>
        <w:t xml:space="preserve"> les </w:t>
      </w:r>
      <w:r w:rsidRPr="00F1660D">
        <w:rPr>
          <w:lang w:val="fr-FR"/>
        </w:rPr>
        <w:t>cadres réglementaires applicables aux perturbateurs endocriniens actuellement en place aux niveaux national, régional et mondial,</w:t>
      </w:r>
      <w:r w:rsidR="00A50629" w:rsidRPr="00F1660D">
        <w:rPr>
          <w:lang w:val="fr-FR"/>
        </w:rPr>
        <w:t xml:space="preserve"> les </w:t>
      </w:r>
      <w:r w:rsidRPr="00F1660D">
        <w:rPr>
          <w:lang w:val="fr-FR"/>
        </w:rPr>
        <w:t>lignes directrices phares de l’OCDE pour</w:t>
      </w:r>
      <w:r w:rsidR="00A50629" w:rsidRPr="00F1660D">
        <w:rPr>
          <w:lang w:val="fr-FR"/>
        </w:rPr>
        <w:t xml:space="preserve"> la </w:t>
      </w:r>
      <w:r w:rsidRPr="00F1660D">
        <w:rPr>
          <w:lang w:val="fr-FR"/>
        </w:rPr>
        <w:t>détection</w:t>
      </w:r>
      <w:r w:rsidR="00A50629" w:rsidRPr="00F1660D">
        <w:rPr>
          <w:lang w:val="fr-FR"/>
        </w:rPr>
        <w:t xml:space="preserve"> des </w:t>
      </w:r>
      <w:r w:rsidRPr="00F1660D">
        <w:rPr>
          <w:lang w:val="fr-FR"/>
        </w:rPr>
        <w:t>perturbateurs endocriniens par</w:t>
      </w:r>
      <w:r w:rsidR="00A50629" w:rsidRPr="00F1660D">
        <w:rPr>
          <w:lang w:val="fr-FR"/>
        </w:rPr>
        <w:t xml:space="preserve"> des </w:t>
      </w:r>
      <w:r w:rsidRPr="00F1660D">
        <w:rPr>
          <w:lang w:val="fr-FR"/>
        </w:rPr>
        <w:t>méthodes d’essai normalisées et une feuille de route de l’OMS pour l’établissement de priorités d’action par</w:t>
      </w:r>
      <w:r w:rsidR="00A50629" w:rsidRPr="00F1660D">
        <w:rPr>
          <w:lang w:val="fr-FR"/>
        </w:rPr>
        <w:t xml:space="preserve"> le </w:t>
      </w:r>
      <w:r w:rsidRPr="00F1660D">
        <w:rPr>
          <w:lang w:val="fr-FR"/>
        </w:rPr>
        <w:t>secteur de</w:t>
      </w:r>
      <w:r w:rsidR="00A50629" w:rsidRPr="00F1660D">
        <w:rPr>
          <w:lang w:val="fr-FR"/>
        </w:rPr>
        <w:t xml:space="preserve"> la </w:t>
      </w:r>
      <w:r w:rsidRPr="00F1660D">
        <w:rPr>
          <w:lang w:val="fr-FR"/>
        </w:rPr>
        <w:t>santé. L’action sur</w:t>
      </w:r>
      <w:r w:rsidR="00A50629" w:rsidRPr="00F1660D">
        <w:rPr>
          <w:lang w:val="fr-FR"/>
        </w:rPr>
        <w:t xml:space="preserve"> les </w:t>
      </w:r>
      <w:r w:rsidRPr="00F1660D">
        <w:rPr>
          <w:lang w:val="fr-FR"/>
        </w:rPr>
        <w:t>perturbateurs endocriniens faisait également l’objet du projet de moyenne envergure du FEM sur</w:t>
      </w:r>
      <w:r w:rsidR="00A50629" w:rsidRPr="00F1660D">
        <w:rPr>
          <w:lang w:val="fr-FR"/>
        </w:rPr>
        <w:t xml:space="preserve"> les </w:t>
      </w:r>
      <w:r w:rsidRPr="00F1660D">
        <w:rPr>
          <w:lang w:val="fr-FR"/>
        </w:rPr>
        <w:t>meilleures pratiques mondiales concernant</w:t>
      </w:r>
      <w:r w:rsidR="00A50629" w:rsidRPr="00F1660D">
        <w:rPr>
          <w:lang w:val="fr-FR"/>
        </w:rPr>
        <w:t xml:space="preserve"> les </w:t>
      </w:r>
      <w:r w:rsidRPr="00F1660D">
        <w:rPr>
          <w:lang w:val="fr-FR"/>
        </w:rPr>
        <w:t>nouvelles questions de politiques générales liées aux substances chimiques et</w:t>
      </w:r>
      <w:r w:rsidR="00A50629" w:rsidRPr="00F1660D">
        <w:rPr>
          <w:lang w:val="fr-FR"/>
        </w:rPr>
        <w:t xml:space="preserve"> les </w:t>
      </w:r>
      <w:r w:rsidRPr="00F1660D">
        <w:rPr>
          <w:lang w:val="fr-FR"/>
        </w:rPr>
        <w:t>sujets de préoccupation</w:t>
      </w:r>
      <w:r w:rsidR="00A50629" w:rsidRPr="00F1660D">
        <w:rPr>
          <w:lang w:val="fr-FR"/>
        </w:rPr>
        <w:t xml:space="preserve"> au </w:t>
      </w:r>
      <w:r w:rsidRPr="00F1660D">
        <w:rPr>
          <w:lang w:val="fr-FR"/>
        </w:rPr>
        <w:t>titre de l’Approche stratégique.</w:t>
      </w:r>
    </w:p>
    <w:p w14:paraId="575A9A9C" w14:textId="0B350F83" w:rsidR="0026169C" w:rsidRPr="00F1660D" w:rsidRDefault="0026169C" w:rsidP="004E6786">
      <w:pPr>
        <w:pStyle w:val="Normalnumber"/>
        <w:rPr>
          <w:lang w:val="fr-FR"/>
        </w:rPr>
      </w:pPr>
      <w:r w:rsidRPr="00F1660D">
        <w:rPr>
          <w:lang w:val="fr-FR"/>
        </w:rPr>
        <w:t>Au cours</w:t>
      </w:r>
      <w:r w:rsidR="00A50629" w:rsidRPr="00F1660D">
        <w:rPr>
          <w:lang w:val="fr-FR"/>
        </w:rPr>
        <w:t xml:space="preserve"> d</w:t>
      </w:r>
      <w:r w:rsidR="00606A8F" w:rsidRPr="00F1660D">
        <w:rPr>
          <w:lang w:val="fr-FR"/>
        </w:rPr>
        <w:t>u</w:t>
      </w:r>
      <w:r w:rsidR="00A50629" w:rsidRPr="00F1660D">
        <w:rPr>
          <w:lang w:val="fr-FR"/>
        </w:rPr>
        <w:t> </w:t>
      </w:r>
      <w:r w:rsidRPr="00F1660D">
        <w:rPr>
          <w:lang w:val="fr-FR"/>
        </w:rPr>
        <w:t xml:space="preserve">débat qui </w:t>
      </w:r>
      <w:r w:rsidR="00606A8F" w:rsidRPr="00F1660D">
        <w:rPr>
          <w:lang w:val="fr-FR"/>
        </w:rPr>
        <w:t>a</w:t>
      </w:r>
      <w:r w:rsidRPr="00F1660D">
        <w:rPr>
          <w:lang w:val="fr-FR"/>
        </w:rPr>
        <w:t xml:space="preserve"> suivi, deux représentants, dont un s’exprimant</w:t>
      </w:r>
      <w:r w:rsidR="00A50629" w:rsidRPr="00F1660D">
        <w:rPr>
          <w:lang w:val="fr-FR"/>
        </w:rPr>
        <w:t xml:space="preserve"> au </w:t>
      </w:r>
      <w:r w:rsidRPr="00F1660D">
        <w:rPr>
          <w:lang w:val="fr-FR"/>
        </w:rPr>
        <w:t>nom d’une organisation non gouvernementale, se sont félicités</w:t>
      </w:r>
      <w:r w:rsidR="00A50629" w:rsidRPr="00F1660D">
        <w:rPr>
          <w:lang w:val="fr-FR"/>
        </w:rPr>
        <w:t xml:space="preserve"> des </w:t>
      </w:r>
      <w:r w:rsidRPr="00F1660D">
        <w:rPr>
          <w:lang w:val="fr-FR"/>
        </w:rPr>
        <w:t>rapports établis par</w:t>
      </w:r>
      <w:r w:rsidR="00A50629" w:rsidRPr="00F1660D">
        <w:rPr>
          <w:lang w:val="fr-FR"/>
        </w:rPr>
        <w:t xml:space="preserve"> le </w:t>
      </w:r>
      <w:r w:rsidRPr="00F1660D">
        <w:rPr>
          <w:lang w:val="fr-FR"/>
        </w:rPr>
        <w:t>PNUE et ont souligné l’importance</w:t>
      </w:r>
      <w:r w:rsidR="00A50629" w:rsidRPr="00F1660D">
        <w:rPr>
          <w:lang w:val="fr-FR"/>
        </w:rPr>
        <w:t xml:space="preserve"> des </w:t>
      </w:r>
      <w:r w:rsidRPr="00F1660D">
        <w:rPr>
          <w:lang w:val="fr-FR"/>
        </w:rPr>
        <w:t>travaux réalisés par l’OCDE. L’un d’eux a souligné qu’il importait de continuer</w:t>
      </w:r>
      <w:r w:rsidR="00A50629" w:rsidRPr="00F1660D">
        <w:rPr>
          <w:lang w:val="fr-FR"/>
        </w:rPr>
        <w:t xml:space="preserve"> la </w:t>
      </w:r>
      <w:r w:rsidRPr="00F1660D">
        <w:rPr>
          <w:lang w:val="fr-FR"/>
        </w:rPr>
        <w:t>sensibilisation et a avancé que l’ajout de critères pour</w:t>
      </w:r>
      <w:r w:rsidR="00A50629" w:rsidRPr="00F1660D">
        <w:rPr>
          <w:lang w:val="fr-FR"/>
        </w:rPr>
        <w:t xml:space="preserve"> les </w:t>
      </w:r>
      <w:r w:rsidRPr="00F1660D">
        <w:rPr>
          <w:lang w:val="fr-FR"/>
        </w:rPr>
        <w:t>perturbateurs endocriniens dans</w:t>
      </w:r>
      <w:r w:rsidR="00A50629" w:rsidRPr="00F1660D">
        <w:rPr>
          <w:lang w:val="fr-FR"/>
        </w:rPr>
        <w:t xml:space="preserve"> le </w:t>
      </w:r>
      <w:r w:rsidRPr="00F1660D">
        <w:rPr>
          <w:lang w:val="fr-FR"/>
        </w:rPr>
        <w:t>Système général harmonisé de classification et d’étiquetage</w:t>
      </w:r>
      <w:r w:rsidR="00A50629" w:rsidRPr="00F1660D">
        <w:rPr>
          <w:lang w:val="fr-FR"/>
        </w:rPr>
        <w:t xml:space="preserve"> des </w:t>
      </w:r>
      <w:r w:rsidRPr="00F1660D">
        <w:rPr>
          <w:lang w:val="fr-FR"/>
        </w:rPr>
        <w:t>produits chimiques permettrait d’identifier ces substances à une échelle mondiale, l’obligation d’étiquetage faite par</w:t>
      </w:r>
      <w:r w:rsidR="00A50629" w:rsidRPr="00F1660D">
        <w:rPr>
          <w:lang w:val="fr-FR"/>
        </w:rPr>
        <w:t xml:space="preserve"> le </w:t>
      </w:r>
      <w:r w:rsidRPr="00F1660D">
        <w:rPr>
          <w:lang w:val="fr-FR"/>
        </w:rPr>
        <w:t>système étant un outil efficace de communication</w:t>
      </w:r>
      <w:r w:rsidR="00A50629" w:rsidRPr="00F1660D">
        <w:rPr>
          <w:lang w:val="fr-FR"/>
        </w:rPr>
        <w:t xml:space="preserve"> des </w:t>
      </w:r>
      <w:r w:rsidRPr="00F1660D">
        <w:rPr>
          <w:lang w:val="fr-FR"/>
        </w:rPr>
        <w:t>dangers. Le représentant s’exprimant</w:t>
      </w:r>
      <w:r w:rsidR="00A50629" w:rsidRPr="00F1660D">
        <w:rPr>
          <w:lang w:val="fr-FR"/>
        </w:rPr>
        <w:t xml:space="preserve"> au </w:t>
      </w:r>
      <w:r w:rsidRPr="00F1660D">
        <w:rPr>
          <w:lang w:val="fr-FR"/>
        </w:rPr>
        <w:t>nom d’une organisation non gouvernementale a noté que l’Approche stratégique était</w:t>
      </w:r>
      <w:r w:rsidR="00A50629" w:rsidRPr="00F1660D">
        <w:rPr>
          <w:lang w:val="fr-FR"/>
        </w:rPr>
        <w:t xml:space="preserve"> la </w:t>
      </w:r>
      <w:r w:rsidRPr="00F1660D">
        <w:rPr>
          <w:lang w:val="fr-FR"/>
        </w:rPr>
        <w:t>seule instance internationale qui abordait</w:t>
      </w:r>
      <w:r w:rsidR="00A50629" w:rsidRPr="00F1660D">
        <w:rPr>
          <w:lang w:val="fr-FR"/>
        </w:rPr>
        <w:t xml:space="preserve"> la </w:t>
      </w:r>
      <w:r w:rsidRPr="00F1660D">
        <w:rPr>
          <w:lang w:val="fr-FR"/>
        </w:rPr>
        <w:t>question</w:t>
      </w:r>
      <w:r w:rsidR="00A50629" w:rsidRPr="00F1660D">
        <w:rPr>
          <w:lang w:val="fr-FR"/>
        </w:rPr>
        <w:t xml:space="preserve"> des </w:t>
      </w:r>
      <w:r w:rsidRPr="00F1660D">
        <w:rPr>
          <w:lang w:val="fr-FR"/>
        </w:rPr>
        <w:t>perturbateurs endocriniens du point de vue de</w:t>
      </w:r>
      <w:r w:rsidR="00A50629" w:rsidRPr="00F1660D">
        <w:rPr>
          <w:lang w:val="fr-FR"/>
        </w:rPr>
        <w:t xml:space="preserve"> la </w:t>
      </w:r>
      <w:r w:rsidRPr="00F1660D">
        <w:rPr>
          <w:lang w:val="fr-FR"/>
        </w:rPr>
        <w:t>santé humaine et de l’environnement, ajoutant que</w:t>
      </w:r>
      <w:r w:rsidR="00A50629" w:rsidRPr="00F1660D">
        <w:rPr>
          <w:lang w:val="fr-FR"/>
        </w:rPr>
        <w:t xml:space="preserve"> les </w:t>
      </w:r>
      <w:r w:rsidRPr="00F1660D">
        <w:rPr>
          <w:lang w:val="fr-FR"/>
        </w:rPr>
        <w:t xml:space="preserve">travaux de l’OCDE devraient être étendus aux pays non membres de cette organisation. </w:t>
      </w:r>
    </w:p>
    <w:p w14:paraId="520E6E2D" w14:textId="03BE0392" w:rsidR="00793C3B" w:rsidRPr="00F1660D" w:rsidRDefault="0026169C" w:rsidP="004E6786">
      <w:pPr>
        <w:pStyle w:val="Normalnumber"/>
        <w:rPr>
          <w:lang w:val="fr-FR"/>
        </w:rPr>
      </w:pPr>
      <w:r w:rsidRPr="00F1660D">
        <w:rPr>
          <w:lang w:val="fr-FR"/>
        </w:rPr>
        <w:t>Un troisième représentant a déclaré que</w:t>
      </w:r>
      <w:r w:rsidR="00A50629" w:rsidRPr="00F1660D">
        <w:rPr>
          <w:lang w:val="fr-FR"/>
        </w:rPr>
        <w:t xml:space="preserve"> la </w:t>
      </w:r>
      <w:r w:rsidRPr="00F1660D">
        <w:rPr>
          <w:lang w:val="fr-FR"/>
        </w:rPr>
        <w:t>poursuite</w:t>
      </w:r>
      <w:r w:rsidR="00A50629" w:rsidRPr="00F1660D">
        <w:rPr>
          <w:lang w:val="fr-FR"/>
        </w:rPr>
        <w:t xml:space="preserve"> des </w:t>
      </w:r>
      <w:r w:rsidRPr="00F1660D">
        <w:rPr>
          <w:lang w:val="fr-FR"/>
        </w:rPr>
        <w:t>travaux sur</w:t>
      </w:r>
      <w:r w:rsidR="00A50629" w:rsidRPr="00F1660D">
        <w:rPr>
          <w:lang w:val="fr-FR"/>
        </w:rPr>
        <w:t xml:space="preserve"> les </w:t>
      </w:r>
      <w:r w:rsidRPr="00F1660D">
        <w:rPr>
          <w:lang w:val="fr-FR"/>
        </w:rPr>
        <w:t>perturbateurs endocriniens après 2020 exigerait</w:t>
      </w:r>
      <w:r w:rsidR="00A50629" w:rsidRPr="00F1660D">
        <w:rPr>
          <w:lang w:val="fr-FR"/>
        </w:rPr>
        <w:t xml:space="preserve"> la </w:t>
      </w:r>
      <w:r w:rsidRPr="00F1660D">
        <w:rPr>
          <w:lang w:val="fr-FR"/>
        </w:rPr>
        <w:t>gouvernance de toutes</w:t>
      </w:r>
      <w:r w:rsidR="00A50629" w:rsidRPr="00F1660D">
        <w:rPr>
          <w:lang w:val="fr-FR"/>
        </w:rPr>
        <w:t xml:space="preserve"> les </w:t>
      </w:r>
      <w:r w:rsidRPr="00F1660D">
        <w:rPr>
          <w:lang w:val="fr-FR"/>
        </w:rPr>
        <w:t>entités de l’IOMC possédant</w:t>
      </w:r>
      <w:r w:rsidR="00A50629" w:rsidRPr="00F1660D">
        <w:rPr>
          <w:lang w:val="fr-FR"/>
        </w:rPr>
        <w:t xml:space="preserve"> des </w:t>
      </w:r>
      <w:r w:rsidRPr="00F1660D">
        <w:rPr>
          <w:lang w:val="fr-FR"/>
        </w:rPr>
        <w:t>compétences sur</w:t>
      </w:r>
      <w:r w:rsidR="00A50629" w:rsidRPr="00F1660D">
        <w:rPr>
          <w:lang w:val="fr-FR"/>
        </w:rPr>
        <w:t xml:space="preserve"> les </w:t>
      </w:r>
      <w:r w:rsidRPr="00F1660D">
        <w:rPr>
          <w:lang w:val="fr-FR"/>
        </w:rPr>
        <w:t>aspects scientifiques en jeu, c’est-à-dire</w:t>
      </w:r>
      <w:r w:rsidR="00A50629" w:rsidRPr="00F1660D">
        <w:rPr>
          <w:lang w:val="fr-FR"/>
        </w:rPr>
        <w:t xml:space="preserve"> au </w:t>
      </w:r>
      <w:r w:rsidRPr="00F1660D">
        <w:rPr>
          <w:lang w:val="fr-FR"/>
        </w:rPr>
        <w:t>moins l’OCDE,</w:t>
      </w:r>
      <w:r w:rsidR="00A50629" w:rsidRPr="00F1660D">
        <w:rPr>
          <w:lang w:val="fr-FR"/>
        </w:rPr>
        <w:t xml:space="preserve"> le </w:t>
      </w:r>
      <w:r w:rsidRPr="00F1660D">
        <w:rPr>
          <w:lang w:val="fr-FR"/>
        </w:rPr>
        <w:t>PNUE et l’OMS</w:t>
      </w:r>
      <w:r w:rsidR="00417DDA" w:rsidRPr="00F1660D">
        <w:rPr>
          <w:lang w:val="fr-FR"/>
        </w:rPr>
        <w:t>.</w:t>
      </w:r>
    </w:p>
    <w:p w14:paraId="0EA588F2" w14:textId="6BE054D9" w:rsidR="00793C3B" w:rsidRPr="00F1660D" w:rsidRDefault="00793C3B" w:rsidP="004E6786">
      <w:pPr>
        <w:pStyle w:val="CH3"/>
        <w:rPr>
          <w:b w:val="0"/>
          <w:lang w:val="fr-FR"/>
        </w:rPr>
      </w:pPr>
      <w:r w:rsidRPr="00F1660D">
        <w:rPr>
          <w:lang w:val="fr-FR"/>
        </w:rPr>
        <w:tab/>
        <w:t>6.</w:t>
      </w:r>
      <w:r w:rsidRPr="00F1660D">
        <w:rPr>
          <w:lang w:val="fr-FR"/>
        </w:rPr>
        <w:tab/>
        <w:t xml:space="preserve">Polluants pharmaceutiques persistants </w:t>
      </w:r>
    </w:p>
    <w:p w14:paraId="044A2DFB" w14:textId="61691B0D" w:rsidR="00907AF3" w:rsidRPr="00F1660D" w:rsidRDefault="00907AF3" w:rsidP="004E6786">
      <w:pPr>
        <w:pStyle w:val="Normalnumber"/>
        <w:rPr>
          <w:lang w:val="fr-FR"/>
        </w:rPr>
      </w:pPr>
      <w:r w:rsidRPr="00F1660D">
        <w:rPr>
          <w:lang w:val="fr-FR"/>
        </w:rPr>
        <w:t>Une représentante de l’OMS a présenté ce sous-point</w:t>
      </w:r>
      <w:r w:rsidR="00A50629" w:rsidRPr="00F1660D">
        <w:rPr>
          <w:lang w:val="fr-FR"/>
        </w:rPr>
        <w:t xml:space="preserve"> au </w:t>
      </w:r>
      <w:r w:rsidRPr="00F1660D">
        <w:rPr>
          <w:lang w:val="fr-FR"/>
        </w:rPr>
        <w:t>nom de l’IOMC. Notant que</w:t>
      </w:r>
      <w:r w:rsidR="00A50629" w:rsidRPr="00F1660D">
        <w:rPr>
          <w:lang w:val="fr-FR"/>
        </w:rPr>
        <w:t xml:space="preserve"> la </w:t>
      </w:r>
      <w:r w:rsidRPr="00F1660D">
        <w:rPr>
          <w:lang w:val="fr-FR"/>
        </w:rPr>
        <w:t>résistance aux antibiotiques était reconnue</w:t>
      </w:r>
      <w:r w:rsidR="00A50629" w:rsidRPr="00F1660D">
        <w:rPr>
          <w:lang w:val="fr-FR"/>
        </w:rPr>
        <w:t xml:space="preserve"> au </w:t>
      </w:r>
      <w:r w:rsidRPr="00F1660D">
        <w:rPr>
          <w:lang w:val="fr-FR"/>
        </w:rPr>
        <w:t>plus haut niveau politique comme l’un</w:t>
      </w:r>
      <w:r w:rsidR="00A50629" w:rsidRPr="00F1660D">
        <w:rPr>
          <w:lang w:val="fr-FR"/>
        </w:rPr>
        <w:t xml:space="preserve"> des </w:t>
      </w:r>
      <w:r w:rsidRPr="00F1660D">
        <w:rPr>
          <w:lang w:val="fr-FR"/>
        </w:rPr>
        <w:t>plus graves défis pour</w:t>
      </w:r>
      <w:r w:rsidR="00A50629" w:rsidRPr="00F1660D">
        <w:rPr>
          <w:lang w:val="fr-FR"/>
        </w:rPr>
        <w:t xml:space="preserve"> la </w:t>
      </w:r>
      <w:r w:rsidRPr="00F1660D">
        <w:rPr>
          <w:lang w:val="fr-FR"/>
        </w:rPr>
        <w:t>santé et</w:t>
      </w:r>
      <w:r w:rsidR="00A50629" w:rsidRPr="00F1660D">
        <w:rPr>
          <w:lang w:val="fr-FR"/>
        </w:rPr>
        <w:t xml:space="preserve"> le </w:t>
      </w:r>
      <w:r w:rsidRPr="00F1660D">
        <w:rPr>
          <w:lang w:val="fr-FR"/>
        </w:rPr>
        <w:t>développement, qui touchait tous</w:t>
      </w:r>
      <w:r w:rsidR="00A50629" w:rsidRPr="00F1660D">
        <w:rPr>
          <w:lang w:val="fr-FR"/>
        </w:rPr>
        <w:t xml:space="preserve"> les </w:t>
      </w:r>
      <w:r w:rsidRPr="00F1660D">
        <w:rPr>
          <w:lang w:val="fr-FR"/>
        </w:rPr>
        <w:t>pays quel que soit leur stade de développement, elle a résumé</w:t>
      </w:r>
      <w:r w:rsidR="00A50629" w:rsidRPr="00F1660D">
        <w:rPr>
          <w:lang w:val="fr-FR"/>
        </w:rPr>
        <w:t xml:space="preserve"> les </w:t>
      </w:r>
      <w:r w:rsidRPr="00F1660D">
        <w:rPr>
          <w:lang w:val="fr-FR"/>
        </w:rPr>
        <w:t>informations décrites plus en détail dans</w:t>
      </w:r>
      <w:r w:rsidR="00A50629" w:rsidRPr="00F1660D">
        <w:rPr>
          <w:lang w:val="fr-FR"/>
        </w:rPr>
        <w:t xml:space="preserve"> le </w:t>
      </w:r>
      <w:r w:rsidRPr="00F1660D">
        <w:rPr>
          <w:lang w:val="fr-FR"/>
        </w:rPr>
        <w:t>document SAICM/OEWG/3/6. Elle a également rappelé aux représentants qu’une manifestation parallèle sur</w:t>
      </w:r>
      <w:r w:rsidR="00A50629" w:rsidRPr="00F1660D">
        <w:rPr>
          <w:lang w:val="fr-FR"/>
        </w:rPr>
        <w:t xml:space="preserve"> les </w:t>
      </w:r>
      <w:r w:rsidRPr="00F1660D">
        <w:rPr>
          <w:lang w:val="fr-FR"/>
        </w:rPr>
        <w:t>possibilités d’action pour réduire</w:t>
      </w:r>
      <w:r w:rsidR="00A50629" w:rsidRPr="00F1660D">
        <w:rPr>
          <w:lang w:val="fr-FR"/>
        </w:rPr>
        <w:t xml:space="preserve"> le </w:t>
      </w:r>
      <w:r w:rsidRPr="00F1660D">
        <w:rPr>
          <w:lang w:val="fr-FR"/>
        </w:rPr>
        <w:t>rejet de polluants pharmaceutiques persistants se tiendrait à</w:t>
      </w:r>
      <w:r w:rsidR="00A50629" w:rsidRPr="00F1660D">
        <w:rPr>
          <w:lang w:val="fr-FR"/>
        </w:rPr>
        <w:t xml:space="preserve"> la </w:t>
      </w:r>
      <w:r w:rsidRPr="00F1660D">
        <w:rPr>
          <w:lang w:val="fr-FR"/>
        </w:rPr>
        <w:t xml:space="preserve">réunion </w:t>
      </w:r>
      <w:r w:rsidR="00606A8F" w:rsidRPr="00F1660D">
        <w:rPr>
          <w:lang w:val="fr-FR"/>
        </w:rPr>
        <w:t>en cours.</w:t>
      </w:r>
    </w:p>
    <w:p w14:paraId="2CD29AFA" w14:textId="2296A5D1" w:rsidR="00907AF3" w:rsidRPr="00F1660D" w:rsidRDefault="00907AF3" w:rsidP="004E6786">
      <w:pPr>
        <w:pStyle w:val="Normalnumber"/>
        <w:rPr>
          <w:lang w:val="fr-FR"/>
        </w:rPr>
      </w:pPr>
      <w:r w:rsidRPr="00F1660D">
        <w:rPr>
          <w:lang w:val="fr-FR"/>
        </w:rPr>
        <w:t>Un représentant, s’exprimant</w:t>
      </w:r>
      <w:r w:rsidR="00A50629" w:rsidRPr="00F1660D">
        <w:rPr>
          <w:lang w:val="fr-FR"/>
        </w:rPr>
        <w:t xml:space="preserve"> au </w:t>
      </w:r>
      <w:r w:rsidRPr="00F1660D">
        <w:rPr>
          <w:lang w:val="fr-FR"/>
        </w:rPr>
        <w:t>nom d’un groupe de pays, a décrit un projet qui appliquait une approche de cycle de vie aux polluants pharmaceutiques en exposant ses principaux volets, notamment : dresser l’inventaire</w:t>
      </w:r>
      <w:r w:rsidR="00A50629" w:rsidRPr="00F1660D">
        <w:rPr>
          <w:lang w:val="fr-FR"/>
        </w:rPr>
        <w:t xml:space="preserve"> des </w:t>
      </w:r>
      <w:r w:rsidRPr="00F1660D">
        <w:rPr>
          <w:lang w:val="fr-FR"/>
        </w:rPr>
        <w:t>mesures à prendre ou</w:t>
      </w:r>
      <w:r w:rsidR="00A50629" w:rsidRPr="00F1660D">
        <w:rPr>
          <w:lang w:val="fr-FR"/>
        </w:rPr>
        <w:t xml:space="preserve"> des </w:t>
      </w:r>
      <w:r w:rsidRPr="00F1660D">
        <w:rPr>
          <w:lang w:val="fr-FR"/>
        </w:rPr>
        <w:t>recherches à mener pour écarter</w:t>
      </w:r>
      <w:r w:rsidR="00A50629" w:rsidRPr="00F1660D">
        <w:rPr>
          <w:lang w:val="fr-FR"/>
        </w:rPr>
        <w:t xml:space="preserve"> le </w:t>
      </w:r>
      <w:r w:rsidRPr="00F1660D">
        <w:rPr>
          <w:lang w:val="fr-FR"/>
        </w:rPr>
        <w:t>risque potentiel que posent</w:t>
      </w:r>
      <w:r w:rsidR="00A50629" w:rsidRPr="00F1660D">
        <w:rPr>
          <w:lang w:val="fr-FR"/>
        </w:rPr>
        <w:t xml:space="preserve"> les </w:t>
      </w:r>
      <w:r w:rsidRPr="00F1660D">
        <w:rPr>
          <w:lang w:val="fr-FR"/>
        </w:rPr>
        <w:t>résidus pharmaceutiques dans l’environnement ; encourager l’innovation pour remédier aux risques et promouvoir une économie circulaire en facilitant</w:t>
      </w:r>
      <w:r w:rsidR="00A50629" w:rsidRPr="00F1660D">
        <w:rPr>
          <w:lang w:val="fr-FR"/>
        </w:rPr>
        <w:t xml:space="preserve"> le </w:t>
      </w:r>
      <w:r w:rsidRPr="00F1660D">
        <w:rPr>
          <w:lang w:val="fr-FR"/>
        </w:rPr>
        <w:t>recyclage</w:t>
      </w:r>
      <w:r w:rsidR="00A50629" w:rsidRPr="00F1660D">
        <w:rPr>
          <w:lang w:val="fr-FR"/>
        </w:rPr>
        <w:t xml:space="preserve"> des </w:t>
      </w:r>
      <w:r w:rsidRPr="00F1660D">
        <w:rPr>
          <w:lang w:val="fr-FR"/>
        </w:rPr>
        <w:t>ressources ; recenser</w:t>
      </w:r>
      <w:r w:rsidR="00A50629" w:rsidRPr="00F1660D">
        <w:rPr>
          <w:lang w:val="fr-FR"/>
        </w:rPr>
        <w:t xml:space="preserve"> les </w:t>
      </w:r>
      <w:r w:rsidRPr="00F1660D">
        <w:rPr>
          <w:lang w:val="fr-FR"/>
        </w:rPr>
        <w:t>lacunes en matière de connaissances et</w:t>
      </w:r>
      <w:r w:rsidR="00A50629" w:rsidRPr="00F1660D">
        <w:rPr>
          <w:lang w:val="fr-FR"/>
        </w:rPr>
        <w:t xml:space="preserve"> les </w:t>
      </w:r>
      <w:r w:rsidRPr="00F1660D">
        <w:rPr>
          <w:lang w:val="fr-FR"/>
        </w:rPr>
        <w:t>moyens qui pourraient permettre de</w:t>
      </w:r>
      <w:r w:rsidR="00A50629" w:rsidRPr="00F1660D">
        <w:rPr>
          <w:lang w:val="fr-FR"/>
        </w:rPr>
        <w:t xml:space="preserve"> les </w:t>
      </w:r>
      <w:r w:rsidRPr="00F1660D">
        <w:rPr>
          <w:lang w:val="fr-FR"/>
        </w:rPr>
        <w:t>combler ; et s’assurer que</w:t>
      </w:r>
      <w:r w:rsidR="00A50629" w:rsidRPr="00F1660D">
        <w:rPr>
          <w:lang w:val="fr-FR"/>
        </w:rPr>
        <w:t xml:space="preserve"> les </w:t>
      </w:r>
      <w:r w:rsidRPr="00F1660D">
        <w:rPr>
          <w:lang w:val="fr-FR"/>
        </w:rPr>
        <w:t>mesures prises pour faire face aux risques ne compromettent pas l’accès aux produits pharmaceutiques qui sont essentiels aux êtres humains et aux animaux.</w:t>
      </w:r>
    </w:p>
    <w:p w14:paraId="7F836229" w14:textId="285EE3E9" w:rsidR="00793C3B" w:rsidRPr="00F1660D" w:rsidRDefault="00907AF3" w:rsidP="004E6786">
      <w:pPr>
        <w:pStyle w:val="Normalnumber"/>
        <w:rPr>
          <w:lang w:val="fr-FR"/>
        </w:rPr>
      </w:pPr>
      <w:r w:rsidRPr="00F1660D">
        <w:rPr>
          <w:lang w:val="fr-FR"/>
        </w:rPr>
        <w:t>Trois représentants, s’exprimant</w:t>
      </w:r>
      <w:r w:rsidR="00A50629" w:rsidRPr="00F1660D">
        <w:rPr>
          <w:lang w:val="fr-FR"/>
        </w:rPr>
        <w:t xml:space="preserve"> au </w:t>
      </w:r>
      <w:r w:rsidRPr="00F1660D">
        <w:rPr>
          <w:lang w:val="fr-FR"/>
        </w:rPr>
        <w:t>nom d’une organisation non gouvernementale, ont abordé cette question. L’une d’entre eux a fait savoir que son organisation préparait un article sur</w:t>
      </w:r>
      <w:r w:rsidR="00A50629" w:rsidRPr="00F1660D">
        <w:rPr>
          <w:lang w:val="fr-FR"/>
        </w:rPr>
        <w:t xml:space="preserve"> la </w:t>
      </w:r>
      <w:r w:rsidRPr="00F1660D">
        <w:rPr>
          <w:lang w:val="fr-FR"/>
        </w:rPr>
        <w:t>question, qui serait présenté à</w:t>
      </w:r>
      <w:r w:rsidR="00A50629" w:rsidRPr="00F1660D">
        <w:rPr>
          <w:lang w:val="fr-FR"/>
        </w:rPr>
        <w:t xml:space="preserve"> la </w:t>
      </w:r>
      <w:r w:rsidRPr="00F1660D">
        <w:rPr>
          <w:lang w:val="fr-FR"/>
        </w:rPr>
        <w:t xml:space="preserve">Conférence </w:t>
      </w:r>
      <w:r w:rsidR="00606A8F" w:rsidRPr="00F1660D">
        <w:rPr>
          <w:lang w:val="fr-FR"/>
        </w:rPr>
        <w:t>internationale sur la gestio</w:t>
      </w:r>
      <w:r w:rsidR="005E3A13" w:rsidRPr="00F1660D">
        <w:rPr>
          <w:lang w:val="fr-FR"/>
        </w:rPr>
        <w:t>n</w:t>
      </w:r>
      <w:r w:rsidR="00606A8F" w:rsidRPr="00F1660D">
        <w:rPr>
          <w:lang w:val="fr-FR"/>
        </w:rPr>
        <w:t xml:space="preserve"> des produits chimiques </w:t>
      </w:r>
      <w:r w:rsidRPr="00F1660D">
        <w:rPr>
          <w:lang w:val="fr-FR"/>
        </w:rPr>
        <w:t>à sa cinquième</w:t>
      </w:r>
      <w:r w:rsidR="005E3A13" w:rsidRPr="00F1660D">
        <w:rPr>
          <w:lang w:val="fr-FR"/>
        </w:rPr>
        <w:t> </w:t>
      </w:r>
      <w:r w:rsidRPr="00F1660D">
        <w:rPr>
          <w:lang w:val="fr-FR"/>
        </w:rPr>
        <w:t>session, tandis qu’un autre a appelé l’attention sur un nouveau groupe de polluants chimiques,</w:t>
      </w:r>
      <w:r w:rsidR="00A50629" w:rsidRPr="00F1660D">
        <w:rPr>
          <w:lang w:val="fr-FR"/>
        </w:rPr>
        <w:t xml:space="preserve"> des </w:t>
      </w:r>
      <w:r w:rsidRPr="00F1660D">
        <w:rPr>
          <w:lang w:val="fr-FR"/>
        </w:rPr>
        <w:t>neurotoxines, qui pourraient avoir un effet sur</w:t>
      </w:r>
      <w:r w:rsidR="00A50629" w:rsidRPr="00F1660D">
        <w:rPr>
          <w:lang w:val="fr-FR"/>
        </w:rPr>
        <w:t xml:space="preserve"> le </w:t>
      </w:r>
      <w:r w:rsidRPr="00F1660D">
        <w:rPr>
          <w:lang w:val="fr-FR"/>
        </w:rPr>
        <w:t>cerveau et exigeaient l’attention</w:t>
      </w:r>
      <w:r w:rsidR="00A50629" w:rsidRPr="00F1660D">
        <w:rPr>
          <w:lang w:val="fr-FR"/>
        </w:rPr>
        <w:t xml:space="preserve"> des </w:t>
      </w:r>
      <w:r w:rsidR="005E3A13" w:rsidRPr="00F1660D">
        <w:rPr>
          <w:lang w:val="fr-FR"/>
        </w:rPr>
        <w:t>experts. Le </w:t>
      </w:r>
      <w:r w:rsidRPr="00F1660D">
        <w:rPr>
          <w:lang w:val="fr-FR"/>
        </w:rPr>
        <w:t>troisième a recommandé que</w:t>
      </w:r>
      <w:r w:rsidR="00A50629" w:rsidRPr="00F1660D">
        <w:rPr>
          <w:lang w:val="fr-FR"/>
        </w:rPr>
        <w:t xml:space="preserve"> la </w:t>
      </w:r>
      <w:r w:rsidRPr="00F1660D">
        <w:rPr>
          <w:lang w:val="fr-FR"/>
        </w:rPr>
        <w:t>Conférence, à sa cinquième session, envisage l’établissement d’une feuille de route qui présente une compilation</w:t>
      </w:r>
      <w:r w:rsidR="00A50629" w:rsidRPr="00F1660D">
        <w:rPr>
          <w:lang w:val="fr-FR"/>
        </w:rPr>
        <w:t xml:space="preserve"> des </w:t>
      </w:r>
      <w:r w:rsidRPr="00F1660D">
        <w:rPr>
          <w:lang w:val="fr-FR"/>
        </w:rPr>
        <w:t>ressources allouées à</w:t>
      </w:r>
      <w:r w:rsidR="00A50629" w:rsidRPr="00F1660D">
        <w:rPr>
          <w:lang w:val="fr-FR"/>
        </w:rPr>
        <w:t xml:space="preserve"> la </w:t>
      </w:r>
      <w:r w:rsidRPr="00F1660D">
        <w:rPr>
          <w:lang w:val="fr-FR"/>
        </w:rPr>
        <w:t>prévention, à</w:t>
      </w:r>
      <w:r w:rsidR="00A50629" w:rsidRPr="00F1660D">
        <w:rPr>
          <w:lang w:val="fr-FR"/>
        </w:rPr>
        <w:t xml:space="preserve"> la </w:t>
      </w:r>
      <w:r w:rsidRPr="00F1660D">
        <w:rPr>
          <w:lang w:val="fr-FR"/>
        </w:rPr>
        <w:t>gestion et</w:t>
      </w:r>
      <w:r w:rsidR="00A50629" w:rsidRPr="00F1660D">
        <w:rPr>
          <w:lang w:val="fr-FR"/>
        </w:rPr>
        <w:t xml:space="preserve"> au </w:t>
      </w:r>
      <w:r w:rsidRPr="00F1660D">
        <w:rPr>
          <w:lang w:val="fr-FR"/>
        </w:rPr>
        <w:t>contrôle en</w:t>
      </w:r>
      <w:r w:rsidR="00A50629" w:rsidRPr="00F1660D">
        <w:rPr>
          <w:lang w:val="fr-FR"/>
        </w:rPr>
        <w:t xml:space="preserve"> les </w:t>
      </w:r>
      <w:r w:rsidRPr="00F1660D">
        <w:rPr>
          <w:lang w:val="fr-FR"/>
        </w:rPr>
        <w:t>faisant correspondre aux secteurs responsables, afin que</w:t>
      </w:r>
      <w:r w:rsidR="00A50629" w:rsidRPr="00F1660D">
        <w:rPr>
          <w:lang w:val="fr-FR"/>
        </w:rPr>
        <w:t xml:space="preserve"> les </w:t>
      </w:r>
      <w:r w:rsidRPr="00F1660D">
        <w:rPr>
          <w:lang w:val="fr-FR"/>
        </w:rPr>
        <w:t>parties puissent mieux cerner ce que faisaient</w:t>
      </w:r>
      <w:r w:rsidR="00A50629" w:rsidRPr="00F1660D">
        <w:rPr>
          <w:lang w:val="fr-FR"/>
        </w:rPr>
        <w:t xml:space="preserve"> les </w:t>
      </w:r>
      <w:r w:rsidRPr="00F1660D">
        <w:rPr>
          <w:lang w:val="fr-FR"/>
        </w:rPr>
        <w:t>organismes dans</w:t>
      </w:r>
      <w:r w:rsidR="00A50629" w:rsidRPr="00F1660D">
        <w:rPr>
          <w:lang w:val="fr-FR"/>
        </w:rPr>
        <w:t xml:space="preserve"> le </w:t>
      </w:r>
      <w:r w:rsidRPr="00F1660D">
        <w:rPr>
          <w:lang w:val="fr-FR"/>
        </w:rPr>
        <w:t>cadre et en dehors de l’Approche stratégique, et</w:t>
      </w:r>
      <w:r w:rsidR="00A50629" w:rsidRPr="00F1660D">
        <w:rPr>
          <w:lang w:val="fr-FR"/>
        </w:rPr>
        <w:t xml:space="preserve"> les </w:t>
      </w:r>
      <w:r w:rsidRPr="00F1660D">
        <w:rPr>
          <w:lang w:val="fr-FR"/>
        </w:rPr>
        <w:t>outils et activités associés à</w:t>
      </w:r>
      <w:r w:rsidR="00A50629" w:rsidRPr="00F1660D">
        <w:rPr>
          <w:lang w:val="fr-FR"/>
        </w:rPr>
        <w:t xml:space="preserve"> des </w:t>
      </w:r>
      <w:r w:rsidRPr="00F1660D">
        <w:rPr>
          <w:lang w:val="fr-FR"/>
        </w:rPr>
        <w:t>possibilités d’action sur l’ensemble du cycle de vie pour traiter effectivement</w:t>
      </w:r>
      <w:r w:rsidR="00A50629" w:rsidRPr="00F1660D">
        <w:rPr>
          <w:lang w:val="fr-FR"/>
        </w:rPr>
        <w:t xml:space="preserve"> la </w:t>
      </w:r>
      <w:r w:rsidRPr="00F1660D">
        <w:rPr>
          <w:lang w:val="fr-FR"/>
        </w:rPr>
        <w:t>question</w:t>
      </w:r>
      <w:r w:rsidR="00A50629" w:rsidRPr="00F1660D">
        <w:rPr>
          <w:lang w:val="fr-FR"/>
        </w:rPr>
        <w:t xml:space="preserve"> des </w:t>
      </w:r>
      <w:r w:rsidRPr="00F1660D">
        <w:rPr>
          <w:lang w:val="fr-FR"/>
        </w:rPr>
        <w:t>polluants pharmaceutiques.</w:t>
      </w:r>
    </w:p>
    <w:p w14:paraId="6E59AC36" w14:textId="43D1F2C9" w:rsidR="00793C3B" w:rsidRPr="00F1660D" w:rsidRDefault="00793C3B" w:rsidP="00793C3B">
      <w:pPr>
        <w:pStyle w:val="CH3"/>
        <w:rPr>
          <w:b w:val="0"/>
          <w:lang w:val="fr-FR"/>
        </w:rPr>
      </w:pPr>
      <w:r w:rsidRPr="00F1660D">
        <w:rPr>
          <w:lang w:val="fr-FR"/>
        </w:rPr>
        <w:tab/>
        <w:t>7.</w:t>
      </w:r>
      <w:r w:rsidRPr="00F1660D">
        <w:rPr>
          <w:lang w:val="fr-FR"/>
        </w:rPr>
        <w:tab/>
        <w:t>Composés chimiques perfluorés et transition vers</w:t>
      </w:r>
      <w:r w:rsidR="00A50629" w:rsidRPr="00F1660D">
        <w:rPr>
          <w:lang w:val="fr-FR"/>
        </w:rPr>
        <w:t xml:space="preserve"> des </w:t>
      </w:r>
      <w:r w:rsidRPr="00F1660D">
        <w:rPr>
          <w:lang w:val="fr-FR"/>
        </w:rPr>
        <w:t>produits de remplacement plus sûrs</w:t>
      </w:r>
    </w:p>
    <w:p w14:paraId="5C312A04" w14:textId="4D9A3829" w:rsidR="00B22235" w:rsidRPr="00F1660D" w:rsidRDefault="00B22235" w:rsidP="004E6786">
      <w:pPr>
        <w:pStyle w:val="Normalnumber"/>
        <w:rPr>
          <w:lang w:val="fr-FR"/>
        </w:rPr>
      </w:pPr>
      <w:r w:rsidRPr="00F1660D">
        <w:rPr>
          <w:lang w:val="fr-FR"/>
        </w:rPr>
        <w:t>Un représentant de l’OCDE a présenté ce sous-point, donnant un aperçu de quelques-unes</w:t>
      </w:r>
      <w:r w:rsidR="00A50629" w:rsidRPr="00F1660D">
        <w:rPr>
          <w:lang w:val="fr-FR"/>
        </w:rPr>
        <w:t xml:space="preserve"> des </w:t>
      </w:r>
      <w:r w:rsidRPr="00F1660D">
        <w:rPr>
          <w:lang w:val="fr-FR"/>
        </w:rPr>
        <w:t>activités menées par</w:t>
      </w:r>
      <w:r w:rsidR="00A50629" w:rsidRPr="00F1660D">
        <w:rPr>
          <w:lang w:val="fr-FR"/>
        </w:rPr>
        <w:t xml:space="preserve"> le </w:t>
      </w:r>
      <w:r w:rsidRPr="00F1660D">
        <w:rPr>
          <w:lang w:val="fr-FR"/>
        </w:rPr>
        <w:t>Groupe mondial sur</w:t>
      </w:r>
      <w:r w:rsidR="00A50629" w:rsidRPr="00F1660D">
        <w:rPr>
          <w:lang w:val="fr-FR"/>
        </w:rPr>
        <w:t xml:space="preserve"> les </w:t>
      </w:r>
      <w:r w:rsidRPr="00F1660D">
        <w:rPr>
          <w:lang w:val="fr-FR"/>
        </w:rPr>
        <w:t>composés perfluorés pour</w:t>
      </w:r>
      <w:r w:rsidR="00A50629" w:rsidRPr="00F1660D">
        <w:rPr>
          <w:lang w:val="fr-FR"/>
        </w:rPr>
        <w:t xml:space="preserve"> la </w:t>
      </w:r>
      <w:r w:rsidRPr="00F1660D">
        <w:rPr>
          <w:lang w:val="fr-FR"/>
        </w:rPr>
        <w:t>gestion de ces produits chimiques, décrites plus en détail dans</w:t>
      </w:r>
      <w:r w:rsidR="00A50629" w:rsidRPr="00F1660D">
        <w:rPr>
          <w:lang w:val="fr-FR"/>
        </w:rPr>
        <w:t xml:space="preserve"> le </w:t>
      </w:r>
      <w:r w:rsidRPr="00F1660D">
        <w:rPr>
          <w:lang w:val="fr-FR"/>
        </w:rPr>
        <w:t>document SAICM/OEWG.3/6. En particulier,</w:t>
      </w:r>
      <w:r w:rsidR="00A50629" w:rsidRPr="00F1660D">
        <w:rPr>
          <w:lang w:val="fr-FR"/>
        </w:rPr>
        <w:t xml:space="preserve"> le </w:t>
      </w:r>
      <w:r w:rsidRPr="00F1660D">
        <w:rPr>
          <w:lang w:val="fr-FR"/>
        </w:rPr>
        <w:t xml:space="preserve">Groupe avait publié une liste à jour de per- et </w:t>
      </w:r>
      <w:proofErr w:type="spellStart"/>
      <w:r w:rsidRPr="00F1660D">
        <w:rPr>
          <w:lang w:val="fr-FR"/>
        </w:rPr>
        <w:t>polyfluoroalkyles</w:t>
      </w:r>
      <w:proofErr w:type="spellEnd"/>
      <w:r w:rsidRPr="00F1660D">
        <w:rPr>
          <w:lang w:val="fr-FR"/>
        </w:rPr>
        <w:t> ; eu égard</w:t>
      </w:r>
      <w:r w:rsidR="00A50629" w:rsidRPr="00F1660D">
        <w:rPr>
          <w:lang w:val="fr-FR"/>
        </w:rPr>
        <w:t xml:space="preserve"> au </w:t>
      </w:r>
      <w:r w:rsidRPr="00F1660D">
        <w:rPr>
          <w:lang w:val="fr-FR"/>
        </w:rPr>
        <w:t>grand nombre de substances appartenant à cette famille, qui en réunit plus de 4 000,</w:t>
      </w:r>
      <w:r w:rsidR="00A50629" w:rsidRPr="00F1660D">
        <w:rPr>
          <w:lang w:val="fr-FR"/>
        </w:rPr>
        <w:t xml:space="preserve"> les </w:t>
      </w:r>
      <w:r w:rsidRPr="00F1660D">
        <w:rPr>
          <w:lang w:val="fr-FR"/>
        </w:rPr>
        <w:t>composés perfluorés devaient être traités comme une classe et non individuellement.</w:t>
      </w:r>
      <w:r w:rsidR="00A50629" w:rsidRPr="00F1660D">
        <w:rPr>
          <w:lang w:val="fr-FR"/>
        </w:rPr>
        <w:t xml:space="preserve"> Les </w:t>
      </w:r>
      <w:r w:rsidRPr="00F1660D">
        <w:rPr>
          <w:lang w:val="fr-FR"/>
        </w:rPr>
        <w:t>travaux sur ces substances présentaient manifestement un intérêt et se poursuivraient au-delà de 2020. Le Groupe</w:t>
      </w:r>
      <w:r w:rsidR="00532C21" w:rsidRPr="00F1660D">
        <w:rPr>
          <w:lang w:val="fr-FR"/>
        </w:rPr>
        <w:t xml:space="preserve"> mondial sur les composés perfluorés</w:t>
      </w:r>
      <w:r w:rsidRPr="00F1660D">
        <w:rPr>
          <w:lang w:val="fr-FR"/>
        </w:rPr>
        <w:t xml:space="preserve"> encourageait également</w:t>
      </w:r>
      <w:r w:rsidR="00A50629" w:rsidRPr="00F1660D">
        <w:rPr>
          <w:lang w:val="fr-FR"/>
        </w:rPr>
        <w:t xml:space="preserve"> les </w:t>
      </w:r>
      <w:r w:rsidRPr="00F1660D">
        <w:rPr>
          <w:lang w:val="fr-FR"/>
        </w:rPr>
        <w:t>parties prenantes qui n’en étaient pas encore membres à</w:t>
      </w:r>
      <w:r w:rsidR="00A50629" w:rsidRPr="00F1660D">
        <w:rPr>
          <w:lang w:val="fr-FR"/>
        </w:rPr>
        <w:t xml:space="preserve"> y </w:t>
      </w:r>
      <w:r w:rsidRPr="00F1660D">
        <w:rPr>
          <w:lang w:val="fr-FR"/>
        </w:rPr>
        <w:t>adhérer.</w:t>
      </w:r>
      <w:bookmarkStart w:id="23" w:name="_Hlk5208991"/>
      <w:bookmarkEnd w:id="23"/>
    </w:p>
    <w:p w14:paraId="6525B1B2" w14:textId="7F64ED51" w:rsidR="00B22235" w:rsidRPr="00F1660D" w:rsidRDefault="00B22235" w:rsidP="004E6786">
      <w:pPr>
        <w:pStyle w:val="Normalnumber"/>
        <w:rPr>
          <w:lang w:val="fr-FR"/>
        </w:rPr>
      </w:pPr>
      <w:r w:rsidRPr="00F1660D">
        <w:rPr>
          <w:lang w:val="fr-FR"/>
        </w:rPr>
        <w:t>Un représentant s’est félicité</w:t>
      </w:r>
      <w:r w:rsidR="00A50629" w:rsidRPr="00F1660D">
        <w:rPr>
          <w:lang w:val="fr-FR"/>
        </w:rPr>
        <w:t xml:space="preserve"> des </w:t>
      </w:r>
      <w:r w:rsidRPr="00F1660D">
        <w:rPr>
          <w:lang w:val="fr-FR"/>
        </w:rPr>
        <w:t>travaux du Groupe mondial sur</w:t>
      </w:r>
      <w:r w:rsidR="00A50629" w:rsidRPr="00F1660D">
        <w:rPr>
          <w:lang w:val="fr-FR"/>
        </w:rPr>
        <w:t xml:space="preserve"> les </w:t>
      </w:r>
      <w:r w:rsidRPr="00F1660D">
        <w:rPr>
          <w:lang w:val="fr-FR"/>
        </w:rPr>
        <w:t>composés perfluorés et a invité à redoubler d’efforts pour assurer</w:t>
      </w:r>
      <w:r w:rsidR="00A50629" w:rsidRPr="00F1660D">
        <w:rPr>
          <w:lang w:val="fr-FR"/>
        </w:rPr>
        <w:t xml:space="preserve"> la </w:t>
      </w:r>
      <w:r w:rsidRPr="00F1660D">
        <w:rPr>
          <w:lang w:val="fr-FR"/>
        </w:rPr>
        <w:t>transition vers</w:t>
      </w:r>
      <w:r w:rsidR="00A50629" w:rsidRPr="00F1660D">
        <w:rPr>
          <w:lang w:val="fr-FR"/>
        </w:rPr>
        <w:t xml:space="preserve"> des </w:t>
      </w:r>
      <w:r w:rsidRPr="00F1660D">
        <w:rPr>
          <w:lang w:val="fr-FR"/>
        </w:rPr>
        <w:t>produits de remplacement plus sûrs, compte tenu</w:t>
      </w:r>
      <w:r w:rsidR="00A50629" w:rsidRPr="00F1660D">
        <w:rPr>
          <w:lang w:val="fr-FR"/>
        </w:rPr>
        <w:t xml:space="preserve"> des </w:t>
      </w:r>
      <w:r w:rsidRPr="00F1660D">
        <w:rPr>
          <w:lang w:val="fr-FR"/>
        </w:rPr>
        <w:t>éléments factuels attestant de</w:t>
      </w:r>
      <w:r w:rsidR="00A50629" w:rsidRPr="00F1660D">
        <w:rPr>
          <w:lang w:val="fr-FR"/>
        </w:rPr>
        <w:t xml:space="preserve"> la </w:t>
      </w:r>
      <w:r w:rsidRPr="00F1660D">
        <w:rPr>
          <w:lang w:val="fr-FR"/>
        </w:rPr>
        <w:t>bioaccumulation, de</w:t>
      </w:r>
      <w:r w:rsidR="00A50629" w:rsidRPr="00F1660D">
        <w:rPr>
          <w:lang w:val="fr-FR"/>
        </w:rPr>
        <w:t xml:space="preserve"> la </w:t>
      </w:r>
      <w:r w:rsidRPr="00F1660D">
        <w:rPr>
          <w:lang w:val="fr-FR"/>
        </w:rPr>
        <w:t>grande mobilité dans l’eau et de</w:t>
      </w:r>
      <w:r w:rsidR="00A50629" w:rsidRPr="00F1660D">
        <w:rPr>
          <w:lang w:val="fr-FR"/>
        </w:rPr>
        <w:t xml:space="preserve"> la </w:t>
      </w:r>
      <w:r w:rsidRPr="00F1660D">
        <w:rPr>
          <w:lang w:val="fr-FR"/>
        </w:rPr>
        <w:t>propagation à longue distance de ces substances et</w:t>
      </w:r>
      <w:r w:rsidR="00A50629" w:rsidRPr="00F1660D">
        <w:rPr>
          <w:lang w:val="fr-FR"/>
        </w:rPr>
        <w:t xml:space="preserve"> des </w:t>
      </w:r>
      <w:r w:rsidRPr="00F1660D">
        <w:rPr>
          <w:lang w:val="fr-FR"/>
        </w:rPr>
        <w:t>coûts élevés du traitement</w:t>
      </w:r>
      <w:r w:rsidR="00A50629" w:rsidRPr="00F1660D">
        <w:rPr>
          <w:lang w:val="fr-FR"/>
        </w:rPr>
        <w:t xml:space="preserve"> des </w:t>
      </w:r>
      <w:r w:rsidRPr="00F1660D">
        <w:rPr>
          <w:lang w:val="fr-FR"/>
        </w:rPr>
        <w:t xml:space="preserve">sites contaminés. </w:t>
      </w:r>
    </w:p>
    <w:p w14:paraId="0130946C" w14:textId="443FA4DC" w:rsidR="00793C3B" w:rsidRPr="00F1660D" w:rsidRDefault="00B22235" w:rsidP="004E6786">
      <w:pPr>
        <w:pStyle w:val="Normalnumber"/>
        <w:rPr>
          <w:lang w:val="fr-FR"/>
        </w:rPr>
      </w:pPr>
      <w:r w:rsidRPr="00F1660D">
        <w:rPr>
          <w:lang w:val="fr-FR"/>
        </w:rPr>
        <w:t>Un autre représentant, s’exprimant</w:t>
      </w:r>
      <w:r w:rsidR="00A50629" w:rsidRPr="00F1660D">
        <w:rPr>
          <w:lang w:val="fr-FR"/>
        </w:rPr>
        <w:t xml:space="preserve"> au </w:t>
      </w:r>
      <w:r w:rsidRPr="00F1660D">
        <w:rPr>
          <w:lang w:val="fr-FR"/>
        </w:rPr>
        <w:t>nom d’une organisation non gouvernementale, a fait écho à</w:t>
      </w:r>
      <w:r w:rsidR="00A50629" w:rsidRPr="00F1660D">
        <w:rPr>
          <w:lang w:val="fr-FR"/>
        </w:rPr>
        <w:t xml:space="preserve"> la </w:t>
      </w:r>
      <w:r w:rsidRPr="00F1660D">
        <w:rPr>
          <w:lang w:val="fr-FR"/>
        </w:rPr>
        <w:t>nécessité de traiter</w:t>
      </w:r>
      <w:r w:rsidR="00A50629" w:rsidRPr="00F1660D">
        <w:rPr>
          <w:lang w:val="fr-FR"/>
        </w:rPr>
        <w:t xml:space="preserve"> les </w:t>
      </w:r>
      <w:r w:rsidRPr="00F1660D">
        <w:rPr>
          <w:lang w:val="fr-FR"/>
        </w:rPr>
        <w:t>composés perfluorés comme une classe et non individuellement, notant qu’en dépit</w:t>
      </w:r>
      <w:r w:rsidR="00A50629" w:rsidRPr="00F1660D">
        <w:rPr>
          <w:lang w:val="fr-FR"/>
        </w:rPr>
        <w:t xml:space="preserve"> des </w:t>
      </w:r>
      <w:r w:rsidRPr="00F1660D">
        <w:rPr>
          <w:lang w:val="fr-FR"/>
        </w:rPr>
        <w:t>efforts déployés pour inscrire certains de ces composés à</w:t>
      </w:r>
      <w:r w:rsidR="00A50629" w:rsidRPr="00F1660D">
        <w:rPr>
          <w:lang w:val="fr-FR"/>
        </w:rPr>
        <w:t xml:space="preserve"> la </w:t>
      </w:r>
      <w:r w:rsidRPr="00F1660D">
        <w:rPr>
          <w:lang w:val="fr-FR"/>
        </w:rPr>
        <w:t>Convention de Stockholm sur</w:t>
      </w:r>
      <w:r w:rsidR="00A50629" w:rsidRPr="00F1660D">
        <w:rPr>
          <w:lang w:val="fr-FR"/>
        </w:rPr>
        <w:t xml:space="preserve"> les </w:t>
      </w:r>
      <w:r w:rsidRPr="00F1660D">
        <w:rPr>
          <w:lang w:val="fr-FR"/>
        </w:rPr>
        <w:t>polluants organiques persistants, on en trouvait un grand nombre, qui progressait rapidement. Le cadre pour l’après-2020 devrait donc fixer</w:t>
      </w:r>
      <w:r w:rsidR="00A50629" w:rsidRPr="00F1660D">
        <w:rPr>
          <w:lang w:val="fr-FR"/>
        </w:rPr>
        <w:t xml:space="preserve"> des </w:t>
      </w:r>
      <w:r w:rsidRPr="00F1660D">
        <w:rPr>
          <w:lang w:val="fr-FR"/>
        </w:rPr>
        <w:t>objectifs et cibles assortis d’échéances pour l’élimination</w:t>
      </w:r>
      <w:r w:rsidR="00A50629" w:rsidRPr="00F1660D">
        <w:rPr>
          <w:lang w:val="fr-FR"/>
        </w:rPr>
        <w:t xml:space="preserve"> des </w:t>
      </w:r>
      <w:r w:rsidRPr="00F1660D">
        <w:rPr>
          <w:lang w:val="fr-FR"/>
        </w:rPr>
        <w:t>utilisations non essentielles et tracer une voie à suivre pour l’adoption d’un instrument légalement contraignant se rapportant à ces substances.</w:t>
      </w:r>
    </w:p>
    <w:p w14:paraId="77FED5C0" w14:textId="58C2E50E" w:rsidR="00793C3B" w:rsidRPr="00F1660D" w:rsidRDefault="00793C3B" w:rsidP="00793C3B">
      <w:pPr>
        <w:pStyle w:val="CH3"/>
        <w:rPr>
          <w:b w:val="0"/>
          <w:lang w:val="fr-FR"/>
        </w:rPr>
      </w:pPr>
      <w:r w:rsidRPr="00F1660D">
        <w:rPr>
          <w:lang w:val="fr-FR"/>
        </w:rPr>
        <w:tab/>
        <w:t>8.</w:t>
      </w:r>
      <w:r w:rsidRPr="00F1660D">
        <w:rPr>
          <w:lang w:val="fr-FR"/>
        </w:rPr>
        <w:tab/>
        <w:t>Pesticides hautement dangereux</w:t>
      </w:r>
    </w:p>
    <w:p w14:paraId="065B25AF" w14:textId="6E6CCD91" w:rsidR="00793C3B" w:rsidRPr="00F1660D" w:rsidRDefault="00532C21" w:rsidP="00793C3B">
      <w:pPr>
        <w:pStyle w:val="Normalnumber"/>
        <w:rPr>
          <w:lang w:val="fr-FR"/>
        </w:rPr>
      </w:pPr>
      <w:r w:rsidRPr="00F1660D">
        <w:rPr>
          <w:lang w:val="fr-FR"/>
        </w:rPr>
        <w:t>L</w:t>
      </w:r>
      <w:r w:rsidR="0057423B" w:rsidRPr="00F1660D">
        <w:rPr>
          <w:lang w:val="fr-FR"/>
        </w:rPr>
        <w:t>a</w:t>
      </w:r>
      <w:r w:rsidRPr="00F1660D">
        <w:rPr>
          <w:lang w:val="fr-FR"/>
        </w:rPr>
        <w:t xml:space="preserve"> représentant</w:t>
      </w:r>
      <w:r w:rsidR="0057423B" w:rsidRPr="00F1660D">
        <w:rPr>
          <w:lang w:val="fr-FR"/>
        </w:rPr>
        <w:t>e</w:t>
      </w:r>
      <w:r w:rsidRPr="00F1660D">
        <w:rPr>
          <w:lang w:val="fr-FR"/>
        </w:rPr>
        <w:t xml:space="preserve"> de la FAO a présenté ce sous-point</w:t>
      </w:r>
      <w:r w:rsidR="0057423B" w:rsidRPr="00F1660D">
        <w:rPr>
          <w:lang w:val="fr-FR"/>
        </w:rPr>
        <w:t>. N</w:t>
      </w:r>
      <w:r w:rsidRPr="00F1660D">
        <w:rPr>
          <w:lang w:val="fr-FR"/>
        </w:rPr>
        <w:t xml:space="preserve">otant que la stratégie de la FAO mettait l’accent sur les programmes régionaux et nationaux </w:t>
      </w:r>
      <w:r w:rsidR="0057423B" w:rsidRPr="00F1660D">
        <w:rPr>
          <w:lang w:val="fr-FR"/>
        </w:rPr>
        <w:t xml:space="preserve">afin de réduire les risques que présentaient les pesticides hautement dangereux pour la santé humaine et l’environnement et de promouvoir une agriculture durable tout en contribuant à la réalisation des objectifs de développement durable, elle a décrit les travaux menés par l’organisation en collaboration avec ses partenaires et d’autres parties prenantes, en particulier en Afrique et dans la région Asie-Pacifique, comme </w:t>
      </w:r>
      <w:r w:rsidR="0034020A" w:rsidRPr="00F1660D">
        <w:rPr>
          <w:lang w:val="fr-FR"/>
        </w:rPr>
        <w:t xml:space="preserve">exposé </w:t>
      </w:r>
      <w:r w:rsidR="0057423B" w:rsidRPr="00F1660D">
        <w:rPr>
          <w:lang w:val="fr-FR"/>
        </w:rPr>
        <w:t>plus en détail dans le document</w:t>
      </w:r>
      <w:r w:rsidR="00ED57D7" w:rsidRPr="00F1660D">
        <w:rPr>
          <w:lang w:val="fr-FR"/>
        </w:rPr>
        <w:t xml:space="preserve"> SAICM/OEWG.3/6. L’établissement d’un pôle de connaissances sur les pesticides hautement dangereux et l’organisation d’une réunion internationale par la FAO en collaboration avec le secrétariat de l’Approche stratégique étaient autant de mesures qui pouvaient notamment être prises à l’avenir sur cette question.  </w:t>
      </w:r>
    </w:p>
    <w:p w14:paraId="769C0CC1" w14:textId="5312CF1D" w:rsidR="002C67A2" w:rsidRPr="00F1660D" w:rsidRDefault="00ED57D7" w:rsidP="00793C3B">
      <w:pPr>
        <w:pStyle w:val="Normalnumber"/>
        <w:rPr>
          <w:lang w:val="fr-FR"/>
        </w:rPr>
      </w:pPr>
      <w:r w:rsidRPr="00F1660D">
        <w:rPr>
          <w:lang w:val="fr-FR"/>
        </w:rPr>
        <w:t xml:space="preserve">À la suite de la présentation, un représentant a souligné l’importance que son gouvernement attachait aux pesticides hautement dangereux et a brièvement évoqué les mesures prises au niveau national à cet égard, notamment l’adoption d’une législation sur la qualité et la sécurité des produits agricoles.  </w:t>
      </w:r>
    </w:p>
    <w:p w14:paraId="2C810402" w14:textId="38866F2F" w:rsidR="002C67A2" w:rsidRPr="00F1660D" w:rsidRDefault="00ED57D7" w:rsidP="00F45B61">
      <w:pPr>
        <w:pStyle w:val="Normalnumber"/>
        <w:keepNext/>
        <w:keepLines/>
        <w:rPr>
          <w:lang w:val="fr-FR"/>
        </w:rPr>
      </w:pPr>
      <w:r w:rsidRPr="00F1660D">
        <w:rPr>
          <w:lang w:val="fr-FR"/>
        </w:rPr>
        <w:t xml:space="preserve">Quatre représentants d’organisations non gouvernementales </w:t>
      </w:r>
      <w:r w:rsidR="0034020A" w:rsidRPr="00F1660D">
        <w:rPr>
          <w:lang w:val="fr-FR"/>
        </w:rPr>
        <w:t>se s</w:t>
      </w:r>
      <w:r w:rsidRPr="00F1660D">
        <w:rPr>
          <w:lang w:val="fr-FR"/>
        </w:rPr>
        <w:t xml:space="preserve">ont </w:t>
      </w:r>
      <w:r w:rsidR="0034020A" w:rsidRPr="00F1660D">
        <w:rPr>
          <w:lang w:val="fr-FR"/>
        </w:rPr>
        <w:t xml:space="preserve">exprimés sur </w:t>
      </w:r>
      <w:r w:rsidRPr="00F1660D">
        <w:rPr>
          <w:lang w:val="fr-FR"/>
        </w:rPr>
        <w:t xml:space="preserve">la question. </w:t>
      </w:r>
      <w:r w:rsidR="007F7105" w:rsidRPr="00F1660D">
        <w:rPr>
          <w:lang w:val="fr-FR"/>
        </w:rPr>
        <w:t xml:space="preserve">Un d’entre eux a réitéré une préoccupation antérieure concernant l’absence d’une feuille de route claire pour l’action dans le domaine des produits chimiques organiques à usage industriel. S’agissant des pesticides hautement dangereux, </w:t>
      </w:r>
      <w:r w:rsidR="00191D4B" w:rsidRPr="00F1660D">
        <w:rPr>
          <w:lang w:val="fr-FR"/>
        </w:rPr>
        <w:t>on s’était largement accordé sur les risques associés</w:t>
      </w:r>
      <w:r w:rsidR="0034020A" w:rsidRPr="00F1660D">
        <w:rPr>
          <w:lang w:val="fr-FR"/>
        </w:rPr>
        <w:t xml:space="preserve"> à ces derniers</w:t>
      </w:r>
      <w:r w:rsidR="00191D4B" w:rsidRPr="00F1660D">
        <w:rPr>
          <w:lang w:val="fr-FR"/>
        </w:rPr>
        <w:t xml:space="preserve">, mais aucun objectif spécifique </w:t>
      </w:r>
      <w:r w:rsidR="0034020A" w:rsidRPr="00F1660D">
        <w:rPr>
          <w:lang w:val="fr-FR"/>
        </w:rPr>
        <w:t>ni</w:t>
      </w:r>
      <w:r w:rsidR="00191D4B" w:rsidRPr="00F1660D">
        <w:rPr>
          <w:lang w:val="fr-FR"/>
        </w:rPr>
        <w:t xml:space="preserve"> recommandation d’action n’avai</w:t>
      </w:r>
      <w:r w:rsidR="0034020A" w:rsidRPr="00F1660D">
        <w:rPr>
          <w:lang w:val="fr-FR"/>
        </w:rPr>
        <w:t>ent</w:t>
      </w:r>
      <w:r w:rsidR="00F04E13" w:rsidRPr="00F1660D">
        <w:rPr>
          <w:lang w:val="fr-FR"/>
        </w:rPr>
        <w:t xml:space="preserve"> encore été formulés, ce </w:t>
      </w:r>
      <w:r w:rsidR="00191D4B" w:rsidRPr="00F1660D">
        <w:rPr>
          <w:lang w:val="fr-FR"/>
        </w:rPr>
        <w:t>qui démontrait la faiblesse du processus de l’Approche stratégique. Un autre représentant s’exprimant au nom d’une organisation non gouvernementale a déclaré que l’usage généralisé des pesticides hautement dangereux dans les maisons, les jardins et les écoles dans sa région, y compris les produits qui étaient interdits dans les pays développés, montrait qu’il y avait u</w:t>
      </w:r>
      <w:r w:rsidR="00F04E13" w:rsidRPr="00F1660D">
        <w:rPr>
          <w:lang w:val="fr-FR"/>
        </w:rPr>
        <w:t>ne politique de deux</w:t>
      </w:r>
      <w:r w:rsidR="00F359D6" w:rsidRPr="00F1660D">
        <w:rPr>
          <w:lang w:val="fr-FR"/>
        </w:rPr>
        <w:t> </w:t>
      </w:r>
      <w:r w:rsidR="00F04E13" w:rsidRPr="00F1660D">
        <w:rPr>
          <w:lang w:val="fr-FR"/>
        </w:rPr>
        <w:t>poids deux </w:t>
      </w:r>
      <w:r w:rsidR="00191D4B" w:rsidRPr="00F1660D">
        <w:rPr>
          <w:lang w:val="fr-FR"/>
        </w:rPr>
        <w:t>mesures.</w:t>
      </w:r>
      <w:r w:rsidR="007F7105" w:rsidRPr="00F1660D">
        <w:rPr>
          <w:lang w:val="fr-FR"/>
        </w:rPr>
        <w:t xml:space="preserve"> </w:t>
      </w:r>
    </w:p>
    <w:p w14:paraId="60D44741" w14:textId="742577A0" w:rsidR="002C67A2" w:rsidRPr="00F1660D" w:rsidRDefault="00191D4B" w:rsidP="00793C3B">
      <w:pPr>
        <w:pStyle w:val="Normalnumber"/>
        <w:rPr>
          <w:lang w:val="fr-FR"/>
        </w:rPr>
      </w:pPr>
      <w:r w:rsidRPr="00F1660D">
        <w:rPr>
          <w:lang w:val="fr-FR"/>
        </w:rPr>
        <w:t xml:space="preserve">Un troisième représentant s’exprimant au nom d’une organisation non gouvernementale a fait observer </w:t>
      </w:r>
      <w:r w:rsidR="0013576A" w:rsidRPr="00F1660D">
        <w:rPr>
          <w:lang w:val="fr-FR"/>
        </w:rPr>
        <w:t xml:space="preserve">que bien que les parties prenantes aient clairement l’intention de résoudre les problèmes liés aux produits chimiques, les bonnes intentions ne suffisaient pas. Des mesures radicales </w:t>
      </w:r>
      <w:r w:rsidR="0034020A" w:rsidRPr="00F1660D">
        <w:rPr>
          <w:lang w:val="fr-FR"/>
        </w:rPr>
        <w:t xml:space="preserve">s’imposaient pour que l’on puisse faire en sorte que les </w:t>
      </w:r>
      <w:r w:rsidR="0013576A" w:rsidRPr="00F1660D">
        <w:rPr>
          <w:lang w:val="fr-FR"/>
        </w:rPr>
        <w:t xml:space="preserve">générations futures </w:t>
      </w:r>
      <w:r w:rsidR="00786AD2" w:rsidRPr="00F1660D">
        <w:rPr>
          <w:lang w:val="fr-FR"/>
        </w:rPr>
        <w:t>jouissent d’</w:t>
      </w:r>
      <w:r w:rsidR="0013576A" w:rsidRPr="00F1660D">
        <w:rPr>
          <w:lang w:val="fr-FR"/>
        </w:rPr>
        <w:t xml:space="preserve">une bonne alimentation, </w:t>
      </w:r>
      <w:r w:rsidR="00786AD2" w:rsidRPr="00F1660D">
        <w:rPr>
          <w:lang w:val="fr-FR"/>
        </w:rPr>
        <w:t xml:space="preserve">soient en </w:t>
      </w:r>
      <w:r w:rsidR="0013576A" w:rsidRPr="00F1660D">
        <w:rPr>
          <w:lang w:val="fr-FR"/>
        </w:rPr>
        <w:t xml:space="preserve">bonne santé et </w:t>
      </w:r>
      <w:r w:rsidR="00786AD2" w:rsidRPr="00F1660D">
        <w:rPr>
          <w:lang w:val="fr-FR"/>
        </w:rPr>
        <w:t xml:space="preserve">vivent dans </w:t>
      </w:r>
      <w:r w:rsidR="0013576A" w:rsidRPr="00F1660D">
        <w:rPr>
          <w:lang w:val="fr-FR"/>
        </w:rPr>
        <w:t>un environnement sans toxines. Il importait que des informations transparentes sur les produits chimiques figurent dans les programmes scolaires et que les intérêts des enfants soient pris en compte</w:t>
      </w:r>
      <w:r w:rsidR="00F662D6" w:rsidRPr="00F1660D">
        <w:rPr>
          <w:lang w:val="fr-FR"/>
        </w:rPr>
        <w:t xml:space="preserve"> en élaborant les législations. </w:t>
      </w:r>
    </w:p>
    <w:p w14:paraId="08CB2A8C" w14:textId="5B0E3B43" w:rsidR="002C67A2" w:rsidRPr="00F1660D" w:rsidRDefault="00F662D6" w:rsidP="00793C3B">
      <w:pPr>
        <w:pStyle w:val="Normalnumber"/>
        <w:rPr>
          <w:lang w:val="fr-FR"/>
        </w:rPr>
      </w:pPr>
      <w:r w:rsidRPr="00F1660D">
        <w:rPr>
          <w:lang w:val="fr-FR"/>
        </w:rPr>
        <w:t>Un quatrième représentant s’exprimant au nom d’une org</w:t>
      </w:r>
      <w:r w:rsidR="00F04E13" w:rsidRPr="00F1660D">
        <w:rPr>
          <w:lang w:val="fr-FR"/>
        </w:rPr>
        <w:t>anisation non gouvernementale a </w:t>
      </w:r>
      <w:r w:rsidRPr="00F1660D">
        <w:rPr>
          <w:lang w:val="fr-FR"/>
        </w:rPr>
        <w:t>évoqué la forte consommation de pesticides dans son pays, y compris les pesticides hautement dangereux, et l’importance de la sensibilisation et de la promotion de l’</w:t>
      </w:r>
      <w:proofErr w:type="spellStart"/>
      <w:r w:rsidRPr="00F1660D">
        <w:rPr>
          <w:lang w:val="fr-FR"/>
        </w:rPr>
        <w:t>agro-écologie</w:t>
      </w:r>
      <w:proofErr w:type="spellEnd"/>
      <w:r w:rsidRPr="00F1660D">
        <w:rPr>
          <w:lang w:val="fr-FR"/>
        </w:rPr>
        <w:t xml:space="preserve"> dans les communautés. </w:t>
      </w:r>
    </w:p>
    <w:p w14:paraId="1079E41A" w14:textId="58183050" w:rsidR="002C67A2" w:rsidRPr="00F1660D" w:rsidRDefault="00F662D6" w:rsidP="00793C3B">
      <w:pPr>
        <w:pStyle w:val="Normalnumber"/>
        <w:rPr>
          <w:lang w:val="fr-FR"/>
        </w:rPr>
      </w:pPr>
      <w:r w:rsidRPr="00F1660D">
        <w:rPr>
          <w:lang w:val="fr-FR"/>
        </w:rPr>
        <w:t xml:space="preserve">À l’issue de la discussion, la Présidente a noté que deux manifestations parallèles consacrées à cette question avaient eu lieu durant la semaine sous l’égide de </w:t>
      </w:r>
      <w:proofErr w:type="spellStart"/>
      <w:r w:rsidRPr="00F1660D">
        <w:rPr>
          <w:lang w:val="fr-FR"/>
        </w:rPr>
        <w:t>CropLife</w:t>
      </w:r>
      <w:proofErr w:type="spellEnd"/>
      <w:r w:rsidRPr="00F1660D">
        <w:rPr>
          <w:lang w:val="fr-FR"/>
        </w:rPr>
        <w:t xml:space="preserve"> et du Réseau d’action sur les pesticides, et qu’il ressortait des réunions régionales tenues en Côte d’ivoire et en Thaïlande en 2018 qu’il fallait mener une action plus vigoureuse et promouvoir </w:t>
      </w:r>
      <w:r w:rsidR="00FF7729" w:rsidRPr="00F1660D">
        <w:rPr>
          <w:lang w:val="fr-FR"/>
        </w:rPr>
        <w:t>des</w:t>
      </w:r>
      <w:r w:rsidRPr="00F1660D">
        <w:rPr>
          <w:lang w:val="fr-FR"/>
        </w:rPr>
        <w:t xml:space="preserve"> législation</w:t>
      </w:r>
      <w:r w:rsidR="00FF7729" w:rsidRPr="00F1660D">
        <w:rPr>
          <w:lang w:val="fr-FR"/>
        </w:rPr>
        <w:t>s</w:t>
      </w:r>
      <w:r w:rsidRPr="00F1660D">
        <w:rPr>
          <w:lang w:val="fr-FR"/>
        </w:rPr>
        <w:t xml:space="preserve"> nationale</w:t>
      </w:r>
      <w:r w:rsidR="00FF7729" w:rsidRPr="00F1660D">
        <w:rPr>
          <w:lang w:val="fr-FR"/>
        </w:rPr>
        <w:t>s</w:t>
      </w:r>
      <w:r w:rsidRPr="00F1660D">
        <w:rPr>
          <w:lang w:val="fr-FR"/>
        </w:rPr>
        <w:t xml:space="preserve"> sur les pesticides hautement dangereux et soutenir la transition vers des solutions de remplacement agroécologiques. </w:t>
      </w:r>
      <w:r w:rsidR="00FF7729" w:rsidRPr="00F1660D">
        <w:rPr>
          <w:lang w:val="fr-FR"/>
        </w:rPr>
        <w:t xml:space="preserve">Elle a engagé les parties prenantes à renforcer leur coordination dans le domaine des pesticides hautement dangereux afin de protéger les communautés, conformément au Programme 2030. </w:t>
      </w:r>
    </w:p>
    <w:p w14:paraId="0BDACF2B" w14:textId="2FF49D26" w:rsidR="00452691" w:rsidRPr="00F1660D" w:rsidRDefault="003C673B" w:rsidP="003C673B">
      <w:pPr>
        <w:pStyle w:val="CH2"/>
        <w:rPr>
          <w:lang w:val="fr-FR"/>
        </w:rPr>
      </w:pPr>
      <w:r w:rsidRPr="00F1660D">
        <w:rPr>
          <w:lang w:val="fr-FR"/>
        </w:rPr>
        <w:tab/>
      </w:r>
      <w:r w:rsidR="008D4582" w:rsidRPr="00F1660D">
        <w:rPr>
          <w:lang w:val="fr-FR"/>
        </w:rPr>
        <w:t>D</w:t>
      </w:r>
      <w:r w:rsidRPr="00F1660D">
        <w:rPr>
          <w:lang w:val="fr-FR"/>
        </w:rPr>
        <w:t>.</w:t>
      </w:r>
      <w:r w:rsidRPr="00F1660D">
        <w:rPr>
          <w:lang w:val="fr-FR"/>
        </w:rPr>
        <w:tab/>
      </w:r>
      <w:r w:rsidR="00452691" w:rsidRPr="00F1660D">
        <w:rPr>
          <w:lang w:val="fr-FR"/>
        </w:rPr>
        <w:t>Mise en œuvre de</w:t>
      </w:r>
      <w:r w:rsidR="00A50629" w:rsidRPr="00F1660D">
        <w:rPr>
          <w:lang w:val="fr-FR"/>
        </w:rPr>
        <w:t xml:space="preserve"> la </w:t>
      </w:r>
      <w:r w:rsidR="00452691" w:rsidRPr="00F1660D">
        <w:rPr>
          <w:lang w:val="fr-FR"/>
        </w:rPr>
        <w:t>stratégie pour</w:t>
      </w:r>
      <w:r w:rsidR="00A50629" w:rsidRPr="00F1660D">
        <w:rPr>
          <w:lang w:val="fr-FR"/>
        </w:rPr>
        <w:t xml:space="preserve"> le </w:t>
      </w:r>
      <w:r w:rsidR="00452691" w:rsidRPr="00F1660D">
        <w:rPr>
          <w:lang w:val="fr-FR"/>
        </w:rPr>
        <w:t>secteur de</w:t>
      </w:r>
      <w:r w:rsidR="00A50629" w:rsidRPr="00F1660D">
        <w:rPr>
          <w:lang w:val="fr-FR"/>
        </w:rPr>
        <w:t xml:space="preserve"> la </w:t>
      </w:r>
      <w:r w:rsidR="00452691" w:rsidRPr="00F1660D">
        <w:rPr>
          <w:lang w:val="fr-FR"/>
        </w:rPr>
        <w:t>santé </w:t>
      </w:r>
    </w:p>
    <w:p w14:paraId="39F3BBF2" w14:textId="5481D234" w:rsidR="002C67A2" w:rsidRPr="00F1660D" w:rsidRDefault="00FF7729" w:rsidP="003C673B">
      <w:pPr>
        <w:pStyle w:val="Normalnumber"/>
        <w:rPr>
          <w:lang w:val="fr-FR"/>
        </w:rPr>
      </w:pPr>
      <w:r w:rsidRPr="00F1660D">
        <w:rPr>
          <w:lang w:val="fr-FR"/>
        </w:rPr>
        <w:t xml:space="preserve">Présentant ce sous-point, la Présidente a appelé l’attention </w:t>
      </w:r>
      <w:r w:rsidR="00786AD2" w:rsidRPr="00F1660D">
        <w:rPr>
          <w:lang w:val="fr-FR"/>
        </w:rPr>
        <w:t xml:space="preserve">des participants </w:t>
      </w:r>
      <w:r w:rsidRPr="00F1660D">
        <w:rPr>
          <w:lang w:val="fr-FR"/>
        </w:rPr>
        <w:t>sur un rapport de l’Organisation mondiale de la Santé</w:t>
      </w:r>
      <w:r w:rsidR="00062428" w:rsidRPr="00F1660D">
        <w:rPr>
          <w:lang w:val="fr-FR"/>
        </w:rPr>
        <w:t xml:space="preserve"> sur la feuille de route de l’OMS pour </w:t>
      </w:r>
      <w:r w:rsidR="00193F92" w:rsidRPr="00F1660D">
        <w:rPr>
          <w:lang w:val="fr-FR"/>
        </w:rPr>
        <w:t xml:space="preserve">accroître </w:t>
      </w:r>
      <w:r w:rsidR="00062428" w:rsidRPr="00F1660D">
        <w:rPr>
          <w:lang w:val="fr-FR"/>
        </w:rPr>
        <w:t xml:space="preserve">la participation du secteur de la santé dans l’Approche stratégique de la gestion internationale des produits chimiques </w:t>
      </w:r>
      <w:r w:rsidR="00193F92" w:rsidRPr="00F1660D">
        <w:rPr>
          <w:lang w:val="fr-FR"/>
        </w:rPr>
        <w:t xml:space="preserve">dans la perspective de </w:t>
      </w:r>
      <w:r w:rsidR="00062428" w:rsidRPr="00F1660D">
        <w:rPr>
          <w:lang w:val="fr-FR"/>
        </w:rPr>
        <w:t xml:space="preserve">l’objectif </w:t>
      </w:r>
      <w:r w:rsidR="00193F92" w:rsidRPr="00F1660D">
        <w:rPr>
          <w:lang w:val="fr-FR"/>
        </w:rPr>
        <w:t>fixé pour</w:t>
      </w:r>
      <w:r w:rsidR="00062428" w:rsidRPr="00F1660D">
        <w:rPr>
          <w:lang w:val="fr-FR"/>
        </w:rPr>
        <w:t xml:space="preserve"> 2020 et au-delà et le réseau mondial </w:t>
      </w:r>
      <w:r w:rsidR="00193F92" w:rsidRPr="00F1660D">
        <w:rPr>
          <w:lang w:val="fr-FR"/>
        </w:rPr>
        <w:t>sur</w:t>
      </w:r>
      <w:r w:rsidR="00062428" w:rsidRPr="00F1660D">
        <w:rPr>
          <w:lang w:val="fr-FR"/>
        </w:rPr>
        <w:t xml:space="preserve"> les produits chimiques et la santé (SAICM/OEWG.3/INF/10). La feuille de route de l’OMS </w:t>
      </w:r>
      <w:r w:rsidR="00193F92" w:rsidRPr="00F1660D">
        <w:rPr>
          <w:lang w:val="fr-FR"/>
        </w:rPr>
        <w:t>pour l</w:t>
      </w:r>
      <w:r w:rsidR="00062428" w:rsidRPr="00F1660D">
        <w:rPr>
          <w:lang w:val="fr-FR"/>
        </w:rPr>
        <w:t>es produits chimiques avait été approuvée par l’Assemblée mondiale de la Santé</w:t>
      </w:r>
      <w:r w:rsidR="00193F92" w:rsidRPr="00F1660D">
        <w:rPr>
          <w:lang w:val="fr-FR"/>
        </w:rPr>
        <w:t xml:space="preserve"> à sa soixante-dixième session tenue en mai 2017, et s’était révélé utile pour appuyer la mise en œuvre de la stratégie pour le secteur de la santé. </w:t>
      </w:r>
    </w:p>
    <w:p w14:paraId="63695F17" w14:textId="62208BCB" w:rsidR="002C67A2" w:rsidRPr="00F1660D" w:rsidRDefault="00193F92" w:rsidP="003C673B">
      <w:pPr>
        <w:pStyle w:val="Normalnumber"/>
        <w:rPr>
          <w:lang w:val="fr-FR"/>
        </w:rPr>
      </w:pPr>
      <w:r w:rsidRPr="00F1660D">
        <w:rPr>
          <w:lang w:val="fr-FR"/>
        </w:rPr>
        <w:t xml:space="preserve">Le représentant de l’OMS a prononcé une déclaration sur la feuille de route de l’OMS pour les produits chimiques et le </w:t>
      </w:r>
      <w:r w:rsidR="00786AD2" w:rsidRPr="00F1660D">
        <w:rPr>
          <w:lang w:val="fr-FR"/>
        </w:rPr>
        <w:t>R</w:t>
      </w:r>
      <w:r w:rsidRPr="00F1660D">
        <w:rPr>
          <w:lang w:val="fr-FR"/>
        </w:rPr>
        <w:t xml:space="preserve">éseau mondial de l’OMS sur les produits chimiques et la santé.  </w:t>
      </w:r>
    </w:p>
    <w:p w14:paraId="4C9717DF" w14:textId="13EC4DB9" w:rsidR="002C67A2" w:rsidRPr="00F1660D" w:rsidRDefault="00193F92" w:rsidP="003C673B">
      <w:pPr>
        <w:pStyle w:val="Normalnumber"/>
        <w:rPr>
          <w:lang w:val="fr-FR"/>
        </w:rPr>
      </w:pPr>
      <w:r w:rsidRPr="00F1660D">
        <w:rPr>
          <w:lang w:val="fr-FR"/>
        </w:rPr>
        <w:t>Au cours du débat qui a suivi, un certain nombre de représentants, dont deux s’exprimant au nom de groupes de pays, se sont félicités de la feuille de route et de l’appui apporté par l’O</w:t>
      </w:r>
      <w:r w:rsidR="00585D23" w:rsidRPr="00F1660D">
        <w:rPr>
          <w:lang w:val="fr-FR"/>
        </w:rPr>
        <w:t>MS</w:t>
      </w:r>
      <w:r w:rsidRPr="00F1660D">
        <w:rPr>
          <w:lang w:val="fr-FR"/>
        </w:rPr>
        <w:t xml:space="preserve"> à la mise en œuvre de la stratégie pour le secteur de la santé, et ont </w:t>
      </w:r>
      <w:r w:rsidR="00585D23" w:rsidRPr="00F1660D">
        <w:rPr>
          <w:lang w:val="fr-FR"/>
        </w:rPr>
        <w:t xml:space="preserve">encouragé la poursuite de l’élaboration et de la mise en œuvre de la stratégie. Plusieurs représentants ont souligné le rôle important joué par le secteur de la santé </w:t>
      </w:r>
      <w:r w:rsidR="008F1F1E" w:rsidRPr="00F1660D">
        <w:rPr>
          <w:lang w:val="fr-FR"/>
        </w:rPr>
        <w:t>dans la gestion rationnelle des produits chimiques et des déchets, et la protection de la santé humaine contre les effets néfastes possibles des produits chimiques. Les rôles pertinents du secteur de la santé étaient notamment la collecte d’éléments de preuve, la réalisation d</w:t>
      </w:r>
      <w:r w:rsidR="00786AD2" w:rsidRPr="00F1660D">
        <w:rPr>
          <w:lang w:val="fr-FR"/>
        </w:rPr>
        <w:t>’</w:t>
      </w:r>
      <w:r w:rsidR="008F1F1E" w:rsidRPr="00F1660D">
        <w:rPr>
          <w:lang w:val="fr-FR"/>
        </w:rPr>
        <w:t xml:space="preserve">évaluations des risques posés par les produits chimiques, l’information du public et la prévention et la gestion des alertes chimiques. Un représentant a déclaré que </w:t>
      </w:r>
      <w:r w:rsidR="00F04E13" w:rsidRPr="00F1660D">
        <w:rPr>
          <w:lang w:val="fr-FR"/>
        </w:rPr>
        <w:t>le Réseau mondial de l’OMS sur les produits chimiques et la santé</w:t>
      </w:r>
      <w:r w:rsidR="008F1F1E" w:rsidRPr="00F1660D">
        <w:rPr>
          <w:lang w:val="fr-FR"/>
        </w:rPr>
        <w:t xml:space="preserve"> pouvait faciliter la collaboration </w:t>
      </w:r>
      <w:r w:rsidR="00786AD2" w:rsidRPr="00F1660D">
        <w:rPr>
          <w:lang w:val="fr-FR"/>
        </w:rPr>
        <w:t xml:space="preserve">en matière de </w:t>
      </w:r>
      <w:r w:rsidR="008F1F1E" w:rsidRPr="00F1660D">
        <w:rPr>
          <w:lang w:val="fr-FR"/>
        </w:rPr>
        <w:t xml:space="preserve">gestion des produits chimiques et des déchets, tandis que la feuille de route était utile pour aider les pays à élaborer leurs propres plans de mise en œuvre pour assurer une gestion rationnelle des produits chimiques. Un représentant a souligné </w:t>
      </w:r>
      <w:r w:rsidR="004A07FF" w:rsidRPr="00F1660D">
        <w:rPr>
          <w:lang w:val="fr-FR"/>
        </w:rPr>
        <w:t>l’</w:t>
      </w:r>
      <w:r w:rsidR="006D75CD" w:rsidRPr="00F1660D">
        <w:rPr>
          <w:lang w:val="fr-FR"/>
        </w:rPr>
        <w:t xml:space="preserve">intérêt </w:t>
      </w:r>
      <w:r w:rsidR="004A07FF" w:rsidRPr="00F1660D">
        <w:rPr>
          <w:lang w:val="fr-FR"/>
        </w:rPr>
        <w:t xml:space="preserve">du renforcement des capacités dans le secteur et de la sensibilisation aux risques chimiques sur le lieu de travail pour veiller à ce que les professionnels de la santé soient en bonne santé et productifs et aient les connaissances requises pour traiter les patients </w:t>
      </w:r>
      <w:r w:rsidR="006D75CD" w:rsidRPr="00F1660D">
        <w:rPr>
          <w:lang w:val="fr-FR"/>
        </w:rPr>
        <w:t xml:space="preserve">affectés </w:t>
      </w:r>
      <w:r w:rsidR="004A07FF" w:rsidRPr="00F1660D">
        <w:rPr>
          <w:lang w:val="fr-FR"/>
        </w:rPr>
        <w:t xml:space="preserve">par l’exposition aux produits chimiques. Certains représentants ont évoqué les domaines de la stratégie pour le secteur de la santé qui pouvaient être améliorés. Si des progrès considérables avaient été réalisés, </w:t>
      </w:r>
      <w:r w:rsidR="003F76D0" w:rsidRPr="00F1660D">
        <w:rPr>
          <w:lang w:val="fr-FR"/>
        </w:rPr>
        <w:t xml:space="preserve">il restait encore beaucoup à faire pour assurer la participation du secteur de la santé, en particulier </w:t>
      </w:r>
      <w:r w:rsidR="00F359D6" w:rsidRPr="00F1660D">
        <w:rPr>
          <w:lang w:val="fr-FR"/>
        </w:rPr>
        <w:t>dans les pays en développement.</w:t>
      </w:r>
    </w:p>
    <w:p w14:paraId="38E592BF" w14:textId="422CD392" w:rsidR="002C67A2" w:rsidRPr="00F1660D" w:rsidRDefault="003F76D0" w:rsidP="003C673B">
      <w:pPr>
        <w:pStyle w:val="Normalnumber"/>
        <w:rPr>
          <w:lang w:val="fr-FR"/>
        </w:rPr>
      </w:pPr>
      <w:r w:rsidRPr="00F1660D">
        <w:rPr>
          <w:lang w:val="fr-FR"/>
        </w:rPr>
        <w:t>Concernant le rôle de l’OMS, un représentant, s’expriman</w:t>
      </w:r>
      <w:r w:rsidR="007E1DE0" w:rsidRPr="00F1660D">
        <w:rPr>
          <w:lang w:val="fr-FR"/>
        </w:rPr>
        <w:t>t au nom d’un groupe de pays, a rappelé le paragraphe 21 de la résolution </w:t>
      </w:r>
      <w:r w:rsidRPr="00F1660D">
        <w:rPr>
          <w:lang w:val="fr-FR"/>
        </w:rPr>
        <w:t xml:space="preserve">1/5 de l’Assemblée des Nations Unies pour l’environnement, dans lequel l’Assemblée avait invité le Directeur général de l’Organisation mondiale de la Santé à jouer un rôle de chef de file dans le cadre de l’Approche stratégique et à </w:t>
      </w:r>
      <w:r w:rsidR="00B23356" w:rsidRPr="00F1660D">
        <w:rPr>
          <w:lang w:val="fr-FR"/>
        </w:rPr>
        <w:t xml:space="preserve">fournir à son secrétariat le personnel approprié et d’autres ressources. L’OMS pourrait élargir ce rôle, par exemple en concentrant les ressources disponibles sur les activités qui aidaient les pays en développement à mettre en œuvre l’Approche stratégique, et en veillant à ce que </w:t>
      </w:r>
      <w:r w:rsidR="006D75CD" w:rsidRPr="00F1660D">
        <w:rPr>
          <w:lang w:val="fr-FR"/>
        </w:rPr>
        <w:t xml:space="preserve">les crédits budgétaires appropriés soient alloués à </w:t>
      </w:r>
      <w:r w:rsidR="00B23356" w:rsidRPr="00F1660D">
        <w:rPr>
          <w:lang w:val="fr-FR"/>
        </w:rPr>
        <w:t>la mise en œuvre de la feuille de route pour les produits chimiques au titre du programme de t</w:t>
      </w:r>
      <w:r w:rsidR="007E1DE0" w:rsidRPr="00F1660D">
        <w:rPr>
          <w:lang w:val="fr-FR"/>
        </w:rPr>
        <w:t>ravail de l’OMS pour la période </w:t>
      </w:r>
      <w:r w:rsidR="00B23356" w:rsidRPr="00F1660D">
        <w:rPr>
          <w:lang w:val="fr-FR"/>
        </w:rPr>
        <w:t xml:space="preserve">2020-2021, qui </w:t>
      </w:r>
      <w:r w:rsidR="006D75CD" w:rsidRPr="00F1660D">
        <w:rPr>
          <w:lang w:val="fr-FR"/>
        </w:rPr>
        <w:t xml:space="preserve">devait être </w:t>
      </w:r>
      <w:r w:rsidR="00B23356" w:rsidRPr="00F1660D">
        <w:rPr>
          <w:lang w:val="fr-FR"/>
        </w:rPr>
        <w:t>approuvé</w:t>
      </w:r>
      <w:r w:rsidR="006D75CD" w:rsidRPr="00F1660D">
        <w:rPr>
          <w:lang w:val="fr-FR"/>
        </w:rPr>
        <w:t>e</w:t>
      </w:r>
      <w:r w:rsidR="00B23356" w:rsidRPr="00F1660D">
        <w:rPr>
          <w:lang w:val="fr-FR"/>
        </w:rPr>
        <w:t xml:space="preserve"> à la soixante-douzième session de l’Assemblée mondiale de la Santé en mai 2019. En réponse, le représentant de l’OMS a fait savoir que le Conseil exécutif de l’OMS</w:t>
      </w:r>
      <w:r w:rsidR="000A7C26" w:rsidRPr="00F1660D">
        <w:rPr>
          <w:lang w:val="fr-FR"/>
        </w:rPr>
        <w:t xml:space="preserve">, à </w:t>
      </w:r>
      <w:proofErr w:type="gramStart"/>
      <w:r w:rsidR="000A7C26" w:rsidRPr="00F1660D">
        <w:rPr>
          <w:lang w:val="fr-FR"/>
        </w:rPr>
        <w:t xml:space="preserve">sa </w:t>
      </w:r>
      <w:r w:rsidR="007E1DE0" w:rsidRPr="00F1660D">
        <w:rPr>
          <w:lang w:val="fr-FR"/>
        </w:rPr>
        <w:t xml:space="preserve">cent quarante quatrième </w:t>
      </w:r>
      <w:r w:rsidR="000A7C26" w:rsidRPr="00F1660D">
        <w:rPr>
          <w:lang w:val="fr-FR"/>
        </w:rPr>
        <w:t>session tenue</w:t>
      </w:r>
      <w:proofErr w:type="gramEnd"/>
      <w:r w:rsidR="000A7C26" w:rsidRPr="00F1660D">
        <w:rPr>
          <w:lang w:val="fr-FR"/>
        </w:rPr>
        <w:t xml:space="preserve"> en janvier 2019, avait rec</w:t>
      </w:r>
      <w:r w:rsidR="007E1DE0" w:rsidRPr="00F1660D">
        <w:rPr>
          <w:lang w:val="fr-FR"/>
        </w:rPr>
        <w:t>ommandé l’inclusion de la cible </w:t>
      </w:r>
      <w:r w:rsidR="000A7C26" w:rsidRPr="00F1660D">
        <w:rPr>
          <w:lang w:val="fr-FR"/>
        </w:rPr>
        <w:t>3.9 de l’ob</w:t>
      </w:r>
      <w:r w:rsidR="007E1DE0" w:rsidRPr="00F1660D">
        <w:rPr>
          <w:lang w:val="fr-FR"/>
        </w:rPr>
        <w:t>jectif de développement durable </w:t>
      </w:r>
      <w:r w:rsidR="000A7C26" w:rsidRPr="00F1660D">
        <w:rPr>
          <w:lang w:val="fr-FR"/>
        </w:rPr>
        <w:t>3, sur les produits chimiques dangereux, dans les objectifs programmatiques du budge</w:t>
      </w:r>
      <w:r w:rsidR="00F359D6" w:rsidRPr="00F1660D">
        <w:rPr>
          <w:lang w:val="fr-FR"/>
        </w:rPr>
        <w:t>t-programme de l’OMS pour 2021.</w:t>
      </w:r>
    </w:p>
    <w:p w14:paraId="491E73F8" w14:textId="4E1BF290" w:rsidR="00457FA4" w:rsidRPr="00F1660D" w:rsidRDefault="000A7C26" w:rsidP="003C673B">
      <w:pPr>
        <w:pStyle w:val="Normalnumber"/>
        <w:rPr>
          <w:lang w:val="fr-FR"/>
        </w:rPr>
      </w:pPr>
      <w:r w:rsidRPr="00F1660D">
        <w:rPr>
          <w:lang w:val="fr-FR"/>
        </w:rPr>
        <w:t xml:space="preserve">À l’issue du débat, la Présidente a indiqué qu’il serait également utile d’accroître la visibilité de la gestion des produits chimiques et des déchets dans d’autres secteurs, tels que l’emploi et l’agriculture, </w:t>
      </w:r>
      <w:r w:rsidR="00457FA4" w:rsidRPr="00F1660D">
        <w:rPr>
          <w:lang w:val="fr-FR"/>
        </w:rPr>
        <w:t xml:space="preserve">soutenus par les administrations </w:t>
      </w:r>
      <w:r w:rsidR="006D75CD" w:rsidRPr="00F1660D">
        <w:rPr>
          <w:lang w:val="fr-FR"/>
        </w:rPr>
        <w:t xml:space="preserve">ou </w:t>
      </w:r>
      <w:r w:rsidR="00457FA4" w:rsidRPr="00F1660D">
        <w:rPr>
          <w:lang w:val="fr-FR"/>
        </w:rPr>
        <w:t>organismes champions, comme cela s’</w:t>
      </w:r>
      <w:r w:rsidR="006D75CD" w:rsidRPr="00F1660D">
        <w:rPr>
          <w:lang w:val="fr-FR"/>
        </w:rPr>
        <w:t xml:space="preserve">était </w:t>
      </w:r>
      <w:r w:rsidR="00457FA4" w:rsidRPr="00F1660D">
        <w:rPr>
          <w:lang w:val="fr-FR"/>
        </w:rPr>
        <w:t xml:space="preserve">avéré efficace dans le secteur de la santé. </w:t>
      </w:r>
    </w:p>
    <w:p w14:paraId="57576D4B" w14:textId="096CC6F7" w:rsidR="00452691" w:rsidRPr="00F1660D" w:rsidRDefault="00457FA4" w:rsidP="003C673B">
      <w:pPr>
        <w:pStyle w:val="Normalnumber"/>
        <w:rPr>
          <w:lang w:val="fr-FR"/>
        </w:rPr>
      </w:pPr>
      <w:r w:rsidRPr="00F1660D">
        <w:rPr>
          <w:lang w:val="fr-FR"/>
        </w:rPr>
        <w:t>Le Groupe de travail a pris note du rapport de l’OMS sur la mise en œuvre de la stratégie pour le secteur de la santé.</w:t>
      </w:r>
      <w:r w:rsidR="000A7C26" w:rsidRPr="00F1660D">
        <w:rPr>
          <w:lang w:val="fr-FR"/>
        </w:rPr>
        <w:t xml:space="preserve"> </w:t>
      </w:r>
      <w:r w:rsidR="003C673B" w:rsidRPr="00F1660D">
        <w:rPr>
          <w:lang w:val="fr-FR"/>
        </w:rPr>
        <w:t xml:space="preserve"> </w:t>
      </w:r>
    </w:p>
    <w:p w14:paraId="6E2FFF29" w14:textId="17D049E4" w:rsidR="00452691" w:rsidRPr="00F1660D" w:rsidRDefault="008D4582" w:rsidP="003C673B">
      <w:pPr>
        <w:pStyle w:val="CH2"/>
        <w:rPr>
          <w:lang w:val="fr-FR"/>
        </w:rPr>
      </w:pPr>
      <w:r w:rsidRPr="00F1660D">
        <w:rPr>
          <w:lang w:val="fr-FR"/>
        </w:rPr>
        <w:tab/>
        <w:t>E</w:t>
      </w:r>
      <w:r w:rsidR="003C673B" w:rsidRPr="00F1660D">
        <w:rPr>
          <w:lang w:val="fr-FR"/>
        </w:rPr>
        <w:t>.</w:t>
      </w:r>
      <w:r w:rsidR="003C673B" w:rsidRPr="00F1660D">
        <w:rPr>
          <w:lang w:val="fr-FR"/>
        </w:rPr>
        <w:tab/>
      </w:r>
      <w:r w:rsidR="00452691" w:rsidRPr="00F1660D">
        <w:rPr>
          <w:lang w:val="fr-FR"/>
        </w:rPr>
        <w:t>Financement de l</w:t>
      </w:r>
      <w:r w:rsidR="00CE30FD" w:rsidRPr="00F1660D">
        <w:rPr>
          <w:lang w:val="fr-FR"/>
        </w:rPr>
        <w:t>’</w:t>
      </w:r>
      <w:r w:rsidR="00452691" w:rsidRPr="00F1660D">
        <w:rPr>
          <w:lang w:val="fr-FR"/>
        </w:rPr>
        <w:t>Approche stratégique</w:t>
      </w:r>
    </w:p>
    <w:p w14:paraId="1D262966" w14:textId="096D168D" w:rsidR="00452691" w:rsidRPr="00F1660D" w:rsidRDefault="00457FA4" w:rsidP="003C673B">
      <w:pPr>
        <w:pStyle w:val="Normalnumber"/>
        <w:rPr>
          <w:lang w:val="fr-FR"/>
        </w:rPr>
      </w:pPr>
      <w:r w:rsidRPr="00F1660D">
        <w:rPr>
          <w:lang w:val="fr-FR"/>
        </w:rPr>
        <w:t xml:space="preserve">Présentant ce sous-point, le représentant du secrétariat a appelé l’attention </w:t>
      </w:r>
      <w:r w:rsidR="006D75CD" w:rsidRPr="00F1660D">
        <w:rPr>
          <w:lang w:val="fr-FR"/>
        </w:rPr>
        <w:t xml:space="preserve">des participants </w:t>
      </w:r>
      <w:r w:rsidRPr="00F1660D">
        <w:rPr>
          <w:lang w:val="fr-FR"/>
        </w:rPr>
        <w:t xml:space="preserve">sur un rapport du secrétariat sur le Programme de démarrage rapide et son fonds d’affectation spéciale (SAICM/OEWG.3/7), un rapport </w:t>
      </w:r>
      <w:r w:rsidR="00095C9B" w:rsidRPr="00F1660D">
        <w:rPr>
          <w:lang w:val="fr-FR"/>
        </w:rPr>
        <w:t xml:space="preserve">du </w:t>
      </w:r>
      <w:r w:rsidR="006D75CD" w:rsidRPr="00F1660D">
        <w:rPr>
          <w:lang w:val="fr-FR"/>
        </w:rPr>
        <w:t>D</w:t>
      </w:r>
      <w:r w:rsidR="00095C9B" w:rsidRPr="00F1660D">
        <w:rPr>
          <w:lang w:val="fr-FR"/>
        </w:rPr>
        <w:t xml:space="preserve">irecteur exécutif sur l’évaluation de la mise en œuvre de l’approche intégrée pour le financement de la gestion rationnelle des produits chimiques et des déchets (SAICM/OEWG.3/INF/11), un rapport sur le Programme spécial </w:t>
      </w:r>
      <w:r w:rsidR="00095C9B" w:rsidRPr="00F1660D">
        <w:rPr>
          <w:color w:val="333333"/>
          <w:shd w:val="clear" w:color="auto" w:fill="FFFFFF"/>
          <w:lang w:val="fr-FR"/>
        </w:rPr>
        <w:t>d’appui au renforcement des institutions nationales aux fins de la mise en œuvre des conventions de Bâle, de Rotterdam et de Stockholm, de la Convention de Minamata sur le mercure et de l’Approche stratégique de la gestion internationale des produits chimiques (SAICM/OEWG.3/INF/12)</w:t>
      </w:r>
      <w:r w:rsidR="006D75CD" w:rsidRPr="00F1660D">
        <w:rPr>
          <w:color w:val="333333"/>
          <w:shd w:val="clear" w:color="auto" w:fill="FFFFFF"/>
          <w:lang w:val="fr-FR"/>
        </w:rPr>
        <w:t>,</w:t>
      </w:r>
      <w:r w:rsidR="00095C9B" w:rsidRPr="00F1660D">
        <w:rPr>
          <w:color w:val="333333"/>
          <w:shd w:val="clear" w:color="auto" w:fill="FFFFFF"/>
          <w:lang w:val="fr-FR"/>
        </w:rPr>
        <w:t xml:space="preserve"> et un rapport du Fonds pour l’environnement mondial (SAICM/OEWG.3/INF/13).</w:t>
      </w:r>
    </w:p>
    <w:p w14:paraId="1FA634E2" w14:textId="25549C89" w:rsidR="002C67A2" w:rsidRPr="00F1660D" w:rsidRDefault="00095C9B" w:rsidP="00220BFA">
      <w:pPr>
        <w:pStyle w:val="Normalnumber"/>
        <w:rPr>
          <w:lang w:val="fr-FR"/>
        </w:rPr>
      </w:pPr>
      <w:r w:rsidRPr="00F1660D">
        <w:rPr>
          <w:lang w:val="fr-FR"/>
        </w:rPr>
        <w:t xml:space="preserve">La Présidente a </w:t>
      </w:r>
      <w:r w:rsidR="009F4C1C" w:rsidRPr="00F1660D">
        <w:rPr>
          <w:lang w:val="fr-FR"/>
        </w:rPr>
        <w:t>tout d’abord remercié tous les donateurs qui avaient généreusement contribué au Programme de démarrage rapide au fil des ans. À son invitation</w:t>
      </w:r>
      <w:r w:rsidR="007E1DE0" w:rsidRPr="00F1660D">
        <w:rPr>
          <w:lang w:val="fr-FR"/>
        </w:rPr>
        <w:t>, le représentant du PNUE et le </w:t>
      </w:r>
      <w:r w:rsidR="009F4C1C" w:rsidRPr="00F1660D">
        <w:rPr>
          <w:lang w:val="fr-FR"/>
        </w:rPr>
        <w:t xml:space="preserve">représentant du FEM ont présenté les rapports de leurs organisations respectives. </w:t>
      </w:r>
    </w:p>
    <w:p w14:paraId="72E72689" w14:textId="03A66C9B" w:rsidR="002C67A2" w:rsidRPr="00F1660D" w:rsidRDefault="009F4C1C" w:rsidP="003C673B">
      <w:pPr>
        <w:pStyle w:val="Normalnumber"/>
        <w:rPr>
          <w:lang w:val="fr-FR"/>
        </w:rPr>
      </w:pPr>
      <w:r w:rsidRPr="00F1660D">
        <w:rPr>
          <w:lang w:val="fr-FR"/>
        </w:rPr>
        <w:t>Elle a ensuite invité les participants à formuler des observations sur le Programme de démarrage rapide et sur le financement de l’Approche stratégique de façon plus généra</w:t>
      </w:r>
      <w:r w:rsidR="00D847BF" w:rsidRPr="00F1660D">
        <w:rPr>
          <w:lang w:val="fr-FR"/>
        </w:rPr>
        <w:t>le.</w:t>
      </w:r>
    </w:p>
    <w:p w14:paraId="780D27DF" w14:textId="7DEFA4DB" w:rsidR="002C67A2" w:rsidRPr="00F1660D" w:rsidRDefault="00D847BF" w:rsidP="003C673B">
      <w:pPr>
        <w:pStyle w:val="Normalnumber"/>
        <w:rPr>
          <w:lang w:val="fr-FR"/>
        </w:rPr>
      </w:pPr>
      <w:r w:rsidRPr="00F1660D">
        <w:rPr>
          <w:color w:val="333333"/>
          <w:shd w:val="clear" w:color="auto" w:fill="FFFFFF"/>
          <w:lang w:val="fr-FR"/>
        </w:rPr>
        <w:t>Un appui général a été exprimé en faveur de l’utilisation de l’approche intégrée en tant que base de discussion sur le financement au-delà de 2020.</w:t>
      </w:r>
    </w:p>
    <w:p w14:paraId="5609A6AB" w14:textId="5FDA1506" w:rsidR="002C67A2" w:rsidRPr="00F1660D" w:rsidRDefault="00D847BF" w:rsidP="003C673B">
      <w:pPr>
        <w:pStyle w:val="Normalnumber"/>
        <w:rPr>
          <w:lang w:val="fr-FR"/>
        </w:rPr>
      </w:pPr>
      <w:r w:rsidRPr="00F1660D">
        <w:rPr>
          <w:lang w:val="fr-FR"/>
        </w:rPr>
        <w:t xml:space="preserve">La représentante de l’Argentine, s’exprimant au nom du groupe des États d’Afrique, du groupe des États d’Amérique latine et des Caraïbes, de l’Azerbaïdjan, du Cambodge, de l’Indonésie, d’Oman, de la République islamique d’Iran, de Thaïlande et de Tuvalu, a présenté un document de séance sur les </w:t>
      </w:r>
      <w:r w:rsidRPr="00F1660D">
        <w:rPr>
          <w:color w:val="333333"/>
          <w:shd w:val="clear" w:color="auto" w:fill="FFFFFF"/>
          <w:lang w:val="fr-FR"/>
        </w:rPr>
        <w:t xml:space="preserve">considérations financières, qui devait contribuer aux délibérations liées au financement du groupe de contact chargé, au titre du point 3 b) i), de formuler des recommandations relatives à l’Approche stratégique et </w:t>
      </w:r>
      <w:r w:rsidR="006D75CD" w:rsidRPr="00F1660D">
        <w:rPr>
          <w:color w:val="333333"/>
          <w:shd w:val="clear" w:color="auto" w:fill="FFFFFF"/>
          <w:lang w:val="fr-FR"/>
        </w:rPr>
        <w:t xml:space="preserve">à </w:t>
      </w:r>
      <w:r w:rsidRPr="00F1660D">
        <w:rPr>
          <w:color w:val="333333"/>
          <w:shd w:val="clear" w:color="auto" w:fill="FFFFFF"/>
          <w:lang w:val="fr-FR"/>
        </w:rPr>
        <w:t>la gestion rationnelle des produits chimiques et des déchets au-delà de 2020, pour examen par la Conférence internationale sur la gestion des produits chimiques à sa cinquième session</w:t>
      </w:r>
      <w:r w:rsidRPr="00F1660D">
        <w:rPr>
          <w:color w:val="333333"/>
          <w:sz w:val="21"/>
          <w:szCs w:val="21"/>
          <w:shd w:val="clear" w:color="auto" w:fill="FFFFFF"/>
          <w:lang w:val="fr-FR"/>
        </w:rPr>
        <w:t>.</w:t>
      </w:r>
      <w:r w:rsidRPr="00F1660D">
        <w:rPr>
          <w:lang w:val="fr-FR"/>
        </w:rPr>
        <w:t xml:space="preserve"> Elle a déclaré qu’il était essentiel de mettre en place un mécanisme </w:t>
      </w:r>
      <w:r w:rsidRPr="00F1660D">
        <w:rPr>
          <w:color w:val="333333"/>
          <w:shd w:val="clear" w:color="auto" w:fill="FFFFFF"/>
          <w:lang w:val="fr-FR"/>
        </w:rPr>
        <w:t>qui permett</w:t>
      </w:r>
      <w:r w:rsidR="006D75CD" w:rsidRPr="00F1660D">
        <w:rPr>
          <w:color w:val="333333"/>
          <w:shd w:val="clear" w:color="auto" w:fill="FFFFFF"/>
          <w:lang w:val="fr-FR"/>
        </w:rPr>
        <w:t>rait</w:t>
      </w:r>
      <w:r w:rsidRPr="00F1660D">
        <w:rPr>
          <w:color w:val="333333"/>
          <w:shd w:val="clear" w:color="auto" w:fill="FFFFFF"/>
          <w:lang w:val="fr-FR"/>
        </w:rPr>
        <w:t xml:space="preserve"> d’assurer, à long terme, un financement durable, opportun, prévisible, suffisant et accessible à toutes les parties prenantes intéressées et qui était accompagné d’une assistance technique appropriée aux pays en développement.</w:t>
      </w:r>
    </w:p>
    <w:p w14:paraId="0D432763" w14:textId="3D3507BD" w:rsidR="002C67A2" w:rsidRPr="00F1660D" w:rsidRDefault="00220BFA" w:rsidP="003C673B">
      <w:pPr>
        <w:pStyle w:val="Normalnumber"/>
        <w:rPr>
          <w:lang w:val="fr-FR"/>
        </w:rPr>
      </w:pPr>
      <w:r w:rsidRPr="00F1660D">
        <w:rPr>
          <w:lang w:val="fr-FR"/>
        </w:rPr>
        <w:t xml:space="preserve">Plusieurs représentants, dont deux s’exprimant au nom de groupes de pays, ont souligné </w:t>
      </w:r>
      <w:r w:rsidRPr="00F1660D">
        <w:rPr>
          <w:color w:val="333333"/>
          <w:shd w:val="clear" w:color="auto" w:fill="FFFFFF"/>
          <w:lang w:val="fr-FR"/>
        </w:rPr>
        <w:t xml:space="preserve">l’importance particulière de deux des trois volets de l’approche intégrée : ceux qui avaient trait à l’intégration de la gestion rationnelle des produits chimiques et des déchets dans la planification du développement et à la participation de l’industrie. Un autre représentant s’est dit préoccupé par le fait que, d’après le rapport du Directeur exécutif (SAICM/OEWG.3/INF/11), il n’y avait pas suffisamment d’informations pour évaluer ces </w:t>
      </w:r>
      <w:r w:rsidR="006C7653" w:rsidRPr="00F1660D">
        <w:rPr>
          <w:color w:val="333333"/>
          <w:shd w:val="clear" w:color="auto" w:fill="FFFFFF"/>
          <w:lang w:val="fr-FR"/>
        </w:rPr>
        <w:t>volets; il a proposé que le processus interses</w:t>
      </w:r>
      <w:r w:rsidR="007E1DE0" w:rsidRPr="00F1660D">
        <w:rPr>
          <w:color w:val="333333"/>
          <w:shd w:val="clear" w:color="auto" w:fill="FFFFFF"/>
          <w:lang w:val="fr-FR"/>
        </w:rPr>
        <w:t>sions examine la recommandation </w:t>
      </w:r>
      <w:r w:rsidR="006C7653" w:rsidRPr="00F1660D">
        <w:rPr>
          <w:color w:val="333333"/>
          <w:shd w:val="clear" w:color="auto" w:fill="FFFFFF"/>
          <w:lang w:val="fr-FR"/>
        </w:rPr>
        <w:t xml:space="preserve">2 de ce rapport sur la préparation de directives actualisées sur l’approche intégrée étant donné qu’il s’agissait d’une idée évolutive, et la recommandation 8 sur l’examen des exigences en matière de communication d’informations et le renforcement des stratégies et approches actuelles en matière de suivi, d’évaluation et d’apprentissage. La </w:t>
      </w:r>
      <w:r w:rsidR="005C39BF" w:rsidRPr="00F1660D">
        <w:rPr>
          <w:color w:val="333333"/>
          <w:shd w:val="clear" w:color="auto" w:fill="FFFFFF"/>
          <w:lang w:val="fr-FR"/>
        </w:rPr>
        <w:t>P</w:t>
      </w:r>
      <w:r w:rsidR="006C7653" w:rsidRPr="00F1660D">
        <w:rPr>
          <w:color w:val="333333"/>
          <w:shd w:val="clear" w:color="auto" w:fill="FFFFFF"/>
          <w:lang w:val="fr-FR"/>
        </w:rPr>
        <w:t>résidente a attiré l’</w:t>
      </w:r>
      <w:r w:rsidR="007E1DE0" w:rsidRPr="00F1660D">
        <w:rPr>
          <w:color w:val="333333"/>
          <w:shd w:val="clear" w:color="auto" w:fill="FFFFFF"/>
          <w:lang w:val="fr-FR"/>
        </w:rPr>
        <w:t>attention sur la recommandation </w:t>
      </w:r>
      <w:r w:rsidR="006C7653" w:rsidRPr="00F1660D">
        <w:rPr>
          <w:color w:val="333333"/>
          <w:shd w:val="clear" w:color="auto" w:fill="FFFFFF"/>
          <w:lang w:val="fr-FR"/>
        </w:rPr>
        <w:t>7 sur l’évaluation de la possibilité pour le secrétariat de l’Approche stratégique de servir d’intermédiaire c</w:t>
      </w:r>
      <w:r w:rsidR="005C39BF" w:rsidRPr="00F1660D">
        <w:rPr>
          <w:color w:val="333333"/>
          <w:shd w:val="clear" w:color="auto" w:fill="FFFFFF"/>
          <w:lang w:val="fr-FR"/>
        </w:rPr>
        <w:t>l</w:t>
      </w:r>
      <w:r w:rsidR="006C7653" w:rsidRPr="00F1660D">
        <w:rPr>
          <w:color w:val="333333"/>
          <w:shd w:val="clear" w:color="auto" w:fill="FFFFFF"/>
          <w:lang w:val="fr-FR"/>
        </w:rPr>
        <w:t xml:space="preserve">é dans l’approche intégrée. </w:t>
      </w:r>
      <w:r w:rsidR="004A61D5" w:rsidRPr="00F1660D">
        <w:rPr>
          <w:color w:val="333333"/>
          <w:shd w:val="clear" w:color="auto" w:fill="FFFFFF"/>
          <w:lang w:val="fr-FR"/>
        </w:rPr>
        <w:t xml:space="preserve">Elle a toutefois indiqué que le financement alloué à l’Approche stratégique était insuffisant et que l’on devrait davantage s’attacher à </w:t>
      </w:r>
      <w:r w:rsidR="005C6910" w:rsidRPr="00F1660D">
        <w:rPr>
          <w:color w:val="333333"/>
          <w:shd w:val="clear" w:color="auto" w:fill="FFFFFF"/>
          <w:lang w:val="fr-FR"/>
        </w:rPr>
        <w:t xml:space="preserve">déterminer des priorités au sein des ressources financières limitées disponibles. Deux représentants, dont un s’exprimant au nom d’un groupe de pays, </w:t>
      </w:r>
      <w:r w:rsidR="005C39BF" w:rsidRPr="00F1660D">
        <w:rPr>
          <w:color w:val="333333"/>
          <w:shd w:val="clear" w:color="auto" w:fill="FFFFFF"/>
          <w:lang w:val="fr-FR"/>
        </w:rPr>
        <w:t>ont</w:t>
      </w:r>
      <w:r w:rsidR="005C6910" w:rsidRPr="00F1660D">
        <w:rPr>
          <w:color w:val="333333"/>
          <w:shd w:val="clear" w:color="auto" w:fill="FFFFFF"/>
          <w:lang w:val="fr-FR"/>
        </w:rPr>
        <w:t xml:space="preserve"> convenu que la question de l’octroi de ressources financières </w:t>
      </w:r>
      <w:r w:rsidR="005C39BF" w:rsidRPr="00F1660D">
        <w:rPr>
          <w:color w:val="333333"/>
          <w:shd w:val="clear" w:color="auto" w:fill="FFFFFF"/>
          <w:lang w:val="fr-FR"/>
        </w:rPr>
        <w:t xml:space="preserve">suffisantes </w:t>
      </w:r>
      <w:r w:rsidR="005C6910" w:rsidRPr="00F1660D">
        <w:rPr>
          <w:color w:val="333333"/>
          <w:shd w:val="clear" w:color="auto" w:fill="FFFFFF"/>
          <w:lang w:val="fr-FR"/>
        </w:rPr>
        <w:t xml:space="preserve">au secrétariat devait être abordée dans </w:t>
      </w:r>
      <w:r w:rsidR="005C39BF" w:rsidRPr="00F1660D">
        <w:rPr>
          <w:color w:val="333333"/>
          <w:shd w:val="clear" w:color="auto" w:fill="FFFFFF"/>
          <w:lang w:val="fr-FR"/>
        </w:rPr>
        <w:t>le cadre des d</w:t>
      </w:r>
      <w:r w:rsidR="005C6910" w:rsidRPr="00F1660D">
        <w:rPr>
          <w:color w:val="333333"/>
          <w:shd w:val="clear" w:color="auto" w:fill="FFFFFF"/>
          <w:lang w:val="fr-FR"/>
        </w:rPr>
        <w:t>iscussions concernant l’avenir; le représentant s’exprimant au nom d’un groupe de pays a relevé que non seulement le FEM et le Programme spécial d’appui au renforcement des institutions nationales aux fins de la mise en œuvre des conventions de Bâle, de Rotterdam et de Stockholm, de la Convention de Minamata et de l’Approche stratégique de la gestion internationale des produits chimiques pouvaient être des sources potentielles, mais également que d’autres possibilités s’offraient, notamment au titre du cinquième Programme de Montevideo pour le développement et l’examen périodique du droit</w:t>
      </w:r>
      <w:r w:rsidR="007E1DE0" w:rsidRPr="00F1660D">
        <w:rPr>
          <w:color w:val="333333"/>
          <w:shd w:val="clear" w:color="auto" w:fill="FFFFFF"/>
          <w:lang w:val="fr-FR"/>
        </w:rPr>
        <w:t xml:space="preserve"> de l’environnement (Montevideo </w:t>
      </w:r>
      <w:r w:rsidR="005C6910" w:rsidRPr="00F1660D">
        <w:rPr>
          <w:color w:val="333333"/>
          <w:shd w:val="clear" w:color="auto" w:fill="FFFFFF"/>
          <w:lang w:val="fr-FR"/>
        </w:rPr>
        <w:t>V)</w:t>
      </w:r>
      <w:r w:rsidR="007E1DE0" w:rsidRPr="00F1660D">
        <w:rPr>
          <w:color w:val="333333"/>
          <w:shd w:val="clear" w:color="auto" w:fill="FFFFFF"/>
          <w:lang w:val="fr-FR"/>
        </w:rPr>
        <w:t>.</w:t>
      </w:r>
      <w:r w:rsidR="004A61D5" w:rsidRPr="00F1660D">
        <w:rPr>
          <w:color w:val="333333"/>
          <w:shd w:val="clear" w:color="auto" w:fill="FFFFFF"/>
          <w:lang w:val="fr-FR"/>
        </w:rPr>
        <w:t xml:space="preserve"> </w:t>
      </w:r>
    </w:p>
    <w:p w14:paraId="794BF54C" w14:textId="04442F97" w:rsidR="002C67A2" w:rsidRPr="00F1660D" w:rsidRDefault="002E453C" w:rsidP="003C673B">
      <w:pPr>
        <w:pStyle w:val="Normalnumber"/>
        <w:rPr>
          <w:lang w:val="fr-FR"/>
        </w:rPr>
      </w:pPr>
      <w:r w:rsidRPr="00F1660D">
        <w:rPr>
          <w:lang w:val="fr-FR"/>
        </w:rPr>
        <w:t xml:space="preserve">Plusieurs autres propositions ont été formulées durant le débat sur les domaines de financement prioritaires, qui incluaient l’élaboration de modes de financements novateurs ou d’une stratégie de mobilisation des ressources ; le renforcement de la participation des institutions financières régionales telles que les banques régionales de développement ; la création de ressources par le prélèvement de taxes sur l’industrie chimique ; </w:t>
      </w:r>
      <w:r w:rsidR="006D41CA" w:rsidRPr="00F1660D">
        <w:rPr>
          <w:lang w:val="fr-FR"/>
        </w:rPr>
        <w:t>la publication d’une étude du PNUE sur l</w:t>
      </w:r>
      <w:r w:rsidR="00C279C1" w:rsidRPr="00F1660D">
        <w:rPr>
          <w:lang w:val="fr-FR"/>
        </w:rPr>
        <w:t>’internalisation des coûts ; la </w:t>
      </w:r>
      <w:r w:rsidR="005C39BF" w:rsidRPr="00F1660D">
        <w:rPr>
          <w:lang w:val="fr-FR"/>
        </w:rPr>
        <w:t xml:space="preserve">présentation </w:t>
      </w:r>
      <w:r w:rsidR="006D41CA" w:rsidRPr="00F1660D">
        <w:rPr>
          <w:lang w:val="fr-FR"/>
        </w:rPr>
        <w:t xml:space="preserve">d’une demande officielle aux donateurs </w:t>
      </w:r>
      <w:r w:rsidR="005C39BF" w:rsidRPr="00F1660D">
        <w:rPr>
          <w:lang w:val="fr-FR"/>
        </w:rPr>
        <w:t xml:space="preserve">pour le </w:t>
      </w:r>
      <w:r w:rsidR="006D41CA" w:rsidRPr="00F1660D">
        <w:rPr>
          <w:lang w:val="fr-FR"/>
        </w:rPr>
        <w:t xml:space="preserve">financement de la gestion des produits chimiques et des déchets et l’importance que cela revêtait, ce qui permettrait aux donateurs de faire de cette question une priorité ; la recherche de </w:t>
      </w:r>
      <w:r w:rsidR="00D64E21" w:rsidRPr="00F1660D">
        <w:rPr>
          <w:lang w:val="fr-FR"/>
        </w:rPr>
        <w:t xml:space="preserve">moyens permettant de garantir </w:t>
      </w:r>
      <w:r w:rsidR="00E90ABA" w:rsidRPr="00F1660D">
        <w:rPr>
          <w:lang w:val="fr-FR"/>
        </w:rPr>
        <w:t>l</w:t>
      </w:r>
      <w:r w:rsidR="00D64E21" w:rsidRPr="00F1660D">
        <w:rPr>
          <w:lang w:val="fr-FR"/>
        </w:rPr>
        <w:t xml:space="preserve">’accès </w:t>
      </w:r>
      <w:r w:rsidR="005C39BF" w:rsidRPr="00F1660D">
        <w:rPr>
          <w:lang w:val="fr-FR"/>
        </w:rPr>
        <w:t>a</w:t>
      </w:r>
      <w:r w:rsidR="00D64E21" w:rsidRPr="00F1660D">
        <w:rPr>
          <w:lang w:val="fr-FR"/>
        </w:rPr>
        <w:t xml:space="preserve">ux mécanismes de financement </w:t>
      </w:r>
      <w:r w:rsidR="005C39BF" w:rsidRPr="00F1660D">
        <w:rPr>
          <w:lang w:val="fr-FR"/>
        </w:rPr>
        <w:t>pour</w:t>
      </w:r>
      <w:r w:rsidR="00E90ABA" w:rsidRPr="00F1660D">
        <w:rPr>
          <w:lang w:val="fr-FR"/>
        </w:rPr>
        <w:t xml:space="preserve"> de nombreux secteurs, et non </w:t>
      </w:r>
      <w:r w:rsidR="005C39BF" w:rsidRPr="00F1660D">
        <w:rPr>
          <w:lang w:val="fr-FR"/>
        </w:rPr>
        <w:t xml:space="preserve">pas </w:t>
      </w:r>
      <w:r w:rsidR="00E90ABA" w:rsidRPr="00F1660D">
        <w:rPr>
          <w:lang w:val="fr-FR"/>
        </w:rPr>
        <w:t xml:space="preserve">au seul </w:t>
      </w:r>
      <w:r w:rsidR="00D64E21" w:rsidRPr="00F1660D">
        <w:rPr>
          <w:lang w:val="fr-FR"/>
        </w:rPr>
        <w:t xml:space="preserve">secteur de l’environnement ;  </w:t>
      </w:r>
      <w:r w:rsidR="00E90ABA" w:rsidRPr="00F1660D">
        <w:rPr>
          <w:lang w:val="fr-FR"/>
        </w:rPr>
        <w:t>la recherche de moyens pour s’assurer que les organisations de la société civile puissent accéder au financement étant donné qu’elles étaient actuellement exclues du Programme spécial ; le renforcement du rôle du secteur privé dans le développement des capacités et l’élaboration d’un indicateur sur le nombre de pays et d’organisations qui fournissent des ressources</w:t>
      </w:r>
      <w:r w:rsidR="00A202F9" w:rsidRPr="00F1660D">
        <w:rPr>
          <w:lang w:val="fr-FR"/>
        </w:rPr>
        <w:t xml:space="preserve"> pour la coopération technique dans ce domaine.</w:t>
      </w:r>
    </w:p>
    <w:p w14:paraId="0324B45C" w14:textId="1F2CAA93" w:rsidR="002C67A2" w:rsidRPr="00F1660D" w:rsidRDefault="00A202F9" w:rsidP="003C673B">
      <w:pPr>
        <w:pStyle w:val="Normalnumber"/>
        <w:rPr>
          <w:lang w:val="fr-FR"/>
        </w:rPr>
      </w:pPr>
      <w:r w:rsidRPr="00F1660D">
        <w:rPr>
          <w:lang w:val="fr-FR"/>
        </w:rPr>
        <w:t>Un représentant a souligné l’importance de l’assistance technique, du soutien financier et du transfert de technologie</w:t>
      </w:r>
      <w:r w:rsidR="005C39BF" w:rsidRPr="00F1660D">
        <w:rPr>
          <w:lang w:val="fr-FR"/>
        </w:rPr>
        <w:t>s</w:t>
      </w:r>
      <w:r w:rsidRPr="00F1660D">
        <w:rPr>
          <w:lang w:val="fr-FR"/>
        </w:rPr>
        <w:t xml:space="preserve"> ainsi que la nécessité de veiller à ce que la coopération avec le FEM soit fondée sur des critères techniques, sans être entachée de considérations politiques.  </w:t>
      </w:r>
    </w:p>
    <w:p w14:paraId="09562728" w14:textId="7D993373" w:rsidR="002C67A2" w:rsidRPr="00F1660D" w:rsidRDefault="00A202F9" w:rsidP="003C673B">
      <w:pPr>
        <w:pStyle w:val="Normalnumber"/>
        <w:rPr>
          <w:lang w:val="fr-FR"/>
        </w:rPr>
      </w:pPr>
      <w:r w:rsidRPr="00F1660D">
        <w:rPr>
          <w:lang w:val="fr-FR"/>
        </w:rPr>
        <w:t>À l’issue du débat, le Groupe de travail a renvoyé la question au groupe de contact chargé</w:t>
      </w:r>
      <w:r w:rsidR="005C39BF" w:rsidRPr="00F1660D">
        <w:rPr>
          <w:lang w:val="fr-FR"/>
        </w:rPr>
        <w:t>,</w:t>
      </w:r>
      <w:r w:rsidR="00C279C1" w:rsidRPr="00F1660D">
        <w:rPr>
          <w:lang w:val="fr-FR"/>
        </w:rPr>
        <w:t xml:space="preserve"> au titre du point 3 b) </w:t>
      </w:r>
      <w:r w:rsidRPr="00F1660D">
        <w:rPr>
          <w:lang w:val="fr-FR"/>
        </w:rPr>
        <w:t>i)</w:t>
      </w:r>
      <w:r w:rsidR="005C39BF" w:rsidRPr="00F1660D">
        <w:rPr>
          <w:lang w:val="fr-FR"/>
        </w:rPr>
        <w:t>,</w:t>
      </w:r>
      <w:r w:rsidRPr="00F1660D">
        <w:rPr>
          <w:lang w:val="fr-FR"/>
        </w:rPr>
        <w:t xml:space="preserve"> d’élaborer des recommandations </w:t>
      </w:r>
      <w:r w:rsidR="005C39BF" w:rsidRPr="00F1660D">
        <w:rPr>
          <w:lang w:val="fr-FR"/>
        </w:rPr>
        <w:t xml:space="preserve">relatives à </w:t>
      </w:r>
      <w:r w:rsidRPr="00F1660D">
        <w:rPr>
          <w:lang w:val="fr-FR"/>
        </w:rPr>
        <w:t xml:space="preserve">l’Approche stratégique et </w:t>
      </w:r>
      <w:r w:rsidR="005C39BF" w:rsidRPr="00F1660D">
        <w:rPr>
          <w:lang w:val="fr-FR"/>
        </w:rPr>
        <w:t xml:space="preserve">à </w:t>
      </w:r>
      <w:r w:rsidRPr="00F1660D">
        <w:rPr>
          <w:lang w:val="fr-FR"/>
        </w:rPr>
        <w:t>la gestion rationnelle des produits chimiques et des déchets au-</w:t>
      </w:r>
      <w:r w:rsidR="000044CE" w:rsidRPr="00F1660D">
        <w:rPr>
          <w:lang w:val="fr-FR"/>
        </w:rPr>
        <w:t xml:space="preserve">delà de 2020, pour examen par la Conférence internationale sur la gestion des produits chimiques à sa cinquième session. La Présidente a demandé au groupe de contact de prendre en considération le document de séance présenté et les observations formulées en plénière. </w:t>
      </w:r>
    </w:p>
    <w:p w14:paraId="36EA5477" w14:textId="408F9F17" w:rsidR="000044CE" w:rsidRPr="00F1660D" w:rsidRDefault="000044CE" w:rsidP="003C673B">
      <w:pPr>
        <w:pStyle w:val="Normalnumber"/>
        <w:rPr>
          <w:lang w:val="fr-FR"/>
        </w:rPr>
      </w:pPr>
      <w:r w:rsidRPr="00F1660D">
        <w:rPr>
          <w:lang w:val="fr-FR"/>
        </w:rPr>
        <w:t xml:space="preserve">Par la suite, le coprésident du groupe de contact a présenté les recommandations du groupe </w:t>
      </w:r>
      <w:r w:rsidR="005C39BF" w:rsidRPr="00F1660D">
        <w:rPr>
          <w:lang w:val="fr-FR"/>
        </w:rPr>
        <w:t xml:space="preserve">relatives à </w:t>
      </w:r>
      <w:r w:rsidRPr="00F1660D">
        <w:rPr>
          <w:lang w:val="fr-FR"/>
        </w:rPr>
        <w:t xml:space="preserve">l’Approche stratégique et </w:t>
      </w:r>
      <w:r w:rsidR="005C39BF" w:rsidRPr="00F1660D">
        <w:rPr>
          <w:lang w:val="fr-FR"/>
        </w:rPr>
        <w:t xml:space="preserve">à </w:t>
      </w:r>
      <w:r w:rsidRPr="00F1660D">
        <w:rPr>
          <w:lang w:val="fr-FR"/>
        </w:rPr>
        <w:t xml:space="preserve">la gestion rationnelle des produits chimiques et des déchets au-delà de 2020. Les recommandations sont reproduites dans l’annexe I au présent rapport, sans avoir été revues par les services d’édition. </w:t>
      </w:r>
    </w:p>
    <w:p w14:paraId="043B5C02" w14:textId="3B63318A" w:rsidR="00452691" w:rsidRPr="00F1660D" w:rsidRDefault="002848FE" w:rsidP="002848FE">
      <w:pPr>
        <w:pStyle w:val="CH1"/>
        <w:tabs>
          <w:tab w:val="clear" w:pos="1247"/>
          <w:tab w:val="left" w:pos="1260"/>
        </w:tabs>
        <w:rPr>
          <w:lang w:val="fr-FR"/>
        </w:rPr>
      </w:pPr>
      <w:r w:rsidRPr="00F1660D">
        <w:rPr>
          <w:lang w:val="fr-FR"/>
        </w:rPr>
        <w:tab/>
        <w:t>VI.</w:t>
      </w:r>
      <w:r w:rsidRPr="00F1660D">
        <w:rPr>
          <w:lang w:val="fr-FR"/>
        </w:rPr>
        <w:tab/>
      </w:r>
      <w:r w:rsidR="002D4ACF" w:rsidRPr="00F1660D">
        <w:rPr>
          <w:lang w:val="fr-FR"/>
        </w:rPr>
        <w:t>Activités prévues et projet de budget du secrétariat pour</w:t>
      </w:r>
      <w:r w:rsidR="00A50629" w:rsidRPr="00F1660D">
        <w:rPr>
          <w:lang w:val="fr-FR"/>
        </w:rPr>
        <w:t xml:space="preserve"> la </w:t>
      </w:r>
      <w:r w:rsidR="00C279C1" w:rsidRPr="00F1660D">
        <w:rPr>
          <w:lang w:val="fr-FR"/>
        </w:rPr>
        <w:t>période </w:t>
      </w:r>
      <w:r w:rsidR="002D4ACF" w:rsidRPr="00F1660D">
        <w:rPr>
          <w:lang w:val="fr-FR"/>
        </w:rPr>
        <w:t>2019–2020</w:t>
      </w:r>
    </w:p>
    <w:p w14:paraId="4E6C6275" w14:textId="07F7B223" w:rsidR="00452691" w:rsidRPr="00F1660D" w:rsidRDefault="000044CE" w:rsidP="003C673B">
      <w:pPr>
        <w:pStyle w:val="Normalnumber"/>
        <w:rPr>
          <w:lang w:val="fr-FR"/>
        </w:rPr>
      </w:pPr>
      <w:r w:rsidRPr="00F1660D">
        <w:rPr>
          <w:lang w:val="fr-FR"/>
        </w:rPr>
        <w:t>Pré</w:t>
      </w:r>
      <w:r w:rsidR="005C39BF" w:rsidRPr="00F1660D">
        <w:rPr>
          <w:lang w:val="fr-FR"/>
        </w:rPr>
        <w:t xml:space="preserve">sentant </w:t>
      </w:r>
      <w:r w:rsidRPr="00F1660D">
        <w:rPr>
          <w:lang w:val="fr-FR"/>
        </w:rPr>
        <w:t xml:space="preserve">ce point, la Présidente a attiré l’attention </w:t>
      </w:r>
      <w:r w:rsidR="005C39BF" w:rsidRPr="00F1660D">
        <w:rPr>
          <w:lang w:val="fr-FR"/>
        </w:rPr>
        <w:t xml:space="preserve">des participants </w:t>
      </w:r>
      <w:r w:rsidRPr="00F1660D">
        <w:rPr>
          <w:lang w:val="fr-FR"/>
        </w:rPr>
        <w:t>sur un rapport du secrétariat sur les activités, les effectifs et le budget</w:t>
      </w:r>
      <w:r w:rsidR="00B44577" w:rsidRPr="00F1660D">
        <w:rPr>
          <w:lang w:val="fr-FR"/>
        </w:rPr>
        <w:t xml:space="preserve"> du secrétariat pour la période 2019-2020 (SAICM/OEWG.3/8). Elle a rappelé que la Conférence internationale sur la gestion des produits chimiques, à sa quatrième session, avait chargé le Groupe de travail d’envisager de modifier les priorités budgétaires et, si nécessaire, d’augmenter le budget global jusqu’en 2020, et avait également demandé au secrétariat de lui faire rapport, à sa cinquième session, sur les activités, les effectifs et le budget du secrétariat. Le secrétariat avait dû </w:t>
      </w:r>
      <w:r w:rsidR="00B44577" w:rsidRPr="00F1660D">
        <w:rPr>
          <w:shd w:val="clear" w:color="auto" w:fill="FFFFFF"/>
          <w:lang w:val="fr-FR"/>
        </w:rPr>
        <w:t xml:space="preserve">assumer des tâches supplémentaires considérables pour répondre aux exigences découlant du processus intersessions </w:t>
      </w:r>
      <w:r w:rsidR="00304C3D" w:rsidRPr="00F1660D">
        <w:rPr>
          <w:shd w:val="clear" w:color="auto" w:fill="FFFFFF"/>
          <w:lang w:val="fr-FR"/>
        </w:rPr>
        <w:t xml:space="preserve">visant à examiner </w:t>
      </w:r>
      <w:r w:rsidR="00B44577" w:rsidRPr="00F1660D">
        <w:rPr>
          <w:shd w:val="clear" w:color="auto" w:fill="FFFFFF"/>
          <w:lang w:val="fr-FR"/>
        </w:rPr>
        <w:t xml:space="preserve">l’Approche stratégique et la gestion rationnelle des produits chimiques et des déchets </w:t>
      </w:r>
      <w:r w:rsidR="00304C3D" w:rsidRPr="00F1660D">
        <w:rPr>
          <w:shd w:val="clear" w:color="auto" w:fill="FFFFFF"/>
          <w:lang w:val="fr-FR"/>
        </w:rPr>
        <w:t xml:space="preserve">après </w:t>
      </w:r>
      <w:r w:rsidR="00B44577" w:rsidRPr="00F1660D">
        <w:rPr>
          <w:shd w:val="clear" w:color="auto" w:fill="FFFFFF"/>
          <w:lang w:val="fr-FR"/>
        </w:rPr>
        <w:t>2020, ainsi que les préparatifs de la cinquième session de la Conférence internationale sur la gestion des produits chimiques</w:t>
      </w:r>
      <w:r w:rsidR="00304C3D" w:rsidRPr="00F1660D">
        <w:rPr>
          <w:shd w:val="clear" w:color="auto" w:fill="FFFFFF"/>
          <w:lang w:val="fr-FR"/>
        </w:rPr>
        <w:t xml:space="preserve">. </w:t>
      </w:r>
    </w:p>
    <w:p w14:paraId="750A6C15" w14:textId="2D0E3C59" w:rsidR="002C67A2" w:rsidRPr="00F1660D" w:rsidRDefault="00304C3D" w:rsidP="003C673B">
      <w:pPr>
        <w:pStyle w:val="Normalnumber"/>
        <w:rPr>
          <w:lang w:val="fr-FR"/>
        </w:rPr>
      </w:pPr>
      <w:r w:rsidRPr="00F1660D">
        <w:rPr>
          <w:lang w:val="fr-FR"/>
        </w:rPr>
        <w:t xml:space="preserve">Le représentant du secrétariat </w:t>
      </w:r>
      <w:r w:rsidRPr="00F1660D">
        <w:rPr>
          <w:shd w:val="clear" w:color="auto" w:fill="FFFFFF"/>
          <w:lang w:val="fr-FR"/>
        </w:rPr>
        <w:t>a indiqué que, compte tenu de l’augmentation de la charge de travail du secrétariat, le projet de budget prévoyait</w:t>
      </w:r>
      <w:r w:rsidR="00825FB2" w:rsidRPr="00F1660D">
        <w:rPr>
          <w:shd w:val="clear" w:color="auto" w:fill="FFFFFF"/>
          <w:lang w:val="fr-FR"/>
        </w:rPr>
        <w:t xml:space="preserve"> un poste temporaire d’</w:t>
      </w:r>
      <w:r w:rsidRPr="00F1660D">
        <w:rPr>
          <w:shd w:val="clear" w:color="auto" w:fill="FFFFFF"/>
          <w:lang w:val="fr-FR"/>
        </w:rPr>
        <w:t xml:space="preserve">administrateur de programme adjoint à la classe P -2 à la fin de 2020, et la tenue </w:t>
      </w:r>
      <w:r w:rsidR="00825FB2" w:rsidRPr="00F1660D">
        <w:rPr>
          <w:shd w:val="clear" w:color="auto" w:fill="FFFFFF"/>
          <w:lang w:val="fr-FR"/>
        </w:rPr>
        <w:t xml:space="preserve">éventuelle en 2020 </w:t>
      </w:r>
      <w:r w:rsidR="00C279C1" w:rsidRPr="00F1660D">
        <w:rPr>
          <w:shd w:val="clear" w:color="auto" w:fill="FFFFFF"/>
          <w:lang w:val="fr-FR"/>
        </w:rPr>
        <w:t>d’une quatrième </w:t>
      </w:r>
      <w:r w:rsidRPr="00F1660D">
        <w:rPr>
          <w:shd w:val="clear" w:color="auto" w:fill="FFFFFF"/>
          <w:lang w:val="fr-FR"/>
        </w:rPr>
        <w:t>réunion du processus intersessions visant à définir l’Approche stratégique et la gestion rationnelle des produits chimiques et des déchets après 2020.</w:t>
      </w:r>
    </w:p>
    <w:p w14:paraId="471FDB31" w14:textId="5222582C" w:rsidR="002C67A2" w:rsidRPr="00F1660D" w:rsidRDefault="00304C3D" w:rsidP="003C673B">
      <w:pPr>
        <w:pStyle w:val="Normalnumber"/>
        <w:rPr>
          <w:lang w:val="fr-FR"/>
        </w:rPr>
      </w:pPr>
      <w:r w:rsidRPr="00F1660D">
        <w:rPr>
          <w:lang w:val="fr-FR"/>
        </w:rPr>
        <w:t xml:space="preserve">Un représentant, s’exprimant au nom d’un groupe de pays, a demandé, dans le contexte de la résolution de l’Assemblée des Nations Unies pour l’environnement sur la gestion rationnelle des produits chimiques et des déchets, dans laquelle l’Assemblée avait </w:t>
      </w:r>
      <w:r w:rsidRPr="00F1660D">
        <w:rPr>
          <w:shd w:val="clear" w:color="auto" w:fill="FFFFFF"/>
          <w:lang w:val="fr-FR"/>
        </w:rPr>
        <w:t>prié le Directeur exécutif du PNUE de renforcer le Secrétariat de l’Approche stratégique, si l’OMS pourrait prendre des mesures pour appuyer le rétablissement du poste, interrompu en 2012, au sein du secrétariat, conformément à l’obligation qui lui incombe en vertu de la Stratégie politique globale.</w:t>
      </w:r>
    </w:p>
    <w:p w14:paraId="4968470F" w14:textId="2B0119D4" w:rsidR="002C67A2" w:rsidRPr="00F1660D" w:rsidRDefault="00304C3D" w:rsidP="003C673B">
      <w:pPr>
        <w:pStyle w:val="Normalnumber"/>
        <w:rPr>
          <w:lang w:val="fr-FR"/>
        </w:rPr>
      </w:pPr>
      <w:r w:rsidRPr="00F1660D">
        <w:rPr>
          <w:lang w:val="fr-FR"/>
        </w:rPr>
        <w:t xml:space="preserve">Un représentant, </w:t>
      </w:r>
      <w:r w:rsidRPr="00F1660D">
        <w:rPr>
          <w:shd w:val="clear" w:color="auto" w:fill="FFFFFF"/>
          <w:lang w:val="fr-FR"/>
        </w:rPr>
        <w:t xml:space="preserve">à l’appui des propositions de dotation en effectifs du secrétariat, a encouragé toutes les parties prenantes à verser des contributions supplémentaires pour soutenir les travaux </w:t>
      </w:r>
      <w:r w:rsidR="00825FB2" w:rsidRPr="00F1660D">
        <w:rPr>
          <w:shd w:val="clear" w:color="auto" w:fill="FFFFFF"/>
          <w:lang w:val="fr-FR"/>
        </w:rPr>
        <w:t xml:space="preserve">menés au titre </w:t>
      </w:r>
      <w:r w:rsidRPr="00F1660D">
        <w:rPr>
          <w:shd w:val="clear" w:color="auto" w:fill="FFFFFF"/>
          <w:lang w:val="fr-FR"/>
        </w:rPr>
        <w:t xml:space="preserve">de l’Approche stratégique, et a déclaré que le financement d’une quatrième réunion du processus intersessions </w:t>
      </w:r>
      <w:r w:rsidR="003F61F3" w:rsidRPr="00F1660D">
        <w:rPr>
          <w:shd w:val="clear" w:color="auto" w:fill="FFFFFF"/>
          <w:lang w:val="fr-FR"/>
        </w:rPr>
        <w:t xml:space="preserve">devrait avoir pour but </w:t>
      </w:r>
      <w:r w:rsidRPr="00F1660D">
        <w:rPr>
          <w:shd w:val="clear" w:color="auto" w:fill="FFFFFF"/>
          <w:lang w:val="fr-FR"/>
        </w:rPr>
        <w:t xml:space="preserve">de fournir un texte </w:t>
      </w:r>
      <w:r w:rsidR="003F61F3" w:rsidRPr="00F1660D">
        <w:rPr>
          <w:shd w:val="clear" w:color="auto" w:fill="FFFFFF"/>
          <w:lang w:val="fr-FR"/>
        </w:rPr>
        <w:t xml:space="preserve">qui serait examiné par </w:t>
      </w:r>
      <w:r w:rsidRPr="00F1660D">
        <w:rPr>
          <w:shd w:val="clear" w:color="auto" w:fill="FFFFFF"/>
          <w:lang w:val="fr-FR"/>
        </w:rPr>
        <w:t>la Conférence internationale sur la gestion des produits chimiques à sa cinquième session.</w:t>
      </w:r>
    </w:p>
    <w:p w14:paraId="7F4D6D94" w14:textId="7D263C87" w:rsidR="002C67A2" w:rsidRPr="00F1660D" w:rsidRDefault="003F61F3" w:rsidP="003C673B">
      <w:pPr>
        <w:pStyle w:val="Normalnumber"/>
        <w:rPr>
          <w:lang w:val="fr-FR"/>
        </w:rPr>
      </w:pPr>
      <w:r w:rsidRPr="00F1660D">
        <w:rPr>
          <w:lang w:val="fr-FR"/>
        </w:rPr>
        <w:t xml:space="preserve">Le Groupe de travail </w:t>
      </w:r>
      <w:r w:rsidRPr="00F1660D">
        <w:rPr>
          <w:shd w:val="clear" w:color="auto" w:fill="FFFFFF"/>
          <w:lang w:val="fr-FR"/>
        </w:rPr>
        <w:t xml:space="preserve">est convenu d’approuver le budget révisé pour 2019 – 2020, sous réserve que des ressources soient disponibles. Le budget figure dans l’annexe II au présent rapport. </w:t>
      </w:r>
    </w:p>
    <w:p w14:paraId="3B7240C3" w14:textId="104A7360" w:rsidR="00452691" w:rsidRPr="00F1660D" w:rsidRDefault="003C673B" w:rsidP="003C673B">
      <w:pPr>
        <w:pStyle w:val="CH1"/>
        <w:rPr>
          <w:lang w:val="fr-FR"/>
        </w:rPr>
      </w:pPr>
      <w:r w:rsidRPr="00F1660D">
        <w:rPr>
          <w:lang w:val="fr-FR"/>
        </w:rPr>
        <w:tab/>
        <w:t>VI</w:t>
      </w:r>
      <w:r w:rsidR="002848FE" w:rsidRPr="00F1660D">
        <w:rPr>
          <w:lang w:val="fr-FR"/>
        </w:rPr>
        <w:t>I</w:t>
      </w:r>
      <w:r w:rsidRPr="00F1660D">
        <w:rPr>
          <w:lang w:val="fr-FR"/>
        </w:rPr>
        <w:t>.</w:t>
      </w:r>
      <w:r w:rsidRPr="00F1660D">
        <w:rPr>
          <w:lang w:val="fr-FR"/>
        </w:rPr>
        <w:tab/>
      </w:r>
      <w:r w:rsidR="002D4ACF" w:rsidRPr="00F1660D">
        <w:rPr>
          <w:lang w:val="fr-FR"/>
        </w:rPr>
        <w:t>Préparation de</w:t>
      </w:r>
      <w:r w:rsidR="00A50629" w:rsidRPr="00F1660D">
        <w:rPr>
          <w:lang w:val="fr-FR"/>
        </w:rPr>
        <w:t xml:space="preserve"> la </w:t>
      </w:r>
      <w:r w:rsidR="002D4ACF" w:rsidRPr="00F1660D">
        <w:rPr>
          <w:lang w:val="fr-FR"/>
        </w:rPr>
        <w:t>cinquième session de</w:t>
      </w:r>
      <w:r w:rsidR="00A50629" w:rsidRPr="00F1660D">
        <w:rPr>
          <w:lang w:val="fr-FR"/>
        </w:rPr>
        <w:t xml:space="preserve"> la </w:t>
      </w:r>
      <w:r w:rsidR="002D4ACF" w:rsidRPr="00F1660D">
        <w:rPr>
          <w:lang w:val="fr-FR"/>
        </w:rPr>
        <w:t>Conférence internationale sur</w:t>
      </w:r>
      <w:r w:rsidR="00A50629" w:rsidRPr="00F1660D">
        <w:rPr>
          <w:lang w:val="fr-FR"/>
        </w:rPr>
        <w:t xml:space="preserve"> la </w:t>
      </w:r>
      <w:r w:rsidR="002D4ACF" w:rsidRPr="00F1660D">
        <w:rPr>
          <w:lang w:val="fr-FR"/>
        </w:rPr>
        <w:t>gestion</w:t>
      </w:r>
      <w:r w:rsidR="00A50629" w:rsidRPr="00F1660D">
        <w:rPr>
          <w:lang w:val="fr-FR"/>
        </w:rPr>
        <w:t xml:space="preserve"> des </w:t>
      </w:r>
      <w:r w:rsidR="002D4ACF" w:rsidRPr="00F1660D">
        <w:rPr>
          <w:lang w:val="fr-FR"/>
        </w:rPr>
        <w:t>produits chimiques</w:t>
      </w:r>
    </w:p>
    <w:p w14:paraId="10AED670" w14:textId="1F3D3346" w:rsidR="00452691" w:rsidRPr="00F1660D" w:rsidRDefault="003F61F3" w:rsidP="003C673B">
      <w:pPr>
        <w:pStyle w:val="Normalnumber"/>
        <w:rPr>
          <w:lang w:val="fr-FR"/>
        </w:rPr>
      </w:pPr>
      <w:r w:rsidRPr="00F1660D">
        <w:rPr>
          <w:lang w:val="fr-FR"/>
        </w:rPr>
        <w:t xml:space="preserve">Présentant ce point, la Présidente a rappelé que le Gouvernement allemand s’était </w:t>
      </w:r>
      <w:r w:rsidRPr="00F1660D">
        <w:rPr>
          <w:shd w:val="clear" w:color="auto" w:fill="FFFFFF"/>
          <w:lang w:val="fr-FR"/>
        </w:rPr>
        <w:t>proposé pour accueillir la cinquième session de la Conférence internationale sur la gestion d</w:t>
      </w:r>
      <w:r w:rsidR="00C279C1" w:rsidRPr="00F1660D">
        <w:rPr>
          <w:shd w:val="clear" w:color="auto" w:fill="FFFFFF"/>
          <w:lang w:val="fr-FR"/>
        </w:rPr>
        <w:t>es produits chimiques du 5 au 9 </w:t>
      </w:r>
      <w:r w:rsidRPr="00F1660D">
        <w:rPr>
          <w:shd w:val="clear" w:color="auto" w:fill="FFFFFF"/>
          <w:lang w:val="fr-FR"/>
        </w:rPr>
        <w:t xml:space="preserve">octobre 2020 à Bonn (Allemagne). </w:t>
      </w:r>
    </w:p>
    <w:p w14:paraId="215CF1BF" w14:textId="4D0A9903" w:rsidR="002C67A2" w:rsidRPr="00F1660D" w:rsidRDefault="003F61F3" w:rsidP="003C673B">
      <w:pPr>
        <w:pStyle w:val="Normalnumber"/>
        <w:rPr>
          <w:lang w:val="fr-FR"/>
        </w:rPr>
      </w:pPr>
      <w:r w:rsidRPr="00F1660D">
        <w:rPr>
          <w:lang w:val="fr-FR"/>
        </w:rPr>
        <w:t xml:space="preserve">Lors de cette session, </w:t>
      </w:r>
      <w:r w:rsidR="00822B39" w:rsidRPr="00F1660D">
        <w:rPr>
          <w:lang w:val="fr-FR"/>
        </w:rPr>
        <w:t xml:space="preserve">des décisions importantes seraient prises en ce qui concerne l’Approche stratégique et la voie à suivre pour la gestion rationnelle des produits chimiques et des déchets au-delà de 2020. La session donnerait aussi l’occasion aux parties prenantes de célébrer les résultats obtenus au titre de l’Approche stratégique depuis sa mise en place en 2006.  </w:t>
      </w:r>
    </w:p>
    <w:p w14:paraId="6A63F04C" w14:textId="08E5CBA0" w:rsidR="002C67A2" w:rsidRPr="00F1660D" w:rsidRDefault="00822B39" w:rsidP="003C673B">
      <w:pPr>
        <w:pStyle w:val="Normalnumber"/>
        <w:rPr>
          <w:lang w:val="fr-FR"/>
        </w:rPr>
      </w:pPr>
      <w:r w:rsidRPr="00F1660D">
        <w:rPr>
          <w:lang w:val="fr-FR"/>
        </w:rPr>
        <w:t xml:space="preserve">Le représentant de l’Allemagne a présenté un message vidéo de Mme </w:t>
      </w:r>
      <w:proofErr w:type="spellStart"/>
      <w:r w:rsidRPr="00F1660D">
        <w:rPr>
          <w:lang w:val="fr-FR"/>
        </w:rPr>
        <w:t>Svenja</w:t>
      </w:r>
      <w:proofErr w:type="spellEnd"/>
      <w:r w:rsidRPr="00F1660D">
        <w:rPr>
          <w:lang w:val="fr-FR"/>
        </w:rPr>
        <w:t xml:space="preserve"> Schulze, Ministre fédérale allemande de l’environnement, de la protection de la nature et de la sécurité nucléaire. </w:t>
      </w:r>
    </w:p>
    <w:p w14:paraId="323C5289" w14:textId="4ADCE9AF" w:rsidR="002C67A2" w:rsidRPr="00F1660D" w:rsidRDefault="00822B39" w:rsidP="003C673B">
      <w:pPr>
        <w:pStyle w:val="Normalnumber"/>
        <w:rPr>
          <w:lang w:val="fr-FR"/>
        </w:rPr>
      </w:pPr>
      <w:r w:rsidRPr="00F1660D">
        <w:rPr>
          <w:lang w:val="fr-FR"/>
        </w:rPr>
        <w:t xml:space="preserve">Dans sa déclaration, Mme Schulze a déclaré que </w:t>
      </w:r>
      <w:r w:rsidRPr="00F1660D">
        <w:rPr>
          <w:shd w:val="clear" w:color="auto" w:fill="FFFFFF"/>
          <w:lang w:val="fr-FR"/>
        </w:rPr>
        <w:t>le Programme 2030 offrait une occasion unique d</w:t>
      </w:r>
      <w:r w:rsidR="00E30747" w:rsidRPr="00F1660D">
        <w:rPr>
          <w:shd w:val="clear" w:color="auto" w:fill="FFFFFF"/>
          <w:lang w:val="fr-FR"/>
        </w:rPr>
        <w:t>’aborder l</w:t>
      </w:r>
      <w:r w:rsidRPr="00F1660D">
        <w:rPr>
          <w:shd w:val="clear" w:color="auto" w:fill="FFFFFF"/>
          <w:lang w:val="fr-FR"/>
        </w:rPr>
        <w:t xml:space="preserve">a nature </w:t>
      </w:r>
      <w:r w:rsidR="00E30747" w:rsidRPr="00F1660D">
        <w:rPr>
          <w:shd w:val="clear" w:color="auto" w:fill="FFFFFF"/>
          <w:lang w:val="fr-FR"/>
        </w:rPr>
        <w:t xml:space="preserve">intersectorielle et </w:t>
      </w:r>
      <w:r w:rsidRPr="00F1660D">
        <w:rPr>
          <w:shd w:val="clear" w:color="auto" w:fill="FFFFFF"/>
          <w:lang w:val="fr-FR"/>
        </w:rPr>
        <w:t xml:space="preserve">multipartite des </w:t>
      </w:r>
      <w:r w:rsidR="00E30747" w:rsidRPr="00F1660D">
        <w:rPr>
          <w:shd w:val="clear" w:color="auto" w:fill="FFFFFF"/>
          <w:lang w:val="fr-FR"/>
        </w:rPr>
        <w:t xml:space="preserve">secteurs des </w:t>
      </w:r>
      <w:r w:rsidRPr="00F1660D">
        <w:rPr>
          <w:shd w:val="clear" w:color="auto" w:fill="FFFFFF"/>
          <w:lang w:val="fr-FR"/>
        </w:rPr>
        <w:t>produits chimiques et des déchets.</w:t>
      </w:r>
      <w:r w:rsidR="00E30747" w:rsidRPr="00F1660D">
        <w:rPr>
          <w:shd w:val="clear" w:color="auto" w:fill="FFFFFF"/>
          <w:lang w:val="fr-FR"/>
        </w:rPr>
        <w:t xml:space="preserve"> À sa quatrième session, l’Assemblée des Nations Unies pour l’environnement avait saisi cette occasion et préparé la voie à suivre en faisant fond sur les enseignements tirés de l’expérience dans le cadre de l’Approche stratégique et de la deuxième édition du rapport sur les perspectives en matière de produits chimiques pour souligner, entre autres, la nécessité d’améliorer les liens entre la science et la politique, de disposer d’une structure de gouvernance habilitante et de </w:t>
      </w:r>
      <w:r w:rsidR="00E072F9" w:rsidRPr="00F1660D">
        <w:rPr>
          <w:shd w:val="clear" w:color="auto" w:fill="FFFFFF"/>
          <w:lang w:val="fr-FR"/>
        </w:rPr>
        <w:t xml:space="preserve">promouvoir </w:t>
      </w:r>
      <w:r w:rsidR="00E30747" w:rsidRPr="00F1660D">
        <w:rPr>
          <w:shd w:val="clear" w:color="auto" w:fill="FFFFFF"/>
          <w:lang w:val="fr-FR"/>
        </w:rPr>
        <w:t>une chimie plus durable. Compte tenu de l’importance qu’il attachait à la gestion rationnelle des produits chimiques et des déchets, le Gouvernement allemand avait offert d’accueillir la cinquième session de la Conférence internationale sur la gestion des produits chimiques, au cours de laquelle il ferait de son mieux pour instaurer une nouvelle phase dans la gestion rationnelle des produits chimiques et des déchets.</w:t>
      </w:r>
    </w:p>
    <w:p w14:paraId="185F139B" w14:textId="4757D0F4" w:rsidR="002C67A2" w:rsidRPr="00F1660D" w:rsidRDefault="00464250" w:rsidP="003C673B">
      <w:pPr>
        <w:pStyle w:val="Normalnumber"/>
        <w:rPr>
          <w:lang w:val="fr-FR"/>
        </w:rPr>
      </w:pPr>
      <w:r w:rsidRPr="00F1660D">
        <w:rPr>
          <w:shd w:val="clear" w:color="auto" w:fill="FFFFFF"/>
          <w:lang w:val="fr-FR"/>
        </w:rPr>
        <w:t xml:space="preserve">À moins de 18 mois de la tenue de la cinquième session, il était essentiel que les représentants continuent de rechercher un accord </w:t>
      </w:r>
      <w:r w:rsidR="00E072F9" w:rsidRPr="00F1660D">
        <w:rPr>
          <w:shd w:val="clear" w:color="auto" w:fill="FFFFFF"/>
          <w:lang w:val="fr-FR"/>
        </w:rPr>
        <w:t xml:space="preserve">sur des arrangements </w:t>
      </w:r>
      <w:r w:rsidRPr="00F1660D">
        <w:rPr>
          <w:shd w:val="clear" w:color="auto" w:fill="FFFFFF"/>
          <w:lang w:val="fr-FR"/>
        </w:rPr>
        <w:t>opérationne</w:t>
      </w:r>
      <w:r w:rsidR="00E072F9" w:rsidRPr="00F1660D">
        <w:rPr>
          <w:shd w:val="clear" w:color="auto" w:fill="FFFFFF"/>
          <w:lang w:val="fr-FR"/>
        </w:rPr>
        <w:t>ls</w:t>
      </w:r>
      <w:r w:rsidRPr="00F1660D">
        <w:rPr>
          <w:shd w:val="clear" w:color="auto" w:fill="FFFFFF"/>
          <w:lang w:val="fr-FR"/>
        </w:rPr>
        <w:t xml:space="preserve"> ambitieux, concret</w:t>
      </w:r>
      <w:r w:rsidR="00E072F9" w:rsidRPr="00F1660D">
        <w:rPr>
          <w:shd w:val="clear" w:color="auto" w:fill="FFFFFF"/>
          <w:lang w:val="fr-FR"/>
        </w:rPr>
        <w:t>s</w:t>
      </w:r>
      <w:r w:rsidRPr="00F1660D">
        <w:rPr>
          <w:shd w:val="clear" w:color="auto" w:fill="FFFFFF"/>
          <w:lang w:val="fr-FR"/>
        </w:rPr>
        <w:t xml:space="preserve"> et pratique</w:t>
      </w:r>
      <w:r w:rsidR="00E072F9" w:rsidRPr="00F1660D">
        <w:rPr>
          <w:shd w:val="clear" w:color="auto" w:fill="FFFFFF"/>
          <w:lang w:val="fr-FR"/>
        </w:rPr>
        <w:t>s</w:t>
      </w:r>
      <w:r w:rsidRPr="00F1660D">
        <w:rPr>
          <w:shd w:val="clear" w:color="auto" w:fill="FFFFFF"/>
          <w:lang w:val="fr-FR"/>
        </w:rPr>
        <w:t xml:space="preserve"> pour la gestion rationnelle des produits chimiques et des déchets après 2020 qui permettrai</w:t>
      </w:r>
      <w:r w:rsidR="00E072F9" w:rsidRPr="00F1660D">
        <w:rPr>
          <w:shd w:val="clear" w:color="auto" w:fill="FFFFFF"/>
          <w:lang w:val="fr-FR"/>
        </w:rPr>
        <w:t>ent</w:t>
      </w:r>
      <w:r w:rsidRPr="00F1660D">
        <w:rPr>
          <w:shd w:val="clear" w:color="auto" w:fill="FFFFFF"/>
          <w:lang w:val="fr-FR"/>
        </w:rPr>
        <w:t xml:space="preserve"> de combler les lacunes qui subsistaient dans cette gestion et d’atteindre la cible 4 de l’objectif de développement durable 12, à savoir, d’ici à 2020, parvenir à une gestion écologiquement rationnelle des produits chimiques et de tous les déchets tout au long de leur cycle de vie, conformément aux principes directeurs arrêtés à l’échelle internationale, et réduire nettement leur déversement dans l’air, l’eau et le sol, afin de minimiser leurs effets négatifs sur la santé et l’environnement.</w:t>
      </w:r>
    </w:p>
    <w:p w14:paraId="4FE9C37B" w14:textId="069832BA" w:rsidR="002C67A2" w:rsidRPr="00F1660D" w:rsidRDefault="00464250" w:rsidP="003C673B">
      <w:pPr>
        <w:pStyle w:val="Normalnumber"/>
        <w:rPr>
          <w:lang w:val="fr-FR"/>
        </w:rPr>
      </w:pPr>
      <w:r w:rsidRPr="00F1660D">
        <w:rPr>
          <w:shd w:val="clear" w:color="auto" w:fill="FFFFFF"/>
          <w:lang w:val="fr-FR"/>
        </w:rPr>
        <w:t xml:space="preserve">Le représentant du secrétariat a appelé l’attention sur une note du secrétariat sur les préparatifs de la cinquième session de la Conférence (SAICM/OEWG.3/INF/14) et invité les parties prenantes à faire part de leurs attentes concernant la session afin d’aider le secrétariat à préparer la session. </w:t>
      </w:r>
    </w:p>
    <w:p w14:paraId="69E27F7B" w14:textId="09886EB5" w:rsidR="002C67A2" w:rsidRPr="00F1660D" w:rsidRDefault="00464250" w:rsidP="003C673B">
      <w:pPr>
        <w:pStyle w:val="Normalnumber"/>
        <w:rPr>
          <w:lang w:val="fr-FR"/>
        </w:rPr>
      </w:pPr>
      <w:r w:rsidRPr="00F1660D">
        <w:rPr>
          <w:lang w:val="fr-FR"/>
        </w:rPr>
        <w:t xml:space="preserve">Au cours du débat qui a suivi, </w:t>
      </w:r>
      <w:r w:rsidRPr="00F1660D">
        <w:rPr>
          <w:shd w:val="clear" w:color="auto" w:fill="FFFFFF"/>
          <w:lang w:val="fr-FR"/>
        </w:rPr>
        <w:t>les représentants ont remercié le Gouvernement allemand pour son offre d’accueillir la cinquième session de la Conférence, soulignant qu’ils attendaient avec intérêt de participer à la session pour célébrer les succès de l’Approche stratégique et mettre en place un cadre pour la gestion durable des produits chimiques et des déchets au-delà de 2020.</w:t>
      </w:r>
    </w:p>
    <w:p w14:paraId="2A7DB117" w14:textId="4F340941" w:rsidR="002C67A2" w:rsidRPr="00F1660D" w:rsidRDefault="00464250" w:rsidP="00814929">
      <w:pPr>
        <w:pStyle w:val="Normalnumber"/>
        <w:keepNext/>
        <w:keepLines/>
        <w:rPr>
          <w:lang w:val="fr-FR"/>
        </w:rPr>
      </w:pPr>
      <w:r w:rsidRPr="00F1660D">
        <w:rPr>
          <w:lang w:val="fr-FR"/>
        </w:rPr>
        <w:t xml:space="preserve">La représentante du Royaume-Uni </w:t>
      </w:r>
      <w:r w:rsidRPr="00F1660D">
        <w:rPr>
          <w:shd w:val="clear" w:color="auto" w:fill="FFFFFF"/>
          <w:lang w:val="fr-FR"/>
        </w:rPr>
        <w:t xml:space="preserve">a déclaré que, en tant que contribution à la cinquième session de la Conférence, son Gouvernement souhaiterait tenir une réunion d’experts </w:t>
      </w:r>
      <w:r w:rsidR="00E072F9" w:rsidRPr="00F1660D">
        <w:rPr>
          <w:shd w:val="clear" w:color="auto" w:fill="FFFFFF"/>
          <w:lang w:val="fr-FR"/>
        </w:rPr>
        <w:t xml:space="preserve">techniques </w:t>
      </w:r>
      <w:r w:rsidRPr="00F1660D">
        <w:rPr>
          <w:shd w:val="clear" w:color="auto" w:fill="FFFFFF"/>
          <w:lang w:val="fr-FR"/>
        </w:rPr>
        <w:t xml:space="preserve">pour appuyer la poursuite des travaux sur les cibles avant la troisième réunion du processus intersessions à Bangkok. Elle s’est </w:t>
      </w:r>
      <w:r w:rsidR="00351983" w:rsidRPr="00F1660D">
        <w:rPr>
          <w:shd w:val="clear" w:color="auto" w:fill="FFFFFF"/>
          <w:lang w:val="fr-FR"/>
        </w:rPr>
        <w:t xml:space="preserve">engagée à </w:t>
      </w:r>
      <w:r w:rsidR="00E072F9" w:rsidRPr="00F1660D">
        <w:rPr>
          <w:shd w:val="clear" w:color="auto" w:fill="FFFFFF"/>
          <w:lang w:val="fr-FR"/>
        </w:rPr>
        <w:t xml:space="preserve">veiller à ce qu’il y ait </w:t>
      </w:r>
      <w:r w:rsidR="00351983" w:rsidRPr="00F1660D">
        <w:rPr>
          <w:shd w:val="clear" w:color="auto" w:fill="FFFFFF"/>
          <w:lang w:val="fr-FR"/>
        </w:rPr>
        <w:t>une représentation équilibrée durant la réunion, refl</w:t>
      </w:r>
      <w:r w:rsidR="00E072F9" w:rsidRPr="00F1660D">
        <w:rPr>
          <w:shd w:val="clear" w:color="auto" w:fill="FFFFFF"/>
          <w:lang w:val="fr-FR"/>
        </w:rPr>
        <w:t xml:space="preserve">étant </w:t>
      </w:r>
      <w:r w:rsidR="00351983" w:rsidRPr="00F1660D">
        <w:rPr>
          <w:shd w:val="clear" w:color="auto" w:fill="FFFFFF"/>
          <w:lang w:val="fr-FR"/>
        </w:rPr>
        <w:t xml:space="preserve">la nature multisectorielle et multipartite de l’Approche stratégique, et à </w:t>
      </w:r>
      <w:r w:rsidR="00E072F9" w:rsidRPr="00F1660D">
        <w:rPr>
          <w:shd w:val="clear" w:color="auto" w:fill="FFFFFF"/>
          <w:lang w:val="fr-FR"/>
        </w:rPr>
        <w:t xml:space="preserve">se concerter avec </w:t>
      </w:r>
      <w:r w:rsidR="00351983" w:rsidRPr="00F1660D">
        <w:rPr>
          <w:shd w:val="clear" w:color="auto" w:fill="FFFFFF"/>
          <w:lang w:val="fr-FR"/>
        </w:rPr>
        <w:t>le secrétariat sur les préparatifs de la réunion.</w:t>
      </w:r>
    </w:p>
    <w:p w14:paraId="6CCAA7E7" w14:textId="755CC191" w:rsidR="002C67A2" w:rsidRPr="00F1660D" w:rsidRDefault="00351983" w:rsidP="003C673B">
      <w:pPr>
        <w:pStyle w:val="Normalnumber"/>
        <w:rPr>
          <w:lang w:val="fr-FR"/>
        </w:rPr>
      </w:pPr>
      <w:r w:rsidRPr="00F1660D">
        <w:rPr>
          <w:shd w:val="clear" w:color="auto" w:fill="FFFFFF"/>
          <w:lang w:val="fr-FR"/>
        </w:rPr>
        <w:t xml:space="preserve">En ce qui concerne les attentes des parties prenantes en </w:t>
      </w:r>
      <w:r w:rsidR="00C279C1" w:rsidRPr="00F1660D">
        <w:rPr>
          <w:shd w:val="clear" w:color="auto" w:fill="FFFFFF"/>
          <w:lang w:val="fr-FR"/>
        </w:rPr>
        <w:t>vue de la cinquième session, la </w:t>
      </w:r>
      <w:r w:rsidRPr="00F1660D">
        <w:rPr>
          <w:shd w:val="clear" w:color="auto" w:fill="FFFFFF"/>
          <w:lang w:val="fr-FR"/>
        </w:rPr>
        <w:t>représentante d’une organisation non gouvernementale a dit que la note du secrétariat (SAICM/OEWG.3/INF/14) ne précisait pas la forme des résultats attendus du segment de haut niveau de la session. Elle a suggéré que, conformément aux appels répétés à la réunion en cours et ailleurs en faveur d’un engagement de haut niveau sur la gestion rationnelle des produits chimiques et des déchets, l’adoption d’une déclaration ministérielle durant le segment de haut niveau serait le meilleur moyen de prendre un tel engagement. Si une telle déclaration devait êt</w:t>
      </w:r>
      <w:r w:rsidR="00C279C1" w:rsidRPr="00F1660D">
        <w:rPr>
          <w:shd w:val="clear" w:color="auto" w:fill="FFFFFF"/>
          <w:lang w:val="fr-FR"/>
        </w:rPr>
        <w:t>re examinée pour adoption, il </w:t>
      </w:r>
      <w:r w:rsidRPr="00F1660D">
        <w:rPr>
          <w:shd w:val="clear" w:color="auto" w:fill="FFFFFF"/>
          <w:lang w:val="fr-FR"/>
        </w:rPr>
        <w:t>faudrait commencer à planifier son élaboration en prévision de la session. Elle a également exprimé l’espoir que, quelle que soit l’issue de la cinquième session concernant l</w:t>
      </w:r>
      <w:r w:rsidR="00131E29" w:rsidRPr="00F1660D">
        <w:rPr>
          <w:shd w:val="clear" w:color="auto" w:fill="FFFFFF"/>
          <w:lang w:val="fr-FR"/>
        </w:rPr>
        <w:t xml:space="preserve">a période au-delà de </w:t>
      </w:r>
      <w:r w:rsidR="00C279C1" w:rsidRPr="00F1660D">
        <w:rPr>
          <w:shd w:val="clear" w:color="auto" w:fill="FFFFFF"/>
          <w:lang w:val="fr-FR"/>
        </w:rPr>
        <w:t>2020, la </w:t>
      </w:r>
      <w:r w:rsidRPr="00F1660D">
        <w:rPr>
          <w:shd w:val="clear" w:color="auto" w:fill="FFFFFF"/>
          <w:lang w:val="fr-FR"/>
        </w:rPr>
        <w:t>nécessité urgente</w:t>
      </w:r>
      <w:r w:rsidR="00131E29" w:rsidRPr="00F1660D">
        <w:rPr>
          <w:shd w:val="clear" w:color="auto" w:fill="FFFFFF"/>
          <w:lang w:val="fr-FR"/>
        </w:rPr>
        <w:t xml:space="preserve"> d’une </w:t>
      </w:r>
      <w:r w:rsidRPr="00F1660D">
        <w:rPr>
          <w:shd w:val="clear" w:color="auto" w:fill="FFFFFF"/>
          <w:lang w:val="fr-FR"/>
        </w:rPr>
        <w:t>gestion durable des produits chimiques et des déchets en vue d’atteindre les cibles des objectifs de développement durable</w:t>
      </w:r>
      <w:r w:rsidR="00131E29" w:rsidRPr="00F1660D">
        <w:rPr>
          <w:shd w:val="clear" w:color="auto" w:fill="FFFFFF"/>
          <w:lang w:val="fr-FR"/>
        </w:rPr>
        <w:t xml:space="preserve"> serait prise en compte</w:t>
      </w:r>
      <w:r w:rsidRPr="00F1660D">
        <w:rPr>
          <w:shd w:val="clear" w:color="auto" w:fill="FFFFFF"/>
          <w:lang w:val="fr-FR"/>
        </w:rPr>
        <w:t>.</w:t>
      </w:r>
    </w:p>
    <w:p w14:paraId="75643BDE" w14:textId="4C392395" w:rsidR="00131E29" w:rsidRPr="00F1660D" w:rsidRDefault="00131E29" w:rsidP="003C673B">
      <w:pPr>
        <w:pStyle w:val="Normalnumber"/>
        <w:rPr>
          <w:lang w:val="fr-FR"/>
        </w:rPr>
      </w:pPr>
      <w:r w:rsidRPr="00F1660D">
        <w:rPr>
          <w:shd w:val="clear" w:color="auto" w:fill="FFFFFF"/>
          <w:lang w:val="fr-FR"/>
        </w:rPr>
        <w:t xml:space="preserve">En conclusion, la Présidente a invité les représentants à se proposer pour accueillir les réunions régionales, qui devaient se tenir en août et septembre 2020 et serviraient de réunions préparatoires à la cinquième session de la Conférence. </w:t>
      </w:r>
    </w:p>
    <w:p w14:paraId="24711B93" w14:textId="63AA1F2F" w:rsidR="00452691" w:rsidRPr="00F1660D" w:rsidRDefault="002848FE" w:rsidP="002848FE">
      <w:pPr>
        <w:pStyle w:val="CH1"/>
        <w:rPr>
          <w:lang w:val="fr-FR"/>
        </w:rPr>
      </w:pPr>
      <w:r w:rsidRPr="00F1660D">
        <w:rPr>
          <w:lang w:val="fr-FR"/>
        </w:rPr>
        <w:tab/>
        <w:t>VIII.</w:t>
      </w:r>
      <w:r w:rsidRPr="00F1660D">
        <w:rPr>
          <w:lang w:val="fr-FR"/>
        </w:rPr>
        <w:tab/>
      </w:r>
      <w:r w:rsidR="002D4ACF" w:rsidRPr="00F1660D">
        <w:rPr>
          <w:lang w:val="fr-FR"/>
        </w:rPr>
        <w:t>Questions diverses</w:t>
      </w:r>
    </w:p>
    <w:p w14:paraId="47406303" w14:textId="0FB588EE" w:rsidR="00452691" w:rsidRPr="00F1660D" w:rsidRDefault="00131E29" w:rsidP="003C673B">
      <w:pPr>
        <w:pStyle w:val="Normalnumber"/>
        <w:rPr>
          <w:lang w:val="fr-FR"/>
        </w:rPr>
      </w:pPr>
      <w:r w:rsidRPr="00F1660D">
        <w:rPr>
          <w:lang w:val="fr-FR"/>
        </w:rPr>
        <w:t>Aucune autre question n’a été examinée.</w:t>
      </w:r>
    </w:p>
    <w:p w14:paraId="7BD3B373" w14:textId="0A763601" w:rsidR="00452691" w:rsidRPr="00F1660D" w:rsidRDefault="002848FE" w:rsidP="002848FE">
      <w:pPr>
        <w:pStyle w:val="CH1"/>
        <w:rPr>
          <w:lang w:val="fr-FR"/>
        </w:rPr>
      </w:pPr>
      <w:r w:rsidRPr="00F1660D">
        <w:rPr>
          <w:lang w:val="fr-FR"/>
        </w:rPr>
        <w:tab/>
        <w:t>IX.</w:t>
      </w:r>
      <w:r w:rsidRPr="00F1660D">
        <w:rPr>
          <w:lang w:val="fr-FR"/>
        </w:rPr>
        <w:tab/>
      </w:r>
      <w:r w:rsidR="002D4ACF" w:rsidRPr="00F1660D">
        <w:rPr>
          <w:lang w:val="fr-FR"/>
        </w:rPr>
        <w:t>Adoption du rapport de</w:t>
      </w:r>
      <w:r w:rsidR="00A50629" w:rsidRPr="00F1660D">
        <w:rPr>
          <w:lang w:val="fr-FR"/>
        </w:rPr>
        <w:t xml:space="preserve"> la </w:t>
      </w:r>
      <w:r w:rsidR="002D4ACF" w:rsidRPr="00F1660D">
        <w:rPr>
          <w:lang w:val="fr-FR"/>
        </w:rPr>
        <w:t>réunion</w:t>
      </w:r>
    </w:p>
    <w:p w14:paraId="165BBD82" w14:textId="7ACF91D0" w:rsidR="00452691" w:rsidRPr="00F1660D" w:rsidRDefault="00131E29" w:rsidP="003C673B">
      <w:pPr>
        <w:pStyle w:val="Normalnumber"/>
        <w:rPr>
          <w:lang w:val="fr-FR"/>
        </w:rPr>
      </w:pPr>
      <w:r w:rsidRPr="00F1660D">
        <w:rPr>
          <w:color w:val="333333"/>
          <w:shd w:val="clear" w:color="auto" w:fill="FFFFFF"/>
          <w:lang w:val="fr-FR"/>
        </w:rPr>
        <w:t>Le Groupe de travail a adopté le présent rapport sur la base du projet de rapport qui avait été distribué, étant entendu que le Rapporteur, en consultation avec le secrétariat, serait chargé de sa finalisation.</w:t>
      </w:r>
    </w:p>
    <w:p w14:paraId="210E91D2" w14:textId="1F4EB2AD" w:rsidR="00452691" w:rsidRPr="00F1660D" w:rsidRDefault="002848FE" w:rsidP="002848FE">
      <w:pPr>
        <w:pStyle w:val="CH1"/>
        <w:rPr>
          <w:lang w:val="fr-FR"/>
        </w:rPr>
      </w:pPr>
      <w:r w:rsidRPr="00F1660D">
        <w:rPr>
          <w:lang w:val="fr-FR"/>
        </w:rPr>
        <w:tab/>
        <w:t>X.</w:t>
      </w:r>
      <w:r w:rsidRPr="00F1660D">
        <w:rPr>
          <w:lang w:val="fr-FR"/>
        </w:rPr>
        <w:tab/>
      </w:r>
      <w:r w:rsidR="002D4ACF" w:rsidRPr="00F1660D">
        <w:rPr>
          <w:lang w:val="fr-FR"/>
        </w:rPr>
        <w:t>Clôture de</w:t>
      </w:r>
      <w:r w:rsidR="00A50629" w:rsidRPr="00F1660D">
        <w:rPr>
          <w:lang w:val="fr-FR"/>
        </w:rPr>
        <w:t xml:space="preserve"> la </w:t>
      </w:r>
      <w:r w:rsidR="002D4ACF" w:rsidRPr="00F1660D">
        <w:rPr>
          <w:lang w:val="fr-FR"/>
        </w:rPr>
        <w:t>réunion</w:t>
      </w:r>
    </w:p>
    <w:p w14:paraId="48741495" w14:textId="3C19C0F4" w:rsidR="00452691" w:rsidRPr="00F1660D" w:rsidRDefault="00131E29" w:rsidP="003C673B">
      <w:pPr>
        <w:pStyle w:val="Normalnumber"/>
        <w:rPr>
          <w:lang w:val="fr-FR"/>
        </w:rPr>
      </w:pPr>
      <w:r w:rsidRPr="00F1660D">
        <w:rPr>
          <w:lang w:val="fr-FR"/>
        </w:rPr>
        <w:t>Après l’échange des courtoisies d’usage, la Présidente a prononcé la clôture de la réunion le jeudi 4 avril 2019 à 18 h</w:t>
      </w:r>
      <w:r w:rsidR="003C3021" w:rsidRPr="00F1660D">
        <w:rPr>
          <w:lang w:val="fr-FR"/>
        </w:rPr>
        <w:t xml:space="preserve"> 30.</w:t>
      </w:r>
    </w:p>
    <w:p w14:paraId="79467153" w14:textId="1E7673FE" w:rsidR="002C67A2" w:rsidRPr="00F1660D" w:rsidRDefault="002C67A2">
      <w:pPr>
        <w:tabs>
          <w:tab w:val="clear" w:pos="1247"/>
          <w:tab w:val="clear" w:pos="1814"/>
          <w:tab w:val="clear" w:pos="2381"/>
          <w:tab w:val="clear" w:pos="2948"/>
          <w:tab w:val="clear" w:pos="3515"/>
        </w:tabs>
      </w:pPr>
      <w:r w:rsidRPr="00F1660D">
        <w:br w:type="page"/>
      </w:r>
    </w:p>
    <w:p w14:paraId="1F382B64" w14:textId="2D5DC0FC" w:rsidR="001420CF" w:rsidRPr="00F1660D" w:rsidRDefault="001420CF" w:rsidP="001420CF">
      <w:pPr>
        <w:pStyle w:val="ZZAnxheader"/>
        <w:rPr>
          <w:lang w:val="fr-FR"/>
        </w:rPr>
      </w:pPr>
      <w:r w:rsidRPr="00F1660D">
        <w:rPr>
          <w:lang w:val="fr-FR"/>
        </w:rPr>
        <w:t>Annexe I</w:t>
      </w:r>
    </w:p>
    <w:p w14:paraId="48E54FB4" w14:textId="2FD026EE" w:rsidR="001420CF" w:rsidRPr="00F1660D" w:rsidRDefault="001420CF" w:rsidP="001420CF">
      <w:pPr>
        <w:pStyle w:val="ZZAnxtitle"/>
        <w:rPr>
          <w:lang w:val="fr-FR"/>
        </w:rPr>
      </w:pPr>
      <w:r w:rsidRPr="00F1660D">
        <w:rPr>
          <w:lang w:val="fr-FR"/>
        </w:rPr>
        <w:t>Résultats du groupe de contact sur l’Approche stratégique et</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 xml:space="preserve">déchets </w:t>
      </w:r>
      <w:r w:rsidRPr="00F1660D">
        <w:rPr>
          <w:lang w:val="fr-FR"/>
        </w:rPr>
        <w:br/>
        <w:t>au-delà de 2020</w:t>
      </w:r>
      <w:r w:rsidRPr="00F1660D">
        <w:rPr>
          <w:vertAlign w:val="superscript"/>
          <w:lang w:val="fr-FR"/>
        </w:rPr>
        <w:footnoteReference w:id="1"/>
      </w:r>
    </w:p>
    <w:p w14:paraId="202F84F5" w14:textId="63506CCD" w:rsidR="001420CF" w:rsidRPr="00F1660D" w:rsidRDefault="001420CF" w:rsidP="001420CF">
      <w:pPr>
        <w:pStyle w:val="CH2"/>
        <w:rPr>
          <w:lang w:val="fr-FR"/>
        </w:rPr>
      </w:pPr>
      <w:r w:rsidRPr="00F1660D">
        <w:rPr>
          <w:lang w:val="fr-FR"/>
        </w:rPr>
        <w:tab/>
        <w:t>A.</w:t>
      </w:r>
      <w:r w:rsidRPr="00F1660D">
        <w:rPr>
          <w:lang w:val="fr-FR"/>
        </w:rPr>
        <w:tab/>
        <w:t>Recommandations concernant l’examen de l’Approche stratégique et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au-delà de 2020 par</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à sa cinquième session</w:t>
      </w:r>
    </w:p>
    <w:p w14:paraId="5A0C794D" w14:textId="77777777" w:rsidR="001420CF" w:rsidRPr="00F1660D" w:rsidRDefault="001420CF" w:rsidP="001420CF">
      <w:pPr>
        <w:pStyle w:val="CH3"/>
        <w:rPr>
          <w:lang w:val="fr-FR"/>
        </w:rPr>
      </w:pPr>
      <w:r w:rsidRPr="00F1660D">
        <w:rPr>
          <w:lang w:val="fr-FR"/>
        </w:rPr>
        <w:tab/>
        <w:t>i)</w:t>
      </w:r>
      <w:r w:rsidRPr="00F1660D">
        <w:rPr>
          <w:lang w:val="fr-FR"/>
        </w:rPr>
        <w:tab/>
        <w:t>[Principales recommandations générales</w:t>
      </w:r>
    </w:p>
    <w:p w14:paraId="2B96780F" w14:textId="28497AB5" w:rsidR="001420CF" w:rsidRPr="00F1660D" w:rsidRDefault="001420CF" w:rsidP="001420CF">
      <w:pPr>
        <w:pStyle w:val="Normalnumber"/>
        <w:numPr>
          <w:ilvl w:val="0"/>
          <w:numId w:val="2"/>
        </w:numPr>
        <w:rPr>
          <w:lang w:val="fr-FR"/>
        </w:rPr>
      </w:pPr>
      <w:r w:rsidRPr="00F1660D">
        <w:rPr>
          <w:lang w:val="fr-FR"/>
        </w:rPr>
        <w:t>Les gouvernements,</w:t>
      </w:r>
      <w:r w:rsidR="00A50629" w:rsidRPr="00F1660D">
        <w:rPr>
          <w:lang w:val="fr-FR"/>
        </w:rPr>
        <w:t xml:space="preserve"> les </w:t>
      </w:r>
      <w:r w:rsidRPr="00F1660D">
        <w:rPr>
          <w:lang w:val="fr-FR"/>
        </w:rPr>
        <w:t>organisations internationales, l’industrie et</w:t>
      </w:r>
      <w:r w:rsidR="00A50629" w:rsidRPr="00F1660D">
        <w:rPr>
          <w:lang w:val="fr-FR"/>
        </w:rPr>
        <w:t xml:space="preserve"> le </w:t>
      </w:r>
      <w:r w:rsidRPr="00F1660D">
        <w:rPr>
          <w:lang w:val="fr-FR"/>
        </w:rPr>
        <w:t>secteur privé,</w:t>
      </w:r>
      <w:r w:rsidR="00A50629" w:rsidRPr="00F1660D">
        <w:rPr>
          <w:lang w:val="fr-FR"/>
        </w:rPr>
        <w:t xml:space="preserve"> la </w:t>
      </w:r>
      <w:r w:rsidRPr="00F1660D">
        <w:rPr>
          <w:lang w:val="fr-FR"/>
        </w:rPr>
        <w:t>société civile,</w:t>
      </w:r>
      <w:r w:rsidR="00A50629" w:rsidRPr="00F1660D">
        <w:rPr>
          <w:lang w:val="fr-FR"/>
        </w:rPr>
        <w:t xml:space="preserve"> les </w:t>
      </w:r>
      <w:r w:rsidRPr="00F1660D">
        <w:rPr>
          <w:lang w:val="fr-FR"/>
        </w:rPr>
        <w:t>milieux scientifiques et universitaires et toutes</w:t>
      </w:r>
      <w:r w:rsidR="00A50629" w:rsidRPr="00F1660D">
        <w:rPr>
          <w:lang w:val="fr-FR"/>
        </w:rPr>
        <w:t xml:space="preserve"> les </w:t>
      </w:r>
      <w:r w:rsidRPr="00F1660D">
        <w:rPr>
          <w:lang w:val="fr-FR"/>
        </w:rPr>
        <w:t>autres parties prenantes devraient intensifier leurs efforts visant à assurer 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et en faire leur priorité, afin d’atteindre</w:t>
      </w:r>
      <w:r w:rsidR="00A50629" w:rsidRPr="00F1660D">
        <w:rPr>
          <w:lang w:val="fr-FR"/>
        </w:rPr>
        <w:t xml:space="preserve"> la </w:t>
      </w:r>
      <w:r w:rsidRPr="00F1660D">
        <w:rPr>
          <w:lang w:val="fr-FR"/>
        </w:rPr>
        <w:t>cible 12.4 du Programme 2030 et de contribuer ainsi à</w:t>
      </w:r>
      <w:r w:rsidR="00A50629" w:rsidRPr="00F1660D">
        <w:rPr>
          <w:lang w:val="fr-FR"/>
        </w:rPr>
        <w:t xml:space="preserve"> la </w:t>
      </w:r>
      <w:r w:rsidRPr="00F1660D">
        <w:rPr>
          <w:lang w:val="fr-FR"/>
        </w:rPr>
        <w:t>réalisation de nombreux autres objectifs de développement durable.</w:t>
      </w:r>
    </w:p>
    <w:p w14:paraId="46889F4E" w14:textId="1C5BD1F3" w:rsidR="001420CF" w:rsidRPr="00F1660D" w:rsidRDefault="001420CF" w:rsidP="001420CF">
      <w:pPr>
        <w:pStyle w:val="Normalnumber"/>
        <w:numPr>
          <w:ilvl w:val="0"/>
          <w:numId w:val="2"/>
        </w:numPr>
        <w:rPr>
          <w:lang w:val="fr-FR"/>
        </w:rPr>
      </w:pPr>
      <w:r w:rsidRPr="00F1660D">
        <w:rPr>
          <w:lang w:val="fr-FR"/>
        </w:rPr>
        <w:t>Il importe de prendre d’urgence</w:t>
      </w:r>
      <w:r w:rsidR="00A50629" w:rsidRPr="00F1660D">
        <w:rPr>
          <w:lang w:val="fr-FR"/>
        </w:rPr>
        <w:t xml:space="preserve"> des </w:t>
      </w:r>
      <w:r w:rsidRPr="00F1660D">
        <w:rPr>
          <w:lang w:val="fr-FR"/>
        </w:rPr>
        <w:t>mesures fermes à tous</w:t>
      </w:r>
      <w:r w:rsidR="00A50629" w:rsidRPr="00F1660D">
        <w:rPr>
          <w:lang w:val="fr-FR"/>
        </w:rPr>
        <w:t xml:space="preserve"> les </w:t>
      </w:r>
      <w:r w:rsidRPr="00F1660D">
        <w:rPr>
          <w:lang w:val="fr-FR"/>
        </w:rPr>
        <w:t>niveaux pour mettre en œuvre</w:t>
      </w:r>
      <w:r w:rsidR="00A50629" w:rsidRPr="00F1660D">
        <w:rPr>
          <w:lang w:val="fr-FR"/>
        </w:rPr>
        <w:t xml:space="preserve"> le </w:t>
      </w:r>
      <w:r w:rsidRPr="00F1660D">
        <w:rPr>
          <w:lang w:val="fr-FR"/>
        </w:rPr>
        <w:t>Programme 2030 en ce qui concerne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notamment en améliorant</w:t>
      </w:r>
      <w:r w:rsidR="00A50629" w:rsidRPr="00F1660D">
        <w:rPr>
          <w:lang w:val="fr-FR"/>
        </w:rPr>
        <w:t xml:space="preserve"> le </w:t>
      </w:r>
      <w:r w:rsidRPr="00F1660D">
        <w:rPr>
          <w:lang w:val="fr-FR"/>
        </w:rPr>
        <w:t>cadre propice à</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à long terme, ainsi que l’a souligné l’Assemblée</w:t>
      </w:r>
      <w:r w:rsidR="00A50629" w:rsidRPr="00F1660D">
        <w:rPr>
          <w:lang w:val="fr-FR"/>
        </w:rPr>
        <w:t xml:space="preserve"> des </w:t>
      </w:r>
      <w:r w:rsidRPr="00F1660D">
        <w:rPr>
          <w:lang w:val="fr-FR"/>
        </w:rPr>
        <w:t xml:space="preserve">Nations Unies pour l’environnement. Un tel cadre </w:t>
      </w:r>
      <w:r w:rsidR="00E06589" w:rsidRPr="00F1660D">
        <w:rPr>
          <w:lang w:val="fr-FR"/>
        </w:rPr>
        <w:t xml:space="preserve">amélioré </w:t>
      </w:r>
      <w:r w:rsidRPr="00F1660D">
        <w:rPr>
          <w:lang w:val="fr-FR"/>
        </w:rPr>
        <w:t>devrait s’intéresser particulièrement aux approches fondées sur</w:t>
      </w:r>
      <w:r w:rsidR="00A50629" w:rsidRPr="00F1660D">
        <w:rPr>
          <w:lang w:val="fr-FR"/>
        </w:rPr>
        <w:t xml:space="preserve"> le </w:t>
      </w:r>
      <w:r w:rsidRPr="00F1660D">
        <w:rPr>
          <w:lang w:val="fr-FR"/>
        </w:rPr>
        <w:t>cycle de vie et à l’interface entre</w:t>
      </w:r>
      <w:r w:rsidR="00A50629" w:rsidRPr="00F1660D">
        <w:rPr>
          <w:lang w:val="fr-FR"/>
        </w:rPr>
        <w:t xml:space="preserve"> les </w:t>
      </w:r>
      <w:r w:rsidRPr="00F1660D">
        <w:rPr>
          <w:lang w:val="fr-FR"/>
        </w:rPr>
        <w:t>produits chimiques et</w:t>
      </w:r>
      <w:r w:rsidR="00A50629" w:rsidRPr="00F1660D">
        <w:rPr>
          <w:lang w:val="fr-FR"/>
        </w:rPr>
        <w:t xml:space="preserve"> les </w:t>
      </w:r>
      <w:r w:rsidRPr="00F1660D">
        <w:rPr>
          <w:lang w:val="fr-FR"/>
        </w:rPr>
        <w:t>déchets, ainsi qu’aux matériaux, tels que</w:t>
      </w:r>
      <w:r w:rsidR="00A50629" w:rsidRPr="00F1660D">
        <w:rPr>
          <w:lang w:val="fr-FR"/>
        </w:rPr>
        <w:t xml:space="preserve"> les </w:t>
      </w:r>
      <w:r w:rsidRPr="00F1660D">
        <w:rPr>
          <w:lang w:val="fr-FR"/>
        </w:rPr>
        <w:t>plastiques, et à</w:t>
      </w:r>
      <w:r w:rsidR="00A50629" w:rsidRPr="00F1660D">
        <w:rPr>
          <w:lang w:val="fr-FR"/>
        </w:rPr>
        <w:t xml:space="preserve"> la </w:t>
      </w:r>
      <w:r w:rsidRPr="00F1660D">
        <w:rPr>
          <w:lang w:val="fr-FR"/>
        </w:rPr>
        <w:t>réduction</w:t>
      </w:r>
      <w:r w:rsidR="00A50629" w:rsidRPr="00F1660D">
        <w:rPr>
          <w:lang w:val="fr-FR"/>
        </w:rPr>
        <w:t xml:space="preserve"> au </w:t>
      </w:r>
      <w:r w:rsidRPr="00F1660D">
        <w:rPr>
          <w:lang w:val="fr-FR"/>
        </w:rPr>
        <w:t>minimum et à</w:t>
      </w:r>
      <w:r w:rsidR="00A50629" w:rsidRPr="00F1660D">
        <w:rPr>
          <w:lang w:val="fr-FR"/>
        </w:rPr>
        <w:t xml:space="preserve"> la </w:t>
      </w:r>
      <w:r w:rsidRPr="00F1660D">
        <w:rPr>
          <w:lang w:val="fr-FR"/>
        </w:rPr>
        <w:t>prévention, dans</w:t>
      </w:r>
      <w:r w:rsidR="00A50629" w:rsidRPr="00F1660D">
        <w:rPr>
          <w:lang w:val="fr-FR"/>
        </w:rPr>
        <w:t xml:space="preserve"> la </w:t>
      </w:r>
      <w:r w:rsidRPr="00F1660D">
        <w:rPr>
          <w:lang w:val="fr-FR"/>
        </w:rPr>
        <w:t>mesure du possible, de</w:t>
      </w:r>
      <w:r w:rsidR="00A50629" w:rsidRPr="00F1660D">
        <w:rPr>
          <w:lang w:val="fr-FR"/>
        </w:rPr>
        <w:t xml:space="preserve"> la </w:t>
      </w:r>
      <w:r w:rsidRPr="00F1660D">
        <w:rPr>
          <w:lang w:val="fr-FR"/>
        </w:rPr>
        <w:t>présence de substances dangereuses dans</w:t>
      </w:r>
      <w:r w:rsidR="00A50629" w:rsidRPr="00F1660D">
        <w:rPr>
          <w:lang w:val="fr-FR"/>
        </w:rPr>
        <w:t xml:space="preserve"> les </w:t>
      </w:r>
      <w:r w:rsidRPr="00F1660D">
        <w:rPr>
          <w:lang w:val="fr-FR"/>
        </w:rPr>
        <w:t>cycles de matériaux.]</w:t>
      </w:r>
    </w:p>
    <w:p w14:paraId="02545499" w14:textId="77777777" w:rsidR="001420CF" w:rsidRPr="00F1660D" w:rsidRDefault="001420CF" w:rsidP="001420CF">
      <w:pPr>
        <w:pStyle w:val="CH4"/>
        <w:rPr>
          <w:lang w:val="fr-FR"/>
        </w:rPr>
      </w:pPr>
      <w:r w:rsidRPr="00F1660D">
        <w:rPr>
          <w:lang w:val="fr-FR"/>
        </w:rPr>
        <w:tab/>
      </w:r>
      <w:r w:rsidRPr="00F1660D">
        <w:rPr>
          <w:lang w:val="fr-FR"/>
        </w:rPr>
        <w:tab/>
        <w:t>Vision</w:t>
      </w:r>
      <w:bookmarkStart w:id="24" w:name="_Hlk528075093"/>
    </w:p>
    <w:p w14:paraId="783E1C37" w14:textId="51F780A4" w:rsidR="001420CF" w:rsidRPr="00F1660D" w:rsidRDefault="001420CF" w:rsidP="001420CF">
      <w:pPr>
        <w:pStyle w:val="Normalnumber"/>
        <w:numPr>
          <w:ilvl w:val="0"/>
          <w:numId w:val="2"/>
        </w:numPr>
        <w:rPr>
          <w:lang w:val="fr-FR"/>
        </w:rPr>
      </w:pPr>
      <w:r w:rsidRPr="00F1660D">
        <w:rPr>
          <w:shd w:val="clear" w:color="auto" w:fill="FFFFFF"/>
          <w:lang w:val="fr-FR"/>
        </w:rPr>
        <w:t>[Le renforcement de</w:t>
      </w:r>
      <w:r w:rsidR="00A50629" w:rsidRPr="00F1660D">
        <w:rPr>
          <w:shd w:val="clear" w:color="auto" w:fill="FFFFFF"/>
          <w:lang w:val="fr-FR"/>
        </w:rPr>
        <w:t xml:space="preserve"> la </w:t>
      </w:r>
      <w:r w:rsidRPr="00F1660D">
        <w:rPr>
          <w:shd w:val="clear" w:color="auto" w:fill="FFFFFF"/>
          <w:lang w:val="fr-FR"/>
        </w:rPr>
        <w:t>gestion rationnelle</w:t>
      </w:r>
      <w:r w:rsidR="00A50629" w:rsidRPr="00F1660D">
        <w:rPr>
          <w:shd w:val="clear" w:color="auto" w:fill="FFFFFF"/>
          <w:lang w:val="fr-FR"/>
        </w:rPr>
        <w:t xml:space="preserve"> des </w:t>
      </w:r>
      <w:r w:rsidRPr="00F1660D">
        <w:rPr>
          <w:shd w:val="clear" w:color="auto" w:fill="FFFFFF"/>
          <w:lang w:val="fr-FR"/>
        </w:rPr>
        <w:t>produits chimiques et</w:t>
      </w:r>
      <w:r w:rsidR="00A50629" w:rsidRPr="00F1660D">
        <w:rPr>
          <w:shd w:val="clear" w:color="auto" w:fill="FFFFFF"/>
          <w:lang w:val="fr-FR"/>
        </w:rPr>
        <w:t xml:space="preserve"> des </w:t>
      </w:r>
      <w:r w:rsidRPr="00F1660D">
        <w:rPr>
          <w:shd w:val="clear" w:color="auto" w:fill="FFFFFF"/>
          <w:lang w:val="fr-FR"/>
        </w:rPr>
        <w:t>déchets à long terme suppose que] l’ensemble</w:t>
      </w:r>
      <w:r w:rsidR="00A50629" w:rsidRPr="00F1660D">
        <w:rPr>
          <w:shd w:val="clear" w:color="auto" w:fill="FFFFFF"/>
          <w:lang w:val="fr-FR"/>
        </w:rPr>
        <w:t xml:space="preserve"> des </w:t>
      </w:r>
      <w:r w:rsidRPr="00F1660D">
        <w:rPr>
          <w:shd w:val="clear" w:color="auto" w:fill="FFFFFF"/>
          <w:lang w:val="fr-FR"/>
        </w:rPr>
        <w:t>parties prenantes partage une [la] même vision :</w:t>
      </w:r>
    </w:p>
    <w:p w14:paraId="01CD5163" w14:textId="1BED73F7" w:rsidR="001420CF" w:rsidRPr="00F1660D" w:rsidRDefault="001420CF" w:rsidP="001420CF">
      <w:pPr>
        <w:pStyle w:val="NormalNonumber"/>
        <w:ind w:left="1814" w:hanging="567"/>
        <w:rPr>
          <w:lang w:val="fr-FR"/>
        </w:rPr>
      </w:pPr>
      <w:r w:rsidRPr="00F1660D">
        <w:rPr>
          <w:lang w:val="fr-FR"/>
        </w:rPr>
        <w:tab/>
      </w:r>
      <w:r w:rsidRPr="00F1660D">
        <w:rPr>
          <w:lang w:val="fr-FR"/>
        </w:rPr>
        <w:tab/>
        <w:t>i) Protéger</w:t>
      </w:r>
      <w:r w:rsidR="00A50629" w:rsidRPr="00F1660D">
        <w:rPr>
          <w:lang w:val="fr-FR"/>
        </w:rPr>
        <w:t xml:space="preserve"> la </w:t>
      </w:r>
      <w:r w:rsidRPr="00F1660D">
        <w:rPr>
          <w:lang w:val="fr-FR"/>
        </w:rPr>
        <w:t>santé humaine et l’environnement contre</w:t>
      </w:r>
      <w:r w:rsidR="00A50629" w:rsidRPr="00F1660D">
        <w:rPr>
          <w:lang w:val="fr-FR"/>
        </w:rPr>
        <w:t xml:space="preserve"> les </w:t>
      </w:r>
      <w:r w:rsidRPr="00F1660D">
        <w:rPr>
          <w:lang w:val="fr-FR"/>
        </w:rPr>
        <w:t>effets [néfastes] [défavorables]</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[de leurs] déchets [connexes]</w:t>
      </w:r>
      <w:r w:rsidRPr="00F1660D">
        <w:rPr>
          <w:rStyle w:val="FootnoteReference"/>
          <w:lang w:val="fr-FR"/>
        </w:rPr>
        <w:footnoteReference w:id="2"/>
      </w:r>
      <w:r w:rsidRPr="00F1660D">
        <w:rPr>
          <w:lang w:val="fr-FR"/>
        </w:rPr>
        <w:t>, [en vue de] [pour] [permettre] [promouvoir] [assurer] une vie saine et une planète sûre et durable pour tous.</w:t>
      </w:r>
    </w:p>
    <w:p w14:paraId="3CB800A2" w14:textId="6725B798" w:rsidR="001420CF" w:rsidRPr="00F1660D" w:rsidRDefault="001420CF" w:rsidP="001420CF">
      <w:pPr>
        <w:pStyle w:val="NormalNonumber"/>
        <w:ind w:left="1814" w:hanging="567"/>
        <w:rPr>
          <w:rFonts w:asciiTheme="majorBidi" w:hAnsiTheme="majorBidi" w:cstheme="majorBidi"/>
          <w:lang w:val="fr-FR"/>
        </w:rPr>
      </w:pPr>
      <w:r w:rsidRPr="00F1660D">
        <w:rPr>
          <w:rFonts w:asciiTheme="majorBidi" w:hAnsiTheme="majorBidi" w:cstheme="majorBidi"/>
          <w:lang w:val="fr-FR"/>
        </w:rPr>
        <w:tab/>
      </w:r>
      <w:r w:rsidRPr="00F1660D">
        <w:rPr>
          <w:rFonts w:asciiTheme="majorBidi" w:hAnsiTheme="majorBidi" w:cstheme="majorBidi"/>
          <w:lang w:val="fr-FR"/>
        </w:rPr>
        <w:tab/>
        <w:t xml:space="preserve">VARIANTE i) Assurer une vie saine et une planète </w:t>
      </w:r>
      <w:r w:rsidRPr="00F1660D">
        <w:rPr>
          <w:lang w:val="fr-FR"/>
        </w:rPr>
        <w:t xml:space="preserve">sûre et durable </w:t>
      </w:r>
      <w:r w:rsidRPr="00F1660D">
        <w:rPr>
          <w:rFonts w:asciiTheme="majorBidi" w:hAnsiTheme="majorBidi" w:cstheme="majorBidi"/>
          <w:lang w:val="fr-FR"/>
        </w:rPr>
        <w:t>pour tous en protégeant</w:t>
      </w:r>
      <w:r w:rsidR="00A50629" w:rsidRPr="00F1660D">
        <w:rPr>
          <w:rFonts w:asciiTheme="majorBidi" w:hAnsiTheme="majorBidi" w:cstheme="majorBidi"/>
          <w:lang w:val="fr-FR"/>
        </w:rPr>
        <w:t xml:space="preserve"> la </w:t>
      </w:r>
      <w:r w:rsidRPr="00F1660D">
        <w:rPr>
          <w:rFonts w:asciiTheme="majorBidi" w:hAnsiTheme="majorBidi" w:cstheme="majorBidi"/>
          <w:lang w:val="fr-FR"/>
        </w:rPr>
        <w:t>santé humaine et l’environnement contre</w:t>
      </w:r>
      <w:r w:rsidR="00A50629" w:rsidRPr="00F1660D">
        <w:rPr>
          <w:rFonts w:asciiTheme="majorBidi" w:hAnsiTheme="majorBidi" w:cstheme="majorBidi"/>
          <w:lang w:val="fr-FR"/>
        </w:rPr>
        <w:t xml:space="preserve"> les </w:t>
      </w:r>
      <w:r w:rsidRPr="00F1660D">
        <w:rPr>
          <w:lang w:val="fr-FR"/>
        </w:rPr>
        <w:t>effets [néfastes] [défavorables]</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[de leurs] déchets [connexes].</w:t>
      </w:r>
    </w:p>
    <w:bookmarkEnd w:id="24"/>
    <w:p w14:paraId="79FD0D22" w14:textId="77777777" w:rsidR="001420CF" w:rsidRPr="00F1660D" w:rsidRDefault="001420CF" w:rsidP="001420CF">
      <w:pPr>
        <w:pStyle w:val="CH4"/>
        <w:rPr>
          <w:lang w:val="fr-FR"/>
        </w:rPr>
      </w:pPr>
      <w:r w:rsidRPr="00F1660D">
        <w:rPr>
          <w:lang w:val="fr-FR"/>
        </w:rPr>
        <w:tab/>
      </w:r>
      <w:r w:rsidRPr="00F1660D">
        <w:rPr>
          <w:lang w:val="fr-FR"/>
        </w:rPr>
        <w:tab/>
      </w:r>
      <w:r w:rsidRPr="00F1660D">
        <w:rPr>
          <w:bCs/>
          <w:lang w:val="fr-FR"/>
        </w:rPr>
        <w:t>Portée</w:t>
      </w:r>
    </w:p>
    <w:p w14:paraId="7BEDD0BA" w14:textId="427A3C02" w:rsidR="001420CF" w:rsidRPr="00F1660D" w:rsidRDefault="001420CF" w:rsidP="001420CF">
      <w:pPr>
        <w:pStyle w:val="Normalnumber"/>
        <w:numPr>
          <w:ilvl w:val="0"/>
          <w:numId w:val="2"/>
        </w:numPr>
        <w:rPr>
          <w:rFonts w:asciiTheme="majorBidi" w:hAnsiTheme="majorBidi" w:cstheme="majorBidi"/>
          <w:lang w:val="fr-FR"/>
        </w:rPr>
      </w:pPr>
      <w:r w:rsidRPr="00F1660D">
        <w:rPr>
          <w:lang w:val="fr-FR"/>
        </w:rPr>
        <w:t>La portée de l’instrument englobe [tous]</w:t>
      </w:r>
      <w:r w:rsidR="00A50629" w:rsidRPr="00F1660D">
        <w:rPr>
          <w:lang w:val="fr-FR"/>
        </w:rPr>
        <w:t xml:space="preserve"> les </w:t>
      </w:r>
      <w:r w:rsidRPr="00F1660D">
        <w:rPr>
          <w:lang w:val="fr-FR"/>
        </w:rPr>
        <w:t>aspects de</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et [de l’ensemble]</w:t>
      </w:r>
      <w:r w:rsidR="00A50629" w:rsidRPr="00F1660D">
        <w:rPr>
          <w:lang w:val="fr-FR"/>
        </w:rPr>
        <w:t xml:space="preserve"> des </w:t>
      </w:r>
      <w:r w:rsidRPr="00F1660D">
        <w:rPr>
          <w:lang w:val="fr-FR"/>
        </w:rPr>
        <w:t>[de leurs] déchets [connexes] [qui ont trait à l’environnement, l’économie,</w:t>
      </w:r>
      <w:r w:rsidR="00A50629" w:rsidRPr="00F1660D">
        <w:rPr>
          <w:lang w:val="fr-FR"/>
        </w:rPr>
        <w:t xml:space="preserve"> la </w:t>
      </w:r>
      <w:r w:rsidRPr="00F1660D">
        <w:rPr>
          <w:lang w:val="fr-FR"/>
        </w:rPr>
        <w:t>société,</w:t>
      </w:r>
      <w:r w:rsidR="00A50629" w:rsidRPr="00F1660D">
        <w:rPr>
          <w:lang w:val="fr-FR"/>
        </w:rPr>
        <w:t xml:space="preserve"> la </w:t>
      </w:r>
      <w:r w:rsidRPr="00F1660D">
        <w:rPr>
          <w:lang w:val="fr-FR"/>
        </w:rPr>
        <w:t>santé, l’agriculture et</w:t>
      </w:r>
      <w:r w:rsidR="00A50629" w:rsidRPr="00F1660D">
        <w:rPr>
          <w:lang w:val="fr-FR"/>
        </w:rPr>
        <w:t xml:space="preserve"> le </w:t>
      </w:r>
      <w:r w:rsidRPr="00F1660D">
        <w:rPr>
          <w:lang w:val="fr-FR"/>
        </w:rPr>
        <w:t>travail], pour renforcer</w:t>
      </w:r>
      <w:r w:rsidR="00A50629" w:rsidRPr="00F1660D">
        <w:rPr>
          <w:lang w:val="fr-FR"/>
        </w:rPr>
        <w:t xml:space="preserve"> le </w:t>
      </w:r>
      <w:r w:rsidRPr="00F1660D">
        <w:rPr>
          <w:lang w:val="fr-FR"/>
        </w:rPr>
        <w:t>développement durable [et</w:t>
      </w:r>
      <w:r w:rsidR="00A50629" w:rsidRPr="00F1660D">
        <w:rPr>
          <w:lang w:val="fr-FR"/>
        </w:rPr>
        <w:t xml:space="preserve"> la </w:t>
      </w:r>
      <w:r w:rsidRPr="00F1660D">
        <w:rPr>
          <w:lang w:val="fr-FR"/>
        </w:rPr>
        <w:t>circularité [non toxique] [, l’intégrité environnementale] [et</w:t>
      </w:r>
      <w:r w:rsidR="00A50629" w:rsidRPr="00F1660D">
        <w:rPr>
          <w:lang w:val="fr-FR"/>
        </w:rPr>
        <w:t xml:space="preserve"> la </w:t>
      </w:r>
      <w:r w:rsidRPr="00F1660D">
        <w:rPr>
          <w:lang w:val="fr-FR"/>
        </w:rPr>
        <w:t>protection</w:t>
      </w:r>
      <w:r w:rsidR="00A50629" w:rsidRPr="00F1660D">
        <w:rPr>
          <w:lang w:val="fr-FR"/>
        </w:rPr>
        <w:t xml:space="preserve"> des </w:t>
      </w:r>
      <w:r w:rsidRPr="00F1660D">
        <w:rPr>
          <w:lang w:val="fr-FR"/>
        </w:rPr>
        <w:t>droits de</w:t>
      </w:r>
      <w:r w:rsidR="00A50629" w:rsidRPr="00F1660D">
        <w:rPr>
          <w:lang w:val="fr-FR"/>
        </w:rPr>
        <w:t xml:space="preserve"> la </w:t>
      </w:r>
      <w:r w:rsidRPr="00F1660D">
        <w:rPr>
          <w:lang w:val="fr-FR"/>
        </w:rPr>
        <w:t>personne] [</w:t>
      </w:r>
      <w:r w:rsidR="00E06589" w:rsidRPr="00F1660D">
        <w:rPr>
          <w:lang w:val="fr-FR"/>
        </w:rPr>
        <w:t xml:space="preserve">et </w:t>
      </w:r>
      <w:r w:rsidRPr="00F1660D">
        <w:rPr>
          <w:lang w:val="fr-FR"/>
        </w:rPr>
        <w:t>l’utilisation rationnelle</w:t>
      </w:r>
      <w:r w:rsidR="00A50629" w:rsidRPr="00F1660D">
        <w:rPr>
          <w:lang w:val="fr-FR"/>
        </w:rPr>
        <w:t xml:space="preserve"> des </w:t>
      </w:r>
      <w:r w:rsidRPr="00F1660D">
        <w:rPr>
          <w:lang w:val="fr-FR"/>
        </w:rPr>
        <w:t>ressources]]. L’instrument prend dûment en considération</w:t>
      </w:r>
      <w:r w:rsidR="00A50629" w:rsidRPr="00F1660D">
        <w:rPr>
          <w:lang w:val="fr-FR"/>
        </w:rPr>
        <w:t xml:space="preserve"> les </w:t>
      </w:r>
      <w:r w:rsidRPr="00F1660D">
        <w:rPr>
          <w:lang w:val="fr-FR"/>
        </w:rPr>
        <w:t>instruments et processus élaborés à ce jour, et est suffisamment souple pour tenir compte de nouveaux éléments en évitant</w:t>
      </w:r>
      <w:r w:rsidR="00A50629" w:rsidRPr="00F1660D">
        <w:rPr>
          <w:lang w:val="fr-FR"/>
        </w:rPr>
        <w:t xml:space="preserve"> le </w:t>
      </w:r>
      <w:r w:rsidRPr="00F1660D">
        <w:rPr>
          <w:lang w:val="fr-FR"/>
        </w:rPr>
        <w:t>double emploi.</w:t>
      </w:r>
    </w:p>
    <w:p w14:paraId="6D6D67AE" w14:textId="22DBE623" w:rsidR="001420CF" w:rsidRPr="00F1660D" w:rsidRDefault="001420CF" w:rsidP="001420CF">
      <w:pPr>
        <w:pStyle w:val="Normalnumber"/>
        <w:numPr>
          <w:ilvl w:val="0"/>
          <w:numId w:val="2"/>
        </w:numPr>
        <w:rPr>
          <w:lang w:val="fr-FR"/>
        </w:rPr>
      </w:pPr>
      <w:r w:rsidRPr="00F1660D">
        <w:rPr>
          <w:lang w:val="fr-FR"/>
        </w:rPr>
        <w:t>L’engagement de tous</w:t>
      </w:r>
      <w:r w:rsidR="00A50629" w:rsidRPr="00F1660D">
        <w:rPr>
          <w:lang w:val="fr-FR"/>
        </w:rPr>
        <w:t xml:space="preserve"> les </w:t>
      </w:r>
      <w:r w:rsidRPr="00F1660D">
        <w:rPr>
          <w:lang w:val="fr-FR"/>
        </w:rPr>
        <w:t xml:space="preserve">secteurs et parties prenantes </w:t>
      </w:r>
      <w:r w:rsidR="00E06589" w:rsidRPr="00F1660D">
        <w:rPr>
          <w:lang w:val="fr-FR"/>
        </w:rPr>
        <w:t xml:space="preserve">concernés </w:t>
      </w:r>
      <w:r w:rsidRPr="00F1660D">
        <w:rPr>
          <w:lang w:val="fr-FR"/>
        </w:rPr>
        <w:t>aux niveaux local, national, régional et mondial est essentiel pour 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E06589" w:rsidRPr="00F1660D">
        <w:rPr>
          <w:lang w:val="fr-FR"/>
        </w:rPr>
        <w:t xml:space="preserve"> tout au long de leur cycle de vie</w:t>
      </w:r>
      <w:r w:rsidRPr="00F1660D">
        <w:rPr>
          <w:lang w:val="fr-FR"/>
        </w:rPr>
        <w:t>. Parmi</w:t>
      </w:r>
      <w:r w:rsidR="00A50629" w:rsidRPr="00F1660D">
        <w:rPr>
          <w:lang w:val="fr-FR"/>
        </w:rPr>
        <w:t xml:space="preserve"> les </w:t>
      </w:r>
      <w:r w:rsidRPr="00F1660D">
        <w:rPr>
          <w:lang w:val="fr-FR"/>
        </w:rPr>
        <w:t>parties prenantes on compte [notamment]</w:t>
      </w:r>
      <w:r w:rsidR="00A50629" w:rsidRPr="00F1660D">
        <w:rPr>
          <w:lang w:val="fr-FR"/>
        </w:rPr>
        <w:t xml:space="preserve"> les </w:t>
      </w:r>
      <w:r w:rsidRPr="00F1660D">
        <w:rPr>
          <w:lang w:val="fr-FR"/>
        </w:rPr>
        <w:t>gouvernements,</w:t>
      </w:r>
      <w:r w:rsidR="00A50629" w:rsidRPr="00F1660D">
        <w:rPr>
          <w:lang w:val="fr-FR"/>
        </w:rPr>
        <w:t xml:space="preserve"> les </w:t>
      </w:r>
      <w:r w:rsidRPr="00F1660D">
        <w:rPr>
          <w:lang w:val="fr-FR"/>
        </w:rPr>
        <w:t>organisations d’intégration économique régionale,</w:t>
      </w:r>
      <w:r w:rsidR="00A50629" w:rsidRPr="00F1660D">
        <w:rPr>
          <w:lang w:val="fr-FR"/>
        </w:rPr>
        <w:t xml:space="preserve"> les </w:t>
      </w:r>
      <w:r w:rsidRPr="00F1660D">
        <w:rPr>
          <w:lang w:val="fr-FR"/>
        </w:rPr>
        <w:t>organisations intergouvernementales,</w:t>
      </w:r>
      <w:r w:rsidR="00A50629" w:rsidRPr="00F1660D">
        <w:rPr>
          <w:lang w:val="fr-FR"/>
        </w:rPr>
        <w:t xml:space="preserve"> la </w:t>
      </w:r>
      <w:r w:rsidRPr="00F1660D">
        <w:rPr>
          <w:lang w:val="fr-FR"/>
        </w:rPr>
        <w:t>société civile,</w:t>
      </w:r>
      <w:r w:rsidR="00A50629" w:rsidRPr="00F1660D">
        <w:rPr>
          <w:lang w:val="fr-FR"/>
        </w:rPr>
        <w:t xml:space="preserve"> le </w:t>
      </w:r>
      <w:r w:rsidRPr="00F1660D">
        <w:rPr>
          <w:lang w:val="fr-FR"/>
        </w:rPr>
        <w:t>secteur industriel,</w:t>
      </w:r>
      <w:r w:rsidR="00A50629" w:rsidRPr="00F1660D">
        <w:rPr>
          <w:lang w:val="fr-FR"/>
        </w:rPr>
        <w:t xml:space="preserve"> les </w:t>
      </w:r>
      <w:r w:rsidRPr="00F1660D">
        <w:rPr>
          <w:lang w:val="fr-FR"/>
        </w:rPr>
        <w:t>entreprises,</w:t>
      </w:r>
      <w:r w:rsidR="00A50629" w:rsidRPr="00F1660D">
        <w:rPr>
          <w:lang w:val="fr-FR"/>
        </w:rPr>
        <w:t xml:space="preserve"> le </w:t>
      </w:r>
      <w:r w:rsidRPr="00F1660D">
        <w:rPr>
          <w:lang w:val="fr-FR"/>
        </w:rPr>
        <w:t>secteur financier,</w:t>
      </w:r>
      <w:r w:rsidR="00A50629" w:rsidRPr="00F1660D">
        <w:rPr>
          <w:lang w:val="fr-FR"/>
        </w:rPr>
        <w:t xml:space="preserve"> les </w:t>
      </w:r>
      <w:r w:rsidRPr="00F1660D">
        <w:rPr>
          <w:lang w:val="fr-FR"/>
        </w:rPr>
        <w:t>banques de développement,</w:t>
      </w:r>
      <w:r w:rsidR="00A50629" w:rsidRPr="00F1660D">
        <w:rPr>
          <w:lang w:val="fr-FR"/>
        </w:rPr>
        <w:t xml:space="preserve"> les </w:t>
      </w:r>
      <w:r w:rsidRPr="00F1660D">
        <w:rPr>
          <w:lang w:val="fr-FR"/>
        </w:rPr>
        <w:t>milieux universitaires,</w:t>
      </w:r>
      <w:r w:rsidR="00A50629" w:rsidRPr="00F1660D">
        <w:rPr>
          <w:lang w:val="fr-FR"/>
        </w:rPr>
        <w:t xml:space="preserve"> les </w:t>
      </w:r>
      <w:r w:rsidRPr="00F1660D">
        <w:rPr>
          <w:lang w:val="fr-FR"/>
        </w:rPr>
        <w:t>travailleurs,</w:t>
      </w:r>
      <w:r w:rsidR="00A50629" w:rsidRPr="00F1660D">
        <w:rPr>
          <w:lang w:val="fr-FR"/>
        </w:rPr>
        <w:t xml:space="preserve"> les </w:t>
      </w:r>
      <w:r w:rsidRPr="00F1660D">
        <w:rPr>
          <w:lang w:val="fr-FR"/>
        </w:rPr>
        <w:t>détaillants et</w:t>
      </w:r>
      <w:r w:rsidR="00A50629" w:rsidRPr="00F1660D">
        <w:rPr>
          <w:lang w:val="fr-FR"/>
        </w:rPr>
        <w:t xml:space="preserve"> les </w:t>
      </w:r>
      <w:r w:rsidRPr="00F1660D">
        <w:rPr>
          <w:lang w:val="fr-FR"/>
        </w:rPr>
        <w:t>individus. Quant aux différents secteurs, ils comprennent – sans</w:t>
      </w:r>
      <w:r w:rsidR="00A50629" w:rsidRPr="00F1660D">
        <w:rPr>
          <w:lang w:val="fr-FR"/>
        </w:rPr>
        <w:t xml:space="preserve"> s’y </w:t>
      </w:r>
      <w:r w:rsidRPr="00F1660D">
        <w:rPr>
          <w:lang w:val="fr-FR"/>
        </w:rPr>
        <w:t>limiter – l’agriculture, l’environnement,</w:t>
      </w:r>
      <w:r w:rsidR="00A50629" w:rsidRPr="00F1660D">
        <w:rPr>
          <w:lang w:val="fr-FR"/>
        </w:rPr>
        <w:t xml:space="preserve"> la </w:t>
      </w:r>
      <w:r w:rsidRPr="00F1660D">
        <w:rPr>
          <w:lang w:val="fr-FR"/>
        </w:rPr>
        <w:t>santé, l’éducation,</w:t>
      </w:r>
      <w:r w:rsidR="00A50629" w:rsidRPr="00F1660D">
        <w:rPr>
          <w:lang w:val="fr-FR"/>
        </w:rPr>
        <w:t xml:space="preserve"> la </w:t>
      </w:r>
      <w:r w:rsidRPr="00F1660D">
        <w:rPr>
          <w:lang w:val="fr-FR"/>
        </w:rPr>
        <w:t>finance,</w:t>
      </w:r>
      <w:r w:rsidR="00A50629" w:rsidRPr="00F1660D">
        <w:rPr>
          <w:lang w:val="fr-FR"/>
        </w:rPr>
        <w:t xml:space="preserve"> le </w:t>
      </w:r>
      <w:r w:rsidRPr="00F1660D">
        <w:rPr>
          <w:lang w:val="fr-FR"/>
        </w:rPr>
        <w:t>développement,</w:t>
      </w:r>
      <w:r w:rsidR="00A50629" w:rsidRPr="00F1660D">
        <w:rPr>
          <w:lang w:val="fr-FR"/>
        </w:rPr>
        <w:t xml:space="preserve"> la </w:t>
      </w:r>
      <w:r w:rsidRPr="00F1660D">
        <w:rPr>
          <w:lang w:val="fr-FR"/>
        </w:rPr>
        <w:t>construction et</w:t>
      </w:r>
      <w:r w:rsidR="00A50629" w:rsidRPr="00F1660D">
        <w:rPr>
          <w:lang w:val="fr-FR"/>
        </w:rPr>
        <w:t xml:space="preserve"> le </w:t>
      </w:r>
      <w:r w:rsidRPr="00F1660D">
        <w:rPr>
          <w:lang w:val="fr-FR"/>
        </w:rPr>
        <w:t>travail.</w:t>
      </w:r>
    </w:p>
    <w:p w14:paraId="192F5EA5" w14:textId="77777777" w:rsidR="001420CF" w:rsidRPr="00F1660D" w:rsidRDefault="001420CF" w:rsidP="001420CF">
      <w:pPr>
        <w:tabs>
          <w:tab w:val="clear" w:pos="1247"/>
          <w:tab w:val="clear" w:pos="1814"/>
          <w:tab w:val="clear" w:pos="2381"/>
          <w:tab w:val="clear" w:pos="2948"/>
          <w:tab w:val="clear" w:pos="3515"/>
        </w:tabs>
      </w:pPr>
      <w:r w:rsidRPr="00F1660D">
        <w:br w:type="page"/>
      </w:r>
    </w:p>
    <w:p w14:paraId="494EB117" w14:textId="12537794" w:rsidR="001420CF" w:rsidRPr="00F1660D" w:rsidRDefault="001420CF" w:rsidP="001420CF">
      <w:pPr>
        <w:pStyle w:val="CH2"/>
        <w:rPr>
          <w:lang w:val="fr-FR"/>
        </w:rPr>
      </w:pPr>
      <w:r w:rsidRPr="00F1660D">
        <w:rPr>
          <w:lang w:val="fr-FR"/>
        </w:rPr>
        <w:tab/>
      </w:r>
      <w:r w:rsidRPr="00F1660D">
        <w:rPr>
          <w:lang w:val="fr-FR"/>
        </w:rPr>
        <w:tab/>
        <w:t>Note :</w:t>
      </w:r>
      <w:r w:rsidR="00A50629" w:rsidRPr="00F1660D">
        <w:rPr>
          <w:lang w:val="fr-FR"/>
        </w:rPr>
        <w:t xml:space="preserve"> la </w:t>
      </w:r>
      <w:r w:rsidRPr="00F1660D">
        <w:rPr>
          <w:lang w:val="fr-FR"/>
        </w:rPr>
        <w:t>question</w:t>
      </w:r>
      <w:r w:rsidR="00A50629" w:rsidRPr="00F1660D">
        <w:rPr>
          <w:lang w:val="fr-FR"/>
        </w:rPr>
        <w:t xml:space="preserve"> des </w:t>
      </w:r>
      <w:r w:rsidRPr="00F1660D">
        <w:rPr>
          <w:lang w:val="fr-FR"/>
        </w:rPr>
        <w:t>principes et approches n’a pas été examinée en détail</w:t>
      </w:r>
      <w:r w:rsidR="00E06589" w:rsidRPr="00F1660D">
        <w:rPr>
          <w:lang w:val="fr-FR"/>
        </w:rPr>
        <w:t xml:space="preserve"> à</w:t>
      </w:r>
      <w:r w:rsidR="00A50629" w:rsidRPr="00F1660D">
        <w:rPr>
          <w:lang w:val="fr-FR"/>
        </w:rPr>
        <w:t xml:space="preserve"> la </w:t>
      </w:r>
      <w:r w:rsidRPr="00F1660D">
        <w:rPr>
          <w:lang w:val="fr-FR"/>
        </w:rPr>
        <w:t>troisième réunion du Groupe de travail à composition non limitée</w:t>
      </w:r>
    </w:p>
    <w:p w14:paraId="6AEC8E54" w14:textId="239AD1A5" w:rsidR="001420CF" w:rsidRPr="00F1660D" w:rsidRDefault="001420CF" w:rsidP="001420CF">
      <w:pPr>
        <w:pStyle w:val="CH3"/>
        <w:rPr>
          <w:lang w:val="fr-FR"/>
        </w:rPr>
      </w:pPr>
      <w:r w:rsidRPr="00F1660D">
        <w:rPr>
          <w:lang w:val="fr-FR"/>
        </w:rPr>
        <w:tab/>
      </w:r>
      <w:r w:rsidRPr="00F1660D">
        <w:rPr>
          <w:lang w:val="fr-FR"/>
        </w:rPr>
        <w:tab/>
        <w:t>Objectifs stratégiques et cibles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p>
    <w:p w14:paraId="101D1797" w14:textId="7A92DFBC" w:rsidR="001420CF" w:rsidRPr="00F1660D" w:rsidRDefault="001420CF" w:rsidP="001420CF">
      <w:pPr>
        <w:pStyle w:val="Normalnumber"/>
        <w:numPr>
          <w:ilvl w:val="0"/>
          <w:numId w:val="2"/>
        </w:numPr>
        <w:rPr>
          <w:rFonts w:asciiTheme="majorBidi" w:hAnsiTheme="majorBidi" w:cstheme="majorBidi"/>
          <w:lang w:val="fr-FR"/>
        </w:rPr>
      </w:pPr>
      <w:r w:rsidRPr="00F1660D">
        <w:rPr>
          <w:lang w:val="fr-FR"/>
        </w:rPr>
        <w:t>Les objectifs stratégiques ci-après guideront</w:t>
      </w:r>
      <w:r w:rsidR="00A50629" w:rsidRPr="00F1660D">
        <w:rPr>
          <w:lang w:val="fr-FR"/>
        </w:rPr>
        <w:t xml:space="preserve"> les </w:t>
      </w:r>
      <w:r w:rsidRPr="00F1660D">
        <w:rPr>
          <w:lang w:val="fr-FR"/>
        </w:rPr>
        <w:t>parties prenantes dans leurs efforts à tous</w:t>
      </w:r>
      <w:r w:rsidR="00A50629" w:rsidRPr="00F1660D">
        <w:rPr>
          <w:lang w:val="fr-FR"/>
        </w:rPr>
        <w:t xml:space="preserve"> les </w:t>
      </w:r>
      <w:r w:rsidRPr="00F1660D">
        <w:rPr>
          <w:lang w:val="fr-FR"/>
        </w:rPr>
        <w:t>niveaux pour assurer 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 xml:space="preserve">déchets : </w:t>
      </w:r>
    </w:p>
    <w:p w14:paraId="471EC50F" w14:textId="48D8ADBA" w:rsidR="001420CF" w:rsidRPr="00F1660D" w:rsidRDefault="001420CF" w:rsidP="001420CF">
      <w:pPr>
        <w:pStyle w:val="NormalNonumber"/>
        <w:tabs>
          <w:tab w:val="clear" w:pos="1247"/>
        </w:tabs>
        <w:ind w:left="3515" w:hanging="2268"/>
        <w:rPr>
          <w:rFonts w:asciiTheme="majorBidi" w:hAnsiTheme="majorBidi" w:cstheme="majorBidi"/>
          <w:lang w:val="fr-FR"/>
        </w:rPr>
      </w:pPr>
      <w:r w:rsidRPr="00F1660D">
        <w:rPr>
          <w:lang w:val="fr-FR"/>
        </w:rPr>
        <w:t xml:space="preserve">Objectif stratégique A : </w:t>
      </w:r>
      <w:r w:rsidRPr="00F1660D">
        <w:rPr>
          <w:lang w:val="fr-FR"/>
        </w:rPr>
        <w:tab/>
        <w:t>[Des mesures sont définies, mises en œuvre et appliquées aux fins de prévenir ou, lorsque cela n’est pas possible, de réduire</w:t>
      </w:r>
      <w:r w:rsidR="00A50629" w:rsidRPr="00F1660D">
        <w:rPr>
          <w:lang w:val="fr-FR"/>
        </w:rPr>
        <w:t xml:space="preserve"> au </w:t>
      </w:r>
      <w:r w:rsidRPr="00F1660D">
        <w:rPr>
          <w:lang w:val="fr-FR"/>
        </w:rPr>
        <w:t>minimum</w:t>
      </w:r>
      <w:r w:rsidR="00A50629" w:rsidRPr="00F1660D">
        <w:rPr>
          <w:lang w:val="fr-FR"/>
        </w:rPr>
        <w:t xml:space="preserve"> les </w:t>
      </w:r>
      <w:r w:rsidRPr="00F1660D">
        <w:rPr>
          <w:lang w:val="fr-FR"/>
        </w:rPr>
        <w:t>dommages causés par</w:t>
      </w:r>
      <w:r w:rsidR="00A50629" w:rsidRPr="00F1660D">
        <w:rPr>
          <w:lang w:val="fr-FR"/>
        </w:rPr>
        <w:t xml:space="preserve"> les </w:t>
      </w:r>
      <w:r w:rsidRPr="00F1660D">
        <w:rPr>
          <w:lang w:val="fr-FR"/>
        </w:rPr>
        <w:t>produits chimiques tout</w:t>
      </w:r>
      <w:r w:rsidR="00A50629" w:rsidRPr="00F1660D">
        <w:rPr>
          <w:lang w:val="fr-FR"/>
        </w:rPr>
        <w:t xml:space="preserve"> au </w:t>
      </w:r>
      <w:r w:rsidRPr="00F1660D">
        <w:rPr>
          <w:lang w:val="fr-FR"/>
        </w:rPr>
        <w:t>long de leur cycle de vie [et</w:t>
      </w:r>
      <w:r w:rsidR="00A50629" w:rsidRPr="00F1660D">
        <w:rPr>
          <w:lang w:val="fr-FR"/>
        </w:rPr>
        <w:t xml:space="preserve"> les </w:t>
      </w:r>
      <w:r w:rsidRPr="00F1660D">
        <w:rPr>
          <w:lang w:val="fr-FR"/>
        </w:rPr>
        <w:t>déchets] ;]</w:t>
      </w:r>
    </w:p>
    <w:p w14:paraId="027ABC0D" w14:textId="38596E8A" w:rsidR="001420CF" w:rsidRPr="00F1660D" w:rsidRDefault="001420CF" w:rsidP="001420CF">
      <w:pPr>
        <w:pStyle w:val="NormalNonumber"/>
        <w:tabs>
          <w:tab w:val="clear" w:pos="1247"/>
        </w:tabs>
        <w:ind w:left="3515" w:hanging="2268"/>
        <w:rPr>
          <w:rFonts w:asciiTheme="majorBidi" w:hAnsiTheme="majorBidi" w:cstheme="majorBidi"/>
          <w:lang w:val="fr-FR"/>
        </w:rPr>
      </w:pPr>
      <w:r w:rsidRPr="00F1660D">
        <w:rPr>
          <w:lang w:val="fr-FR"/>
        </w:rPr>
        <w:t xml:space="preserve">Objectif stratégique B : </w:t>
      </w:r>
      <w:r w:rsidRPr="00F1660D">
        <w:rPr>
          <w:lang w:val="fr-FR"/>
        </w:rPr>
        <w:tab/>
        <w:t>Des connaissances, données et informations exhaustives et adéquates sont créées, mises à disposition et rendues accessibles à tous afin de permettre</w:t>
      </w:r>
      <w:r w:rsidR="00A50629" w:rsidRPr="00F1660D">
        <w:rPr>
          <w:lang w:val="fr-FR"/>
        </w:rPr>
        <w:t xml:space="preserve"> la </w:t>
      </w:r>
      <w:r w:rsidRPr="00F1660D">
        <w:rPr>
          <w:lang w:val="fr-FR"/>
        </w:rPr>
        <w:t>prise de décisions et de mesures en connaissance de cause ;</w:t>
      </w:r>
    </w:p>
    <w:p w14:paraId="398CEBE8" w14:textId="77777777" w:rsidR="001420CF" w:rsidRPr="00F1660D" w:rsidRDefault="001420CF" w:rsidP="001420CF">
      <w:pPr>
        <w:pStyle w:val="NormalNonumber"/>
        <w:tabs>
          <w:tab w:val="clear" w:pos="1247"/>
        </w:tabs>
        <w:ind w:left="3515" w:hanging="2268"/>
        <w:rPr>
          <w:rFonts w:asciiTheme="majorBidi" w:hAnsiTheme="majorBidi" w:cstheme="majorBidi"/>
          <w:lang w:val="fr-FR"/>
        </w:rPr>
      </w:pPr>
      <w:r w:rsidRPr="00F1660D">
        <w:rPr>
          <w:lang w:val="fr-FR"/>
        </w:rPr>
        <w:t xml:space="preserve">Objectif stratégique C : </w:t>
      </w:r>
      <w:r w:rsidRPr="00F1660D">
        <w:rPr>
          <w:lang w:val="fr-FR"/>
        </w:rPr>
        <w:tab/>
        <w:t>Les sujets de préoccupation [qui exigent une action [planétaire] [et] [conjointe]] sont circonscrits, hiérarchisés et traités ;</w:t>
      </w:r>
    </w:p>
    <w:p w14:paraId="6E42EB10" w14:textId="428408D1" w:rsidR="001420CF" w:rsidRPr="00F1660D" w:rsidRDefault="001420CF" w:rsidP="001420CF">
      <w:pPr>
        <w:pStyle w:val="NormalNonumber"/>
        <w:tabs>
          <w:tab w:val="clear" w:pos="1247"/>
        </w:tabs>
        <w:ind w:left="3515" w:hanging="2268"/>
        <w:rPr>
          <w:rFonts w:asciiTheme="majorBidi" w:hAnsiTheme="majorBidi" w:cstheme="majorBidi"/>
          <w:lang w:val="fr-FR"/>
        </w:rPr>
      </w:pPr>
      <w:r w:rsidRPr="00F1660D">
        <w:rPr>
          <w:lang w:val="fr-FR"/>
        </w:rPr>
        <w:t xml:space="preserve">Objectif stratégique D : </w:t>
      </w:r>
      <w:r w:rsidRPr="00F1660D">
        <w:rPr>
          <w:lang w:val="fr-FR"/>
        </w:rPr>
        <w:tab/>
        <w:t>Les avantages pour</w:t>
      </w:r>
      <w:r w:rsidR="00A50629" w:rsidRPr="00F1660D">
        <w:rPr>
          <w:lang w:val="fr-FR"/>
        </w:rPr>
        <w:t xml:space="preserve"> la </w:t>
      </w:r>
      <w:r w:rsidRPr="00F1660D">
        <w:rPr>
          <w:lang w:val="fr-FR"/>
        </w:rPr>
        <w:t>santé humaine et l’environnement sont maximisés et</w:t>
      </w:r>
      <w:r w:rsidR="00A50629" w:rsidRPr="00F1660D">
        <w:rPr>
          <w:lang w:val="fr-FR"/>
        </w:rPr>
        <w:t xml:space="preserve"> les </w:t>
      </w:r>
      <w:r w:rsidRPr="00F1660D">
        <w:rPr>
          <w:lang w:val="fr-FR"/>
        </w:rPr>
        <w:t>risques sont évités ou, lorsque cela n’est pas possible, réduits</w:t>
      </w:r>
      <w:r w:rsidR="00A50629" w:rsidRPr="00F1660D">
        <w:rPr>
          <w:lang w:val="fr-FR"/>
        </w:rPr>
        <w:t xml:space="preserve"> au </w:t>
      </w:r>
      <w:r w:rsidRPr="00F1660D">
        <w:rPr>
          <w:lang w:val="fr-FR"/>
        </w:rPr>
        <w:t>minimum, grâce à</w:t>
      </w:r>
      <w:r w:rsidR="00A50629" w:rsidRPr="00F1660D">
        <w:rPr>
          <w:lang w:val="fr-FR"/>
        </w:rPr>
        <w:t xml:space="preserve"> des </w:t>
      </w:r>
      <w:r w:rsidRPr="00F1660D">
        <w:rPr>
          <w:lang w:val="fr-FR"/>
        </w:rPr>
        <w:t>solutions de remplacement plus sûres,</w:t>
      </w:r>
      <w:r w:rsidR="00A50629" w:rsidRPr="00F1660D">
        <w:rPr>
          <w:lang w:val="fr-FR"/>
        </w:rPr>
        <w:t xml:space="preserve"> des </w:t>
      </w:r>
      <w:r w:rsidRPr="00F1660D">
        <w:rPr>
          <w:lang w:val="fr-FR"/>
        </w:rPr>
        <w:t>moyens innovants et durables et une pensée avant-gardiste ;</w:t>
      </w:r>
    </w:p>
    <w:p w14:paraId="1840B61B" w14:textId="117053F0" w:rsidR="001420CF" w:rsidRPr="00F1660D" w:rsidRDefault="001420CF" w:rsidP="001420CF">
      <w:pPr>
        <w:pStyle w:val="NormalNonumber"/>
        <w:tabs>
          <w:tab w:val="clear" w:pos="1247"/>
        </w:tabs>
        <w:ind w:left="3515" w:hanging="2268"/>
        <w:rPr>
          <w:rFonts w:asciiTheme="majorBidi" w:hAnsiTheme="majorBidi" w:cstheme="majorBidi"/>
          <w:lang w:val="fr-FR"/>
        </w:rPr>
      </w:pPr>
      <w:r w:rsidRPr="00F1660D">
        <w:rPr>
          <w:lang w:val="fr-FR"/>
        </w:rPr>
        <w:t xml:space="preserve">Objectif stratégique E : </w:t>
      </w:r>
      <w:r w:rsidRPr="00F1660D">
        <w:rPr>
          <w:lang w:val="fr-FR"/>
        </w:rPr>
        <w:tab/>
        <w:t>[L’importance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comme élément essentiel</w:t>
      </w:r>
      <w:r w:rsidR="00E06589" w:rsidRPr="00F1660D">
        <w:rPr>
          <w:lang w:val="fr-FR"/>
        </w:rPr>
        <w:t xml:space="preserve"> pour parvenir à un</w:t>
      </w:r>
      <w:r w:rsidRPr="00F1660D">
        <w:rPr>
          <w:lang w:val="fr-FR"/>
        </w:rPr>
        <w:t xml:space="preserve"> développement durable est reconnue par tous </w:t>
      </w:r>
      <w:proofErr w:type="gramStart"/>
      <w:r w:rsidRPr="00F1660D">
        <w:rPr>
          <w:lang w:val="fr-FR"/>
        </w:rPr>
        <w:t>[ ;</w:t>
      </w:r>
      <w:proofErr w:type="gramEnd"/>
      <w:r w:rsidR="00A50629" w:rsidRPr="00F1660D">
        <w:rPr>
          <w:lang w:val="fr-FR"/>
        </w:rPr>
        <w:t xml:space="preserve"> les </w:t>
      </w:r>
      <w:r w:rsidRPr="00F1660D">
        <w:rPr>
          <w:lang w:val="fr-FR"/>
        </w:rPr>
        <w:t>ressources financières et non financières adaptées sont [recensées et] mobilisées ;</w:t>
      </w:r>
      <w:r w:rsidR="00A50629" w:rsidRPr="00F1660D">
        <w:rPr>
          <w:lang w:val="fr-FR"/>
        </w:rPr>
        <w:t xml:space="preserve"> les </w:t>
      </w:r>
      <w:r w:rsidRPr="00F1660D">
        <w:rPr>
          <w:lang w:val="fr-FR"/>
        </w:rPr>
        <w:t>mesures sont accélérées et</w:t>
      </w:r>
      <w:r w:rsidR="00A50629" w:rsidRPr="00F1660D">
        <w:rPr>
          <w:lang w:val="fr-FR"/>
        </w:rPr>
        <w:t xml:space="preserve"> les </w:t>
      </w:r>
      <w:r w:rsidRPr="00F1660D">
        <w:rPr>
          <w:lang w:val="fr-FR"/>
        </w:rPr>
        <w:t>partenariats [transparents et responsables] nécessaires sont mis en place aux fins de favoriser</w:t>
      </w:r>
      <w:r w:rsidR="00A50629" w:rsidRPr="00F1660D">
        <w:rPr>
          <w:lang w:val="fr-FR"/>
        </w:rPr>
        <w:t xml:space="preserve"> la </w:t>
      </w:r>
      <w:r w:rsidRPr="00F1660D">
        <w:rPr>
          <w:lang w:val="fr-FR"/>
        </w:rPr>
        <w:t>coopération entre</w:t>
      </w:r>
      <w:r w:rsidR="00A50629" w:rsidRPr="00F1660D">
        <w:rPr>
          <w:lang w:val="fr-FR"/>
        </w:rPr>
        <w:t xml:space="preserve"> les </w:t>
      </w:r>
      <w:r w:rsidRPr="00F1660D">
        <w:rPr>
          <w:lang w:val="fr-FR"/>
        </w:rPr>
        <w:t>parties prenantes].]</w:t>
      </w:r>
    </w:p>
    <w:p w14:paraId="0596F5DD" w14:textId="4463349B" w:rsidR="001420CF" w:rsidRPr="00F1660D" w:rsidRDefault="001420CF" w:rsidP="001420CF">
      <w:pPr>
        <w:pStyle w:val="Normalnumber"/>
        <w:numPr>
          <w:ilvl w:val="0"/>
          <w:numId w:val="2"/>
        </w:numPr>
        <w:rPr>
          <w:lang w:val="fr-FR"/>
        </w:rPr>
      </w:pPr>
      <w:r w:rsidRPr="00F1660D">
        <w:rPr>
          <w:lang w:val="fr-FR"/>
        </w:rPr>
        <w:t xml:space="preserve">Les cibles </w:t>
      </w:r>
      <w:r w:rsidRPr="00F1660D">
        <w:rPr>
          <w:shd w:val="clear" w:color="auto" w:fill="FFFFFF"/>
          <w:lang w:val="fr-FR"/>
        </w:rPr>
        <w:t>définies</w:t>
      </w:r>
      <w:r w:rsidRPr="00F1660D">
        <w:rPr>
          <w:lang w:val="fr-FR"/>
        </w:rPr>
        <w:t xml:space="preserve"> à l’appui de</w:t>
      </w:r>
      <w:r w:rsidR="00A50629" w:rsidRPr="00F1660D">
        <w:rPr>
          <w:lang w:val="fr-FR"/>
        </w:rPr>
        <w:t xml:space="preserve"> la </w:t>
      </w:r>
      <w:r w:rsidRPr="00F1660D">
        <w:rPr>
          <w:lang w:val="fr-FR"/>
        </w:rPr>
        <w:t>réalisation de chaque objectif sont décrites dans l’appendice</w:t>
      </w:r>
      <w:r w:rsidRPr="00F1660D">
        <w:rPr>
          <w:rStyle w:val="FootnoteReference"/>
          <w:lang w:val="fr-FR"/>
        </w:rPr>
        <w:footnoteReference w:id="3"/>
      </w:r>
      <w:r w:rsidRPr="00F1660D">
        <w:rPr>
          <w:lang w:val="fr-FR"/>
        </w:rPr>
        <w:t>.</w:t>
      </w:r>
    </w:p>
    <w:p w14:paraId="0B62E0C7" w14:textId="16E7B27F" w:rsidR="001420CF" w:rsidRPr="00F1660D" w:rsidRDefault="001420CF" w:rsidP="001420CF">
      <w:pPr>
        <w:pStyle w:val="Normalnumber"/>
        <w:numPr>
          <w:ilvl w:val="0"/>
          <w:numId w:val="2"/>
        </w:numPr>
        <w:rPr>
          <w:lang w:val="fr-FR"/>
        </w:rPr>
      </w:pPr>
      <w:r w:rsidRPr="00F1660D">
        <w:rPr>
          <w:lang w:val="fr-FR"/>
        </w:rPr>
        <w:t>[On trouvera dans l’appendice</w:t>
      </w:r>
      <w:r w:rsidR="00A50629" w:rsidRPr="00F1660D">
        <w:rPr>
          <w:lang w:val="fr-FR"/>
        </w:rPr>
        <w:t xml:space="preserve"> les </w:t>
      </w:r>
      <w:r w:rsidRPr="00F1660D">
        <w:rPr>
          <w:lang w:val="fr-FR"/>
        </w:rPr>
        <w:t>cibles recommandées qui pourraient servir de base à</w:t>
      </w:r>
      <w:r w:rsidR="00A50629" w:rsidRPr="00F1660D">
        <w:rPr>
          <w:lang w:val="fr-FR"/>
        </w:rPr>
        <w:t xml:space="preserve"> la </w:t>
      </w:r>
      <w:r w:rsidRPr="00F1660D">
        <w:rPr>
          <w:lang w:val="fr-FR"/>
        </w:rPr>
        <w:t>poursuite</w:t>
      </w:r>
      <w:r w:rsidR="00A50629" w:rsidRPr="00F1660D">
        <w:rPr>
          <w:lang w:val="fr-FR"/>
        </w:rPr>
        <w:t xml:space="preserve"> des </w:t>
      </w:r>
      <w:r w:rsidRPr="00F1660D">
        <w:rPr>
          <w:lang w:val="fr-FR"/>
        </w:rPr>
        <w:t>travaux intersessions, ainsi que</w:t>
      </w:r>
      <w:r w:rsidR="00A50629" w:rsidRPr="00F1660D">
        <w:rPr>
          <w:lang w:val="fr-FR"/>
        </w:rPr>
        <w:t xml:space="preserve"> des </w:t>
      </w:r>
      <w:r w:rsidRPr="00F1660D">
        <w:rPr>
          <w:lang w:val="fr-FR"/>
        </w:rPr>
        <w:t>indicateurs de développement, en vue d’appuyer</w:t>
      </w:r>
      <w:r w:rsidR="00A50629" w:rsidRPr="00F1660D">
        <w:rPr>
          <w:lang w:val="fr-FR"/>
        </w:rPr>
        <w:t xml:space="preserve"> la </w:t>
      </w:r>
      <w:r w:rsidRPr="00F1660D">
        <w:rPr>
          <w:lang w:val="fr-FR"/>
        </w:rPr>
        <w:t xml:space="preserve">réalisation de chaque </w:t>
      </w:r>
      <w:r w:rsidRPr="00F1660D">
        <w:rPr>
          <w:shd w:val="clear" w:color="auto" w:fill="FFFFFF"/>
          <w:lang w:val="fr-FR"/>
        </w:rPr>
        <w:t>objectif</w:t>
      </w:r>
      <w:r w:rsidRPr="00F1660D">
        <w:rPr>
          <w:lang w:val="fr-FR"/>
        </w:rPr>
        <w:t xml:space="preserve"> stratégique, comme indiqué dans l’appendice. Par ailleurs,</w:t>
      </w:r>
      <w:r w:rsidR="00A50629" w:rsidRPr="00F1660D">
        <w:rPr>
          <w:lang w:val="fr-FR"/>
        </w:rPr>
        <w:t xml:space="preserve"> des </w:t>
      </w:r>
      <w:r w:rsidRPr="00F1660D">
        <w:rPr>
          <w:lang w:val="fr-FR"/>
        </w:rPr>
        <w:t>étapes connexes pourront être élaborées en parallèle, afin de suivre</w:t>
      </w:r>
      <w:r w:rsidR="00A50629" w:rsidRPr="00F1660D">
        <w:rPr>
          <w:lang w:val="fr-FR"/>
        </w:rPr>
        <w:t xml:space="preserve"> les </w:t>
      </w:r>
      <w:r w:rsidRPr="00F1660D">
        <w:rPr>
          <w:lang w:val="fr-FR"/>
        </w:rPr>
        <w:t>progrès réalisés dans</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en particulier</w:t>
      </w:r>
      <w:r w:rsidR="00A50629" w:rsidRPr="00F1660D">
        <w:rPr>
          <w:lang w:val="fr-FR"/>
        </w:rPr>
        <w:t xml:space="preserve"> au </w:t>
      </w:r>
      <w:r w:rsidRPr="00F1660D">
        <w:rPr>
          <w:lang w:val="fr-FR"/>
        </w:rPr>
        <w:t>niveau national. [Il faudra également élaborer un processus pour mesurer nos progrès.]</w:t>
      </w:r>
      <w:r w:rsidR="00A50629" w:rsidRPr="00F1660D">
        <w:rPr>
          <w:lang w:val="fr-FR"/>
        </w:rPr>
        <w:t xml:space="preserve"> Les </w:t>
      </w:r>
      <w:r w:rsidRPr="00F1660D">
        <w:rPr>
          <w:lang w:val="fr-FR"/>
        </w:rPr>
        <w:t>étapes pourront en outre être régulièrement actualisées dans</w:t>
      </w:r>
      <w:r w:rsidR="00A50629" w:rsidRPr="00F1660D">
        <w:rPr>
          <w:lang w:val="fr-FR"/>
        </w:rPr>
        <w:t xml:space="preserve"> le </w:t>
      </w:r>
      <w:r w:rsidRPr="00F1660D">
        <w:rPr>
          <w:lang w:val="fr-FR"/>
        </w:rPr>
        <w:t>cadre du futur programme de travail de l’Approche stratégique et communiquées à l’ensemble</w:t>
      </w:r>
      <w:r w:rsidR="00A50629" w:rsidRPr="00F1660D">
        <w:rPr>
          <w:lang w:val="fr-FR"/>
        </w:rPr>
        <w:t xml:space="preserve"> des </w:t>
      </w:r>
      <w:r w:rsidRPr="00F1660D">
        <w:rPr>
          <w:lang w:val="fr-FR"/>
        </w:rPr>
        <w:t>organisations et parties prenantes intéressées, de sorte qu’elles</w:t>
      </w:r>
      <w:r w:rsidR="00A50629" w:rsidRPr="00F1660D">
        <w:rPr>
          <w:lang w:val="fr-FR"/>
        </w:rPr>
        <w:t xml:space="preserve"> les </w:t>
      </w:r>
      <w:r w:rsidRPr="00F1660D">
        <w:rPr>
          <w:lang w:val="fr-FR"/>
        </w:rPr>
        <w:t>examinent dans</w:t>
      </w:r>
      <w:r w:rsidR="00A50629" w:rsidRPr="00F1660D">
        <w:rPr>
          <w:lang w:val="fr-FR"/>
        </w:rPr>
        <w:t xml:space="preserve"> le</w:t>
      </w:r>
      <w:r w:rsidR="00E06589" w:rsidRPr="00F1660D">
        <w:rPr>
          <w:lang w:val="fr-FR"/>
        </w:rPr>
        <w:t xml:space="preserve"> cadre</w:t>
      </w:r>
      <w:r w:rsidRPr="00F1660D">
        <w:rPr>
          <w:lang w:val="fr-FR"/>
        </w:rPr>
        <w:t xml:space="preserve"> de leurs mandats respectifs, selon que de besoin.]</w:t>
      </w:r>
    </w:p>
    <w:p w14:paraId="6B55DC53" w14:textId="5D4E4640" w:rsidR="001420CF" w:rsidRPr="00F1660D" w:rsidRDefault="001420CF" w:rsidP="001420CF">
      <w:pPr>
        <w:pStyle w:val="Normalnumber"/>
        <w:numPr>
          <w:ilvl w:val="0"/>
          <w:numId w:val="2"/>
        </w:numPr>
        <w:rPr>
          <w:lang w:val="fr-FR"/>
        </w:rPr>
      </w:pPr>
      <w:r w:rsidRPr="00F1660D">
        <w:rPr>
          <w:lang w:val="fr-FR"/>
        </w:rPr>
        <w:t>[Les Orientations générales et directives,</w:t>
      </w:r>
      <w:r w:rsidR="00A50629" w:rsidRPr="00F1660D">
        <w:rPr>
          <w:lang w:val="fr-FR"/>
        </w:rPr>
        <w:t xml:space="preserve"> y </w:t>
      </w:r>
      <w:r w:rsidRPr="00F1660D">
        <w:rPr>
          <w:lang w:val="fr-FR"/>
        </w:rPr>
        <w:t xml:space="preserve">compris leurs 11 points fondamentaux et 6 domaines d’activité, </w:t>
      </w:r>
      <w:r w:rsidRPr="00F1660D">
        <w:rPr>
          <w:shd w:val="clear" w:color="auto" w:fill="FFFFFF"/>
          <w:lang w:val="fr-FR"/>
        </w:rPr>
        <w:t>demeurent</w:t>
      </w:r>
      <w:r w:rsidRPr="00F1660D">
        <w:rPr>
          <w:lang w:val="fr-FR"/>
        </w:rPr>
        <w:t xml:space="preserve"> d’actualité pour aider</w:t>
      </w:r>
      <w:r w:rsidR="00A50629" w:rsidRPr="00F1660D">
        <w:rPr>
          <w:lang w:val="fr-FR"/>
        </w:rPr>
        <w:t xml:space="preserve"> les </w:t>
      </w:r>
      <w:r w:rsidRPr="00F1660D">
        <w:rPr>
          <w:lang w:val="fr-FR"/>
        </w:rPr>
        <w:t xml:space="preserve">pays </w:t>
      </w:r>
      <w:r w:rsidR="00E06589" w:rsidRPr="00F1660D">
        <w:rPr>
          <w:lang w:val="fr-FR"/>
        </w:rPr>
        <w:t xml:space="preserve">dans leurs efforts visant à assurer </w:t>
      </w:r>
      <w:r w:rsidRPr="00F1660D">
        <w:rPr>
          <w:lang w:val="fr-FR"/>
        </w:rPr>
        <w:t>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 par conséquent, leur mise en œuvre devrait se poursuivre.]</w:t>
      </w:r>
    </w:p>
    <w:p w14:paraId="57F25888" w14:textId="77777777" w:rsidR="001420CF" w:rsidRPr="00F1660D" w:rsidRDefault="001420CF" w:rsidP="001420CF">
      <w:r w:rsidRPr="00F1660D">
        <w:br w:type="page"/>
      </w:r>
    </w:p>
    <w:p w14:paraId="073B4754" w14:textId="71A5ED5B" w:rsidR="001420CF" w:rsidRPr="00F1660D" w:rsidRDefault="001420CF" w:rsidP="001420CF">
      <w:pPr>
        <w:pStyle w:val="CH3"/>
        <w:rPr>
          <w:lang w:val="fr-FR"/>
        </w:rPr>
      </w:pPr>
      <w:r w:rsidRPr="00F1660D">
        <w:rPr>
          <w:lang w:val="fr-FR"/>
        </w:rPr>
        <w:tab/>
        <w:t>ii)</w:t>
      </w:r>
      <w:r w:rsidRPr="00F1660D">
        <w:rPr>
          <w:lang w:val="fr-FR"/>
        </w:rPr>
        <w:tab/>
        <w:t>Insertion de parties de texte reçues</w:t>
      </w:r>
      <w:r w:rsidR="00A50629" w:rsidRPr="00F1660D">
        <w:rPr>
          <w:lang w:val="fr-FR"/>
        </w:rPr>
        <w:t xml:space="preserve"> au </w:t>
      </w:r>
      <w:r w:rsidRPr="00F1660D">
        <w:rPr>
          <w:lang w:val="fr-FR"/>
        </w:rPr>
        <w:t>sujet</w:t>
      </w:r>
      <w:r w:rsidR="00A50629" w:rsidRPr="00F1660D">
        <w:rPr>
          <w:lang w:val="fr-FR"/>
        </w:rPr>
        <w:t xml:space="preserve"> des </w:t>
      </w:r>
      <w:r w:rsidRPr="00F1660D">
        <w:rPr>
          <w:lang w:val="fr-FR"/>
        </w:rPr>
        <w:t>dispositifs institutionnels et</w:t>
      </w:r>
      <w:r w:rsidR="00A50629" w:rsidRPr="00F1660D">
        <w:rPr>
          <w:lang w:val="fr-FR"/>
        </w:rPr>
        <w:t xml:space="preserve"> des </w:t>
      </w:r>
      <w:r w:rsidRPr="00F1660D">
        <w:rPr>
          <w:lang w:val="fr-FR"/>
        </w:rPr>
        <w:t>mécanismes à l’appui de</w:t>
      </w:r>
      <w:r w:rsidR="00A50629" w:rsidRPr="00F1660D">
        <w:rPr>
          <w:lang w:val="fr-FR"/>
        </w:rPr>
        <w:t xml:space="preserve"> la </w:t>
      </w:r>
      <w:r w:rsidRPr="00F1660D">
        <w:rPr>
          <w:lang w:val="fr-FR"/>
        </w:rPr>
        <w:t xml:space="preserve">mise en œuvre </w:t>
      </w:r>
    </w:p>
    <w:p w14:paraId="082C26E7" w14:textId="77777777" w:rsidR="001420CF" w:rsidRPr="00F1660D" w:rsidRDefault="001420CF" w:rsidP="001420CF">
      <w:pPr>
        <w:pStyle w:val="CH4"/>
        <w:rPr>
          <w:lang w:val="fr-FR"/>
        </w:rPr>
      </w:pPr>
      <w:r w:rsidRPr="00F1660D">
        <w:rPr>
          <w:lang w:val="fr-FR"/>
        </w:rPr>
        <w:tab/>
      </w:r>
      <w:r w:rsidRPr="00F1660D">
        <w:rPr>
          <w:lang w:val="fr-FR"/>
        </w:rPr>
        <w:tab/>
        <w:t xml:space="preserve">Dispositifs institutionnels </w:t>
      </w:r>
    </w:p>
    <w:p w14:paraId="20DD270A" w14:textId="389C6B1B" w:rsidR="001420CF" w:rsidRPr="00F1660D" w:rsidRDefault="001420CF" w:rsidP="001420CF">
      <w:pPr>
        <w:pStyle w:val="NormalNonumber"/>
        <w:rPr>
          <w:lang w:val="fr-FR"/>
        </w:rPr>
      </w:pPr>
      <w:r w:rsidRPr="00F1660D">
        <w:rPr>
          <w:lang w:val="fr-FR"/>
        </w:rPr>
        <w:t>[S’agissant de l’Approche stratégique,</w:t>
      </w:r>
      <w:r w:rsidR="00A50629" w:rsidRPr="00F1660D">
        <w:rPr>
          <w:lang w:val="fr-FR"/>
        </w:rPr>
        <w:t xml:space="preserve"> les </w:t>
      </w:r>
      <w:r w:rsidRPr="00F1660D">
        <w:rPr>
          <w:lang w:val="fr-FR"/>
        </w:rPr>
        <w:t>structures de gouvernance et</w:t>
      </w:r>
      <w:r w:rsidR="00A50629" w:rsidRPr="00F1660D">
        <w:rPr>
          <w:lang w:val="fr-FR"/>
        </w:rPr>
        <w:t xml:space="preserve"> les </w:t>
      </w:r>
      <w:r w:rsidRPr="00F1660D">
        <w:rPr>
          <w:lang w:val="fr-FR"/>
        </w:rPr>
        <w:t>structures institutionnelles actuelles devraient être maintenues au-delà de 2020. Il ne semble pas nécessaire de refondre</w:t>
      </w:r>
      <w:r w:rsidR="00A50629" w:rsidRPr="00F1660D">
        <w:rPr>
          <w:lang w:val="fr-FR"/>
        </w:rPr>
        <w:t xml:space="preserve"> la </w:t>
      </w:r>
      <w:r w:rsidRPr="00F1660D">
        <w:rPr>
          <w:lang w:val="fr-FR"/>
        </w:rPr>
        <w:t>gouvernance,</w:t>
      </w:r>
      <w:r w:rsidR="00A50629" w:rsidRPr="00F1660D">
        <w:rPr>
          <w:lang w:val="fr-FR"/>
        </w:rPr>
        <w:t xml:space="preserve"> les </w:t>
      </w:r>
      <w:r w:rsidRPr="00F1660D">
        <w:rPr>
          <w:lang w:val="fr-FR"/>
        </w:rPr>
        <w:t>institutions ou</w:t>
      </w:r>
      <w:r w:rsidR="00A50629" w:rsidRPr="00F1660D">
        <w:rPr>
          <w:lang w:val="fr-FR"/>
        </w:rPr>
        <w:t xml:space="preserve"> les </w:t>
      </w:r>
      <w:r w:rsidRPr="00F1660D">
        <w:rPr>
          <w:lang w:val="fr-FR"/>
        </w:rPr>
        <w:t>procédures en place, sans préjudice de tout arrangement jugé utile et décidé par</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w:t>
      </w:r>
      <w:r w:rsidR="00A50629" w:rsidRPr="00F1660D">
        <w:rPr>
          <w:lang w:val="fr-FR"/>
        </w:rPr>
        <w:t xml:space="preserve"> y </w:t>
      </w:r>
      <w:r w:rsidRPr="00F1660D">
        <w:rPr>
          <w:lang w:val="fr-FR"/>
        </w:rPr>
        <w:t>compris dans</w:t>
      </w:r>
      <w:r w:rsidR="00A50629" w:rsidRPr="00F1660D">
        <w:rPr>
          <w:lang w:val="fr-FR"/>
        </w:rPr>
        <w:t xml:space="preserve"> le </w:t>
      </w:r>
      <w:r w:rsidRPr="00F1660D">
        <w:rPr>
          <w:lang w:val="fr-FR"/>
        </w:rPr>
        <w:t>cadre de ses réunions tenues régulièrement.</w:t>
      </w:r>
    </w:p>
    <w:p w14:paraId="5F2F6A2C" w14:textId="2AD4405E" w:rsidR="001420CF" w:rsidRPr="00F1660D" w:rsidRDefault="001420CF" w:rsidP="001420CF">
      <w:pPr>
        <w:pStyle w:val="NormalNonumber"/>
        <w:rPr>
          <w:b/>
          <w:bCs/>
          <w:lang w:val="fr-FR"/>
        </w:rPr>
      </w:pPr>
      <w:r w:rsidRPr="00F1660D">
        <w:rPr>
          <w:lang w:val="fr-FR"/>
        </w:rPr>
        <w:t>Par ailleurs, il faut améliorer</w:t>
      </w:r>
      <w:r w:rsidR="00A50629" w:rsidRPr="00F1660D">
        <w:rPr>
          <w:lang w:val="fr-FR"/>
        </w:rPr>
        <w:t xml:space="preserve"> le </w:t>
      </w:r>
      <w:r w:rsidRPr="00F1660D">
        <w:rPr>
          <w:lang w:val="fr-FR"/>
        </w:rPr>
        <w:t>cadre propice à</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aux fins de</w:t>
      </w:r>
      <w:r w:rsidR="00A50629" w:rsidRPr="00F1660D">
        <w:rPr>
          <w:lang w:val="fr-FR"/>
        </w:rPr>
        <w:t xml:space="preserve"> la </w:t>
      </w:r>
      <w:r w:rsidRPr="00F1660D">
        <w:rPr>
          <w:lang w:val="fr-FR"/>
        </w:rPr>
        <w:t>mise en œuvre du Programme de développement durable à l’horizon 2030, qui renforce</w:t>
      </w:r>
      <w:r w:rsidR="00A50629" w:rsidRPr="00F1660D">
        <w:rPr>
          <w:lang w:val="fr-FR"/>
        </w:rPr>
        <w:t xml:space="preserve"> la </w:t>
      </w:r>
      <w:r w:rsidRPr="00F1660D">
        <w:rPr>
          <w:lang w:val="fr-FR"/>
        </w:rPr>
        <w:t>cohérence et</w:t>
      </w:r>
      <w:r w:rsidR="00A50629" w:rsidRPr="00F1660D">
        <w:rPr>
          <w:lang w:val="fr-FR"/>
        </w:rPr>
        <w:t xml:space="preserve"> la </w:t>
      </w:r>
      <w:r w:rsidRPr="00F1660D">
        <w:rPr>
          <w:lang w:val="fr-FR"/>
        </w:rPr>
        <w:t>complémentarité</w:t>
      </w:r>
      <w:r w:rsidR="00A50629" w:rsidRPr="00F1660D">
        <w:rPr>
          <w:lang w:val="fr-FR"/>
        </w:rPr>
        <w:t xml:space="preserve"> des </w:t>
      </w:r>
      <w:r w:rsidRPr="00F1660D">
        <w:rPr>
          <w:lang w:val="fr-FR"/>
        </w:rPr>
        <w:t>politiques et mesures multilatérales de l’ensemble</w:t>
      </w:r>
      <w:r w:rsidR="00A50629" w:rsidRPr="00F1660D">
        <w:rPr>
          <w:lang w:val="fr-FR"/>
        </w:rPr>
        <w:t xml:space="preserve"> des </w:t>
      </w:r>
      <w:r w:rsidRPr="00F1660D">
        <w:rPr>
          <w:lang w:val="fr-FR"/>
        </w:rPr>
        <w:t>organisations internationales intéressées œuvrant dans ce domaine, notamment par</w:t>
      </w:r>
      <w:r w:rsidR="00A50629" w:rsidRPr="00F1660D">
        <w:rPr>
          <w:lang w:val="fr-FR"/>
        </w:rPr>
        <w:t xml:space="preserve"> le </w:t>
      </w:r>
      <w:r w:rsidRPr="00F1660D">
        <w:rPr>
          <w:lang w:val="fr-FR"/>
        </w:rPr>
        <w:t>biais d’informations sur</w:t>
      </w:r>
      <w:r w:rsidR="00A50629" w:rsidRPr="00F1660D">
        <w:rPr>
          <w:lang w:val="fr-FR"/>
        </w:rPr>
        <w:t xml:space="preserve"> le </w:t>
      </w:r>
      <w:r w:rsidRPr="00F1660D">
        <w:rPr>
          <w:lang w:val="fr-FR"/>
        </w:rPr>
        <w:t>Programme 2030 aux fins d’examen par</w:t>
      </w:r>
      <w:r w:rsidR="00A50629" w:rsidRPr="00F1660D">
        <w:rPr>
          <w:lang w:val="fr-FR"/>
        </w:rPr>
        <w:t xml:space="preserve"> les </w:t>
      </w:r>
      <w:r w:rsidRPr="00F1660D">
        <w:rPr>
          <w:lang w:val="fr-FR"/>
        </w:rPr>
        <w:t>organismes connexes</w:t>
      </w:r>
      <w:r w:rsidR="00A50629" w:rsidRPr="00F1660D">
        <w:rPr>
          <w:lang w:val="fr-FR"/>
        </w:rPr>
        <w:t xml:space="preserve"> des </w:t>
      </w:r>
      <w:r w:rsidRPr="00F1660D">
        <w:rPr>
          <w:lang w:val="fr-FR"/>
        </w:rPr>
        <w:t>Nations Unies tels que</w:t>
      </w:r>
      <w:r w:rsidR="00A50629" w:rsidRPr="00F1660D">
        <w:rPr>
          <w:lang w:val="fr-FR"/>
        </w:rPr>
        <w:t xml:space="preserve"> le </w:t>
      </w:r>
      <w:r w:rsidRPr="00F1660D">
        <w:rPr>
          <w:lang w:val="fr-FR"/>
        </w:rPr>
        <w:t>Forum politique de haut niveau pour</w:t>
      </w:r>
      <w:r w:rsidR="00A50629" w:rsidRPr="00F1660D">
        <w:rPr>
          <w:lang w:val="fr-FR"/>
        </w:rPr>
        <w:t xml:space="preserve"> le </w:t>
      </w:r>
      <w:r w:rsidRPr="00F1660D">
        <w:rPr>
          <w:lang w:val="fr-FR"/>
        </w:rPr>
        <w:t>développement durable et l’Assemblée générale</w:t>
      </w:r>
      <w:r w:rsidR="00A50629" w:rsidRPr="00F1660D">
        <w:rPr>
          <w:lang w:val="fr-FR"/>
        </w:rPr>
        <w:t xml:space="preserve"> des </w:t>
      </w:r>
      <w:r w:rsidRPr="00F1660D">
        <w:rPr>
          <w:lang w:val="fr-FR"/>
        </w:rPr>
        <w:t>Nations Unies, selon qu’il convient.]</w:t>
      </w:r>
    </w:p>
    <w:p w14:paraId="3908F506" w14:textId="0495CE88" w:rsidR="001420CF" w:rsidRPr="00F1660D" w:rsidRDefault="001420CF" w:rsidP="001420CF">
      <w:pPr>
        <w:pStyle w:val="CH3"/>
        <w:rPr>
          <w:lang w:val="fr-FR"/>
        </w:rPr>
      </w:pPr>
      <w:r w:rsidRPr="00F1660D">
        <w:rPr>
          <w:lang w:val="fr-FR"/>
        </w:rPr>
        <w:tab/>
      </w:r>
      <w:r w:rsidRPr="00F1660D">
        <w:rPr>
          <w:lang w:val="fr-FR"/>
        </w:rPr>
        <w:tab/>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 xml:space="preserve">produits chimiques] </w:t>
      </w:r>
    </w:p>
    <w:p w14:paraId="27ACB542" w14:textId="7D439CBC" w:rsidR="001420CF" w:rsidRPr="00F1660D" w:rsidRDefault="001420CF" w:rsidP="001420CF">
      <w:pPr>
        <w:pStyle w:val="NormalNonumber"/>
        <w:rPr>
          <w:rFonts w:asciiTheme="majorBidi" w:hAnsiTheme="majorBidi" w:cstheme="majorBidi"/>
          <w:lang w:val="fr-FR"/>
        </w:rPr>
      </w:pPr>
      <w:r w:rsidRPr="00F1660D">
        <w:rPr>
          <w:lang w:val="fr-FR"/>
        </w:rPr>
        <w:t xml:space="preserve">La Conférence internationale </w:t>
      </w:r>
      <w:r w:rsidR="005F6127" w:rsidRPr="00F1660D">
        <w:rPr>
          <w:lang w:val="fr-FR"/>
        </w:rPr>
        <w:t>[</w:t>
      </w:r>
      <w:r w:rsidRPr="00F1660D">
        <w:rPr>
          <w:lang w:val="fr-FR"/>
        </w:rPr>
        <w:t>se réunira tous</w:t>
      </w:r>
      <w:r w:rsidR="00A50629" w:rsidRPr="00F1660D">
        <w:rPr>
          <w:lang w:val="fr-FR"/>
        </w:rPr>
        <w:t xml:space="preserve"> les </w:t>
      </w:r>
      <w:r w:rsidRPr="00F1660D">
        <w:rPr>
          <w:lang w:val="fr-FR"/>
        </w:rPr>
        <w:t>deux ans et</w:t>
      </w:r>
      <w:r w:rsidR="005F6127" w:rsidRPr="00F1660D">
        <w:rPr>
          <w:lang w:val="fr-FR"/>
        </w:rPr>
        <w:t>]</w:t>
      </w:r>
      <w:r w:rsidRPr="00F1660D">
        <w:rPr>
          <w:lang w:val="fr-FR"/>
        </w:rPr>
        <w:t xml:space="preserve"> procédera à un examen périodique de l’instrument. Elle aura pour rôle de :</w:t>
      </w:r>
    </w:p>
    <w:p w14:paraId="27B262CB" w14:textId="411F7175" w:rsidR="001420CF" w:rsidRPr="00F1660D" w:rsidRDefault="001420CF" w:rsidP="001420CF">
      <w:pPr>
        <w:pStyle w:val="NormalNonumber"/>
        <w:rPr>
          <w:lang w:val="fr-FR"/>
        </w:rPr>
      </w:pPr>
      <w:r w:rsidRPr="00F1660D">
        <w:rPr>
          <w:lang w:val="fr-FR"/>
        </w:rPr>
        <w:t>[</w:t>
      </w:r>
      <w:proofErr w:type="gramStart"/>
      <w:r w:rsidRPr="00F1660D">
        <w:rPr>
          <w:lang w:val="fr-FR"/>
        </w:rPr>
        <w:t>i</w:t>
      </w:r>
      <w:proofErr w:type="gramEnd"/>
      <w:r w:rsidRPr="00F1660D">
        <w:rPr>
          <w:lang w:val="fr-FR"/>
        </w:rPr>
        <w:t>)</w:t>
      </w:r>
      <w:r w:rsidRPr="00F1660D">
        <w:rPr>
          <w:lang w:val="fr-FR"/>
        </w:rPr>
        <w:tab/>
        <w:t>Superviser</w:t>
      </w:r>
      <w:r w:rsidR="00A50629" w:rsidRPr="00F1660D">
        <w:rPr>
          <w:lang w:val="fr-FR"/>
        </w:rPr>
        <w:t xml:space="preserve"> la </w:t>
      </w:r>
      <w:r w:rsidRPr="00F1660D">
        <w:rPr>
          <w:lang w:val="fr-FR"/>
        </w:rPr>
        <w:t>mise en œuvre de l’accord :]</w:t>
      </w:r>
    </w:p>
    <w:p w14:paraId="0184D9F8" w14:textId="7599988B" w:rsidR="001420CF" w:rsidRPr="00F1660D" w:rsidRDefault="001420CF" w:rsidP="001420CF">
      <w:pPr>
        <w:pStyle w:val="NormalNonumber"/>
        <w:ind w:left="2381" w:hanging="1134"/>
        <w:rPr>
          <w:lang w:val="fr-FR"/>
        </w:rPr>
      </w:pPr>
      <w:r w:rsidRPr="00F1660D">
        <w:rPr>
          <w:lang w:val="fr-FR"/>
        </w:rPr>
        <w:tab/>
        <w:t>i)</w:t>
      </w:r>
      <w:r w:rsidRPr="00F1660D">
        <w:rPr>
          <w:lang w:val="fr-FR"/>
        </w:rPr>
        <w:tab/>
        <w:t>Promouvoir</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instruments et programmes internationaux existants sur</w:t>
      </w:r>
      <w:r w:rsidR="00A50629" w:rsidRPr="00F1660D">
        <w:rPr>
          <w:lang w:val="fr-FR"/>
        </w:rPr>
        <w:t xml:space="preserve"> les </w:t>
      </w:r>
      <w:r w:rsidRPr="00F1660D">
        <w:rPr>
          <w:lang w:val="fr-FR"/>
        </w:rPr>
        <w:t>produits chimiques et</w:t>
      </w:r>
      <w:r w:rsidR="00A50629" w:rsidRPr="00F1660D">
        <w:rPr>
          <w:lang w:val="fr-FR"/>
        </w:rPr>
        <w:t xml:space="preserve"> les </w:t>
      </w:r>
      <w:r w:rsidRPr="00F1660D">
        <w:rPr>
          <w:lang w:val="fr-FR"/>
        </w:rPr>
        <w:t>déchets, et [, selon qu’il convient,] de favoriser</w:t>
      </w:r>
      <w:r w:rsidR="00A50629" w:rsidRPr="00F1660D">
        <w:rPr>
          <w:lang w:val="fr-FR"/>
        </w:rPr>
        <w:t xml:space="preserve"> la </w:t>
      </w:r>
      <w:r w:rsidRPr="00F1660D">
        <w:rPr>
          <w:lang w:val="fr-FR"/>
        </w:rPr>
        <w:t>cohérence [,</w:t>
      </w:r>
      <w:r w:rsidR="00A50629" w:rsidRPr="00F1660D">
        <w:rPr>
          <w:lang w:val="fr-FR"/>
        </w:rPr>
        <w:t xml:space="preserve"> la </w:t>
      </w:r>
      <w:r w:rsidRPr="00F1660D">
        <w:rPr>
          <w:lang w:val="fr-FR"/>
        </w:rPr>
        <w:t>coopération et</w:t>
      </w:r>
      <w:r w:rsidR="00A50629" w:rsidRPr="00F1660D">
        <w:rPr>
          <w:lang w:val="fr-FR"/>
        </w:rPr>
        <w:t xml:space="preserve"> les </w:t>
      </w:r>
      <w:r w:rsidRPr="00F1660D">
        <w:rPr>
          <w:lang w:val="fr-FR"/>
        </w:rPr>
        <w:t>synergies] entre eux [et de recenser</w:t>
      </w:r>
      <w:r w:rsidR="00A50629" w:rsidRPr="00F1660D">
        <w:rPr>
          <w:lang w:val="fr-FR"/>
        </w:rPr>
        <w:t xml:space="preserve"> les </w:t>
      </w:r>
      <w:r w:rsidRPr="00F1660D">
        <w:rPr>
          <w:lang w:val="fr-FR"/>
        </w:rPr>
        <w:t>lacunes] ;</w:t>
      </w:r>
    </w:p>
    <w:p w14:paraId="60AAB8DD" w14:textId="38AEC53E" w:rsidR="001420CF" w:rsidRPr="00F1660D" w:rsidRDefault="001420CF" w:rsidP="001420CF">
      <w:pPr>
        <w:pStyle w:val="NormalNonumber"/>
        <w:ind w:left="2381" w:hanging="1134"/>
        <w:rPr>
          <w:lang w:val="fr-FR"/>
        </w:rPr>
      </w:pPr>
      <w:r w:rsidRPr="00F1660D">
        <w:rPr>
          <w:lang w:val="fr-FR"/>
        </w:rPr>
        <w:tab/>
        <w:t>ii)</w:t>
      </w:r>
      <w:r w:rsidRPr="00F1660D">
        <w:rPr>
          <w:lang w:val="fr-FR"/>
        </w:rPr>
        <w:tab/>
        <w:t>Promouvoir</w:t>
      </w:r>
      <w:r w:rsidR="00A50629" w:rsidRPr="00F1660D">
        <w:rPr>
          <w:lang w:val="fr-FR"/>
        </w:rPr>
        <w:t xml:space="preserve"> le </w:t>
      </w:r>
      <w:r w:rsidRPr="00F1660D">
        <w:rPr>
          <w:lang w:val="fr-FR"/>
        </w:rPr>
        <w:t>renforcement</w:t>
      </w:r>
      <w:r w:rsidR="00A50629" w:rsidRPr="00F1660D">
        <w:rPr>
          <w:lang w:val="fr-FR"/>
        </w:rPr>
        <w:t xml:space="preserve"> des </w:t>
      </w:r>
      <w:r w:rsidRPr="00F1660D">
        <w:rPr>
          <w:lang w:val="fr-FR"/>
        </w:rPr>
        <w:t>capacités nationales de gestion</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w:t>
      </w:r>
    </w:p>
    <w:p w14:paraId="1082D1DA" w14:textId="7555F22C" w:rsidR="001420CF" w:rsidRPr="00F1660D" w:rsidRDefault="001420CF" w:rsidP="001420CF">
      <w:pPr>
        <w:pStyle w:val="NormalNonumber"/>
        <w:ind w:left="2381" w:hanging="1134"/>
        <w:rPr>
          <w:lang w:val="fr-FR"/>
        </w:rPr>
      </w:pPr>
      <w:r w:rsidRPr="00F1660D">
        <w:rPr>
          <w:lang w:val="fr-FR"/>
        </w:rPr>
        <w:tab/>
        <w:t>iii)</w:t>
      </w:r>
      <w:r w:rsidRPr="00F1660D">
        <w:rPr>
          <w:lang w:val="fr-FR"/>
        </w:rPr>
        <w:tab/>
        <w:t>Promouvoir, renforcer et appuyer</w:t>
      </w:r>
      <w:r w:rsidR="00A50629" w:rsidRPr="00F1660D">
        <w:rPr>
          <w:lang w:val="fr-FR"/>
        </w:rPr>
        <w:t xml:space="preserve"> la </w:t>
      </w:r>
      <w:r w:rsidRPr="00F1660D">
        <w:rPr>
          <w:lang w:val="fr-FR"/>
        </w:rPr>
        <w:t>participation</w:t>
      </w:r>
      <w:r w:rsidR="00A50629" w:rsidRPr="00F1660D">
        <w:rPr>
          <w:lang w:val="fr-FR"/>
        </w:rPr>
        <w:t xml:space="preserve"> des </w:t>
      </w:r>
      <w:r w:rsidRPr="00F1660D">
        <w:rPr>
          <w:lang w:val="fr-FR"/>
        </w:rPr>
        <w:t>parties prenantes et</w:t>
      </w:r>
      <w:r w:rsidR="00A50629" w:rsidRPr="00F1660D">
        <w:rPr>
          <w:lang w:val="fr-FR"/>
        </w:rPr>
        <w:t xml:space="preserve"> des </w:t>
      </w:r>
      <w:r w:rsidRPr="00F1660D">
        <w:rPr>
          <w:lang w:val="fr-FR"/>
        </w:rPr>
        <w:t>secteurs à</w:t>
      </w:r>
      <w:r w:rsidR="00A50629" w:rsidRPr="00F1660D">
        <w:rPr>
          <w:lang w:val="fr-FR"/>
        </w:rPr>
        <w:t xml:space="preserve"> la </w:t>
      </w:r>
      <w:r w:rsidRPr="00F1660D">
        <w:rPr>
          <w:lang w:val="fr-FR"/>
        </w:rPr>
        <w:t>Conférence internationale et</w:t>
      </w:r>
      <w:r w:rsidR="00A50629" w:rsidRPr="00F1660D">
        <w:rPr>
          <w:lang w:val="fr-FR"/>
        </w:rPr>
        <w:t xml:space="preserve"> au </w:t>
      </w:r>
      <w:r w:rsidRPr="00F1660D">
        <w:rPr>
          <w:lang w:val="fr-FR"/>
        </w:rPr>
        <w:t xml:space="preserve">programme de travail, ainsi que leur interaction ; </w:t>
      </w:r>
    </w:p>
    <w:p w14:paraId="05B955CA" w14:textId="143B4381" w:rsidR="001420CF" w:rsidRPr="00F1660D" w:rsidRDefault="001420CF" w:rsidP="001420CF">
      <w:pPr>
        <w:pStyle w:val="NormalNonumber"/>
        <w:ind w:left="2381" w:hanging="1134"/>
        <w:rPr>
          <w:lang w:val="fr-FR"/>
        </w:rPr>
      </w:pPr>
      <w:r w:rsidRPr="00F1660D">
        <w:rPr>
          <w:lang w:val="fr-FR"/>
        </w:rPr>
        <w:tab/>
        <w:t>iv)</w:t>
      </w:r>
      <w:r w:rsidRPr="00F1660D">
        <w:rPr>
          <w:lang w:val="fr-FR"/>
        </w:rPr>
        <w:tab/>
        <w:t>Faire connaître</w:t>
      </w:r>
      <w:r w:rsidR="00A50629" w:rsidRPr="00F1660D">
        <w:rPr>
          <w:lang w:val="fr-FR"/>
        </w:rPr>
        <w:t xml:space="preserve"> les </w:t>
      </w:r>
      <w:r w:rsidRPr="00F1660D">
        <w:rPr>
          <w:lang w:val="fr-FR"/>
        </w:rPr>
        <w:t>tendances et éléments nouveaux [au moyen d’informations scientifiques] et identifier</w:t>
      </w:r>
      <w:r w:rsidR="00A50629" w:rsidRPr="00F1660D">
        <w:rPr>
          <w:lang w:val="fr-FR"/>
        </w:rPr>
        <w:t xml:space="preserve"> les </w:t>
      </w:r>
      <w:r w:rsidRPr="00F1660D">
        <w:rPr>
          <w:lang w:val="fr-FR"/>
        </w:rPr>
        <w:t>liens avec</w:t>
      </w:r>
      <w:r w:rsidR="00A50629" w:rsidRPr="00F1660D">
        <w:rPr>
          <w:lang w:val="fr-FR"/>
        </w:rPr>
        <w:t xml:space="preserve"> le </w:t>
      </w:r>
      <w:r w:rsidRPr="00F1660D">
        <w:rPr>
          <w:lang w:val="fr-FR"/>
        </w:rPr>
        <w:t>développement durable ;</w:t>
      </w:r>
    </w:p>
    <w:p w14:paraId="321CE5B3" w14:textId="16DE07BF" w:rsidR="001420CF" w:rsidRPr="00F1660D" w:rsidRDefault="001420CF" w:rsidP="001420CF">
      <w:pPr>
        <w:pStyle w:val="NormalNonumber"/>
        <w:ind w:left="2381" w:hanging="1134"/>
        <w:rPr>
          <w:lang w:val="fr-FR"/>
        </w:rPr>
      </w:pPr>
      <w:r w:rsidRPr="00F1660D">
        <w:rPr>
          <w:lang w:val="fr-FR"/>
        </w:rPr>
        <w:tab/>
        <w:t>v)</w:t>
      </w:r>
      <w:r w:rsidRPr="00F1660D">
        <w:rPr>
          <w:lang w:val="fr-FR"/>
        </w:rPr>
        <w:tab/>
        <w:t>Faire avancer</w:t>
      </w:r>
      <w:r w:rsidR="00A50629" w:rsidRPr="00F1660D">
        <w:rPr>
          <w:lang w:val="fr-FR"/>
        </w:rPr>
        <w:t xml:space="preserve"> la </w:t>
      </w:r>
      <w:r w:rsidRPr="00F1660D">
        <w:rPr>
          <w:lang w:val="fr-FR"/>
        </w:rPr>
        <w:t>stratégie et définir</w:t>
      </w:r>
      <w:r w:rsidR="00A50629" w:rsidRPr="00F1660D">
        <w:rPr>
          <w:lang w:val="fr-FR"/>
        </w:rPr>
        <w:t xml:space="preserve"> les </w:t>
      </w:r>
      <w:r w:rsidRPr="00F1660D">
        <w:rPr>
          <w:lang w:val="fr-FR"/>
        </w:rPr>
        <w:t xml:space="preserve">priorités du programme de travail ; </w:t>
      </w:r>
    </w:p>
    <w:p w14:paraId="19A4CA2A" w14:textId="77F04963" w:rsidR="001420CF" w:rsidRPr="00F1660D" w:rsidRDefault="001420CF" w:rsidP="001420CF">
      <w:pPr>
        <w:pStyle w:val="NormalNonumber"/>
        <w:ind w:left="2381" w:hanging="1134"/>
        <w:rPr>
          <w:lang w:val="fr-FR"/>
        </w:rPr>
      </w:pPr>
      <w:r w:rsidRPr="00F1660D">
        <w:rPr>
          <w:lang w:val="fr-FR"/>
        </w:rPr>
        <w:tab/>
        <w:t>vi)</w:t>
      </w:r>
      <w:r w:rsidRPr="00F1660D">
        <w:rPr>
          <w:lang w:val="fr-FR"/>
        </w:rPr>
        <w:tab/>
        <w:t>[Prévoir et] définir</w:t>
      </w:r>
      <w:r w:rsidR="00A50629" w:rsidRPr="00F1660D">
        <w:rPr>
          <w:lang w:val="fr-FR"/>
        </w:rPr>
        <w:t xml:space="preserve"> les </w:t>
      </w:r>
      <w:r w:rsidRPr="00F1660D">
        <w:rPr>
          <w:lang w:val="fr-FR"/>
        </w:rPr>
        <w:t>processus permettant de judicieusement orienter l’action sur</w:t>
      </w:r>
      <w:r w:rsidR="00A50629" w:rsidRPr="00F1660D">
        <w:rPr>
          <w:lang w:val="fr-FR"/>
        </w:rPr>
        <w:t xml:space="preserve"> les </w:t>
      </w:r>
      <w:r w:rsidRPr="00F1660D">
        <w:rPr>
          <w:lang w:val="fr-FR"/>
        </w:rPr>
        <w:t>sujets de préoccupation et de portée planétaires [avant et]</w:t>
      </w:r>
      <w:r w:rsidR="00A50629" w:rsidRPr="00F1660D">
        <w:rPr>
          <w:lang w:val="fr-FR"/>
        </w:rPr>
        <w:t xml:space="preserve"> au </w:t>
      </w:r>
      <w:r w:rsidRPr="00F1660D">
        <w:rPr>
          <w:lang w:val="fr-FR"/>
        </w:rPr>
        <w:t>fur et à mesure qu’ils surviennent, faciliter et forger un consensus sur</w:t>
      </w:r>
      <w:r w:rsidR="00A50629" w:rsidRPr="00F1660D">
        <w:rPr>
          <w:lang w:val="fr-FR"/>
        </w:rPr>
        <w:t xml:space="preserve"> les </w:t>
      </w:r>
      <w:r w:rsidRPr="00F1660D">
        <w:rPr>
          <w:lang w:val="fr-FR"/>
        </w:rPr>
        <w:t xml:space="preserve">priorités et fournir un moyen de concentrer l’attention sur </w:t>
      </w:r>
      <w:r w:rsidR="005F6127" w:rsidRPr="00F1660D">
        <w:rPr>
          <w:lang w:val="fr-FR"/>
        </w:rPr>
        <w:t xml:space="preserve">ces priorités </w:t>
      </w:r>
      <w:r w:rsidRPr="00F1660D">
        <w:rPr>
          <w:lang w:val="fr-FR"/>
        </w:rPr>
        <w:t xml:space="preserve">en vue d’une action concertée ; </w:t>
      </w:r>
    </w:p>
    <w:p w14:paraId="61EC6155" w14:textId="01B3C7A6" w:rsidR="001420CF" w:rsidRPr="00F1660D" w:rsidRDefault="001420CF" w:rsidP="001420CF">
      <w:pPr>
        <w:pStyle w:val="NormalNonumber"/>
        <w:ind w:left="2381" w:hanging="1134"/>
        <w:rPr>
          <w:lang w:val="fr-FR"/>
        </w:rPr>
      </w:pPr>
      <w:r w:rsidRPr="00F1660D">
        <w:rPr>
          <w:lang w:val="fr-FR"/>
        </w:rPr>
        <w:tab/>
        <w:t>vii)</w:t>
      </w:r>
      <w:r w:rsidRPr="00F1660D">
        <w:rPr>
          <w:lang w:val="fr-FR"/>
        </w:rPr>
        <w:tab/>
        <w:t>Fournir</w:t>
      </w:r>
      <w:r w:rsidR="00A50629" w:rsidRPr="00F1660D">
        <w:rPr>
          <w:lang w:val="fr-FR"/>
        </w:rPr>
        <w:t xml:space="preserve"> des </w:t>
      </w:r>
      <w:r w:rsidRPr="00F1660D">
        <w:rPr>
          <w:lang w:val="fr-FR"/>
        </w:rPr>
        <w:t>orientations</w:t>
      </w:r>
      <w:r w:rsidR="00A50629" w:rsidRPr="00F1660D">
        <w:rPr>
          <w:lang w:val="fr-FR"/>
        </w:rPr>
        <w:t xml:space="preserve"> au </w:t>
      </w:r>
      <w:r w:rsidRPr="00F1660D">
        <w:rPr>
          <w:lang w:val="fr-FR"/>
        </w:rPr>
        <w:t>secrétariat et aux parties prenantes concernant</w:t>
      </w:r>
      <w:r w:rsidR="00A50629" w:rsidRPr="00F1660D">
        <w:rPr>
          <w:lang w:val="fr-FR"/>
        </w:rPr>
        <w:t xml:space="preserve"> la </w:t>
      </w:r>
      <w:r w:rsidRPr="00F1660D">
        <w:rPr>
          <w:lang w:val="fr-FR"/>
        </w:rPr>
        <w:t xml:space="preserve">mise en œuvre ; </w:t>
      </w:r>
    </w:p>
    <w:p w14:paraId="445EDCEF" w14:textId="64FC5244" w:rsidR="001420CF" w:rsidRPr="00F1660D" w:rsidRDefault="001420CF" w:rsidP="001420CF">
      <w:pPr>
        <w:pStyle w:val="NormalNonumber"/>
        <w:ind w:left="2381" w:hanging="1134"/>
        <w:rPr>
          <w:lang w:val="fr-FR"/>
        </w:rPr>
      </w:pPr>
      <w:r w:rsidRPr="00F1660D">
        <w:rPr>
          <w:lang w:val="fr-FR"/>
        </w:rPr>
        <w:tab/>
        <w:t>viii)</w:t>
      </w:r>
      <w:r w:rsidRPr="00F1660D">
        <w:rPr>
          <w:lang w:val="fr-FR"/>
        </w:rPr>
        <w:tab/>
        <w:t>Mettre en place et mandater</w:t>
      </w:r>
      <w:r w:rsidR="00A50629" w:rsidRPr="00F1660D">
        <w:rPr>
          <w:lang w:val="fr-FR"/>
        </w:rPr>
        <w:t xml:space="preserve"> des </w:t>
      </w:r>
      <w:r w:rsidRPr="00F1660D">
        <w:rPr>
          <w:lang w:val="fr-FR"/>
        </w:rPr>
        <w:t>organes subsidiaires spécialisés et/ou</w:t>
      </w:r>
      <w:r w:rsidR="00A50629" w:rsidRPr="00F1660D">
        <w:rPr>
          <w:lang w:val="fr-FR"/>
        </w:rPr>
        <w:t xml:space="preserve"> des </w:t>
      </w:r>
      <w:r w:rsidRPr="00F1660D">
        <w:rPr>
          <w:lang w:val="fr-FR"/>
        </w:rPr>
        <w:t>groupes spéciaux d’experts techniques, politiques et/ou scientifiques, selon qu’il convient ;</w:t>
      </w:r>
      <w:bookmarkStart w:id="25" w:name="_Hlk531278162"/>
      <w:bookmarkEnd w:id="25"/>
    </w:p>
    <w:p w14:paraId="064E9B9D" w14:textId="145469B3" w:rsidR="001420CF" w:rsidRPr="00F1660D" w:rsidRDefault="001420CF" w:rsidP="001420CF">
      <w:pPr>
        <w:pStyle w:val="NormalNonumber"/>
        <w:ind w:left="2381" w:hanging="1134"/>
        <w:rPr>
          <w:lang w:val="fr-FR"/>
        </w:rPr>
      </w:pPr>
      <w:r w:rsidRPr="00F1660D">
        <w:rPr>
          <w:lang w:val="fr-FR"/>
        </w:rPr>
        <w:tab/>
        <w:t>ix)</w:t>
      </w:r>
      <w:r w:rsidRPr="00F1660D">
        <w:rPr>
          <w:lang w:val="fr-FR"/>
        </w:rPr>
        <w:tab/>
        <w:t>Faciliter</w:t>
      </w:r>
      <w:r w:rsidR="00A50629" w:rsidRPr="00F1660D">
        <w:rPr>
          <w:lang w:val="fr-FR"/>
        </w:rPr>
        <w:t xml:space="preserve"> la </w:t>
      </w:r>
      <w:r w:rsidRPr="00F1660D">
        <w:rPr>
          <w:lang w:val="fr-FR"/>
        </w:rPr>
        <w:t>mobilisation de ressources financières et techniques pour</w:t>
      </w:r>
      <w:r w:rsidR="00A50629" w:rsidRPr="00F1660D">
        <w:rPr>
          <w:lang w:val="fr-FR"/>
        </w:rPr>
        <w:t xml:space="preserve"> la </w:t>
      </w:r>
      <w:r w:rsidRPr="00F1660D">
        <w:rPr>
          <w:lang w:val="fr-FR"/>
        </w:rPr>
        <w:t>mise en œuvre et</w:t>
      </w:r>
      <w:r w:rsidR="00A50629" w:rsidRPr="00F1660D">
        <w:rPr>
          <w:lang w:val="fr-FR"/>
        </w:rPr>
        <w:t xml:space="preserve"> le </w:t>
      </w:r>
      <w:r w:rsidRPr="00F1660D">
        <w:rPr>
          <w:lang w:val="fr-FR"/>
        </w:rPr>
        <w:t>fonctionnement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w:t>
      </w:r>
    </w:p>
    <w:p w14:paraId="10B480E6" w14:textId="764AB899" w:rsidR="001420CF" w:rsidRPr="00F1660D" w:rsidRDefault="001420CF" w:rsidP="001420CF">
      <w:pPr>
        <w:pStyle w:val="NormalNonumber"/>
        <w:ind w:left="2381" w:hanging="1134"/>
        <w:rPr>
          <w:lang w:val="fr-FR"/>
        </w:rPr>
      </w:pPr>
      <w:r w:rsidRPr="00F1660D">
        <w:rPr>
          <w:lang w:val="fr-FR"/>
        </w:rPr>
        <w:tab/>
        <w:t>x)</w:t>
      </w:r>
      <w:r w:rsidRPr="00F1660D">
        <w:rPr>
          <w:lang w:val="fr-FR"/>
        </w:rPr>
        <w:tab/>
        <w:t>Recevoir</w:t>
      </w:r>
      <w:r w:rsidR="00A50629" w:rsidRPr="00F1660D">
        <w:rPr>
          <w:lang w:val="fr-FR"/>
        </w:rPr>
        <w:t xml:space="preserve"> des </w:t>
      </w:r>
      <w:r w:rsidRPr="00F1660D">
        <w:rPr>
          <w:lang w:val="fr-FR"/>
        </w:rPr>
        <w:t>rapports de toutes</w:t>
      </w:r>
      <w:r w:rsidR="00A50629" w:rsidRPr="00F1660D">
        <w:rPr>
          <w:lang w:val="fr-FR"/>
        </w:rPr>
        <w:t xml:space="preserve"> les </w:t>
      </w:r>
      <w:r w:rsidRPr="00F1660D">
        <w:rPr>
          <w:lang w:val="fr-FR"/>
        </w:rPr>
        <w:t>parties prenantes concernant</w:t>
      </w:r>
      <w:r w:rsidR="00A50629" w:rsidRPr="00F1660D">
        <w:rPr>
          <w:lang w:val="fr-FR"/>
        </w:rPr>
        <w:t xml:space="preserve"> les </w:t>
      </w:r>
      <w:r w:rsidRPr="00F1660D">
        <w:rPr>
          <w:lang w:val="fr-FR"/>
        </w:rPr>
        <w:t>progrès accomplis dans</w:t>
      </w:r>
      <w:r w:rsidR="00A50629" w:rsidRPr="00F1660D">
        <w:rPr>
          <w:lang w:val="fr-FR"/>
        </w:rPr>
        <w:t xml:space="preserve"> la </w:t>
      </w:r>
      <w:r w:rsidRPr="00F1660D">
        <w:rPr>
          <w:lang w:val="fr-FR"/>
        </w:rPr>
        <w:t>mise en œuvre et diffuser l’information en tant que de besoin ;</w:t>
      </w:r>
    </w:p>
    <w:p w14:paraId="77C1A722" w14:textId="0B9E71AC" w:rsidR="001420CF" w:rsidRPr="00F1660D" w:rsidRDefault="001420CF" w:rsidP="001420CF">
      <w:pPr>
        <w:pStyle w:val="NormalNonumber"/>
        <w:ind w:left="2381" w:hanging="1134"/>
        <w:rPr>
          <w:lang w:val="fr-FR"/>
        </w:rPr>
      </w:pPr>
      <w:r w:rsidRPr="00F1660D">
        <w:rPr>
          <w:lang w:val="fr-FR"/>
        </w:rPr>
        <w:tab/>
        <w:t>xi)</w:t>
      </w:r>
      <w:r w:rsidRPr="00F1660D">
        <w:rPr>
          <w:lang w:val="fr-FR"/>
        </w:rPr>
        <w:tab/>
        <w:t>Évaluer</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programmes visant à concrétiser</w:t>
      </w:r>
      <w:r w:rsidR="00A50629" w:rsidRPr="00F1660D">
        <w:rPr>
          <w:lang w:val="fr-FR"/>
        </w:rPr>
        <w:t xml:space="preserve"> la </w:t>
      </w:r>
      <w:r w:rsidRPr="00F1660D">
        <w:rPr>
          <w:lang w:val="fr-FR"/>
        </w:rPr>
        <w:t>vision, et faire rapport en</w:t>
      </w:r>
      <w:r w:rsidR="00A50629" w:rsidRPr="00F1660D">
        <w:rPr>
          <w:lang w:val="fr-FR"/>
        </w:rPr>
        <w:t xml:space="preserve"> la </w:t>
      </w:r>
      <w:r w:rsidRPr="00F1660D">
        <w:rPr>
          <w:lang w:val="fr-FR"/>
        </w:rPr>
        <w:t>matière, aux fins d’examiner</w:t>
      </w:r>
      <w:r w:rsidR="00A50629" w:rsidRPr="00F1660D">
        <w:rPr>
          <w:lang w:val="fr-FR"/>
        </w:rPr>
        <w:t xml:space="preserve"> les </w:t>
      </w:r>
      <w:r w:rsidRPr="00F1660D">
        <w:rPr>
          <w:lang w:val="fr-FR"/>
        </w:rPr>
        <w:t>progrès accomplis relatifs aux objectifs, cibles et jalons et de mettre à jour</w:t>
      </w:r>
      <w:r w:rsidR="00A50629" w:rsidRPr="00F1660D">
        <w:rPr>
          <w:lang w:val="fr-FR"/>
        </w:rPr>
        <w:t xml:space="preserve"> le </w:t>
      </w:r>
      <w:r w:rsidRPr="00F1660D">
        <w:rPr>
          <w:lang w:val="fr-FR"/>
        </w:rPr>
        <w:t>programme de travail,</w:t>
      </w:r>
      <w:r w:rsidR="00A50629" w:rsidRPr="00F1660D">
        <w:rPr>
          <w:lang w:val="fr-FR"/>
        </w:rPr>
        <w:t xml:space="preserve"> le </w:t>
      </w:r>
      <w:r w:rsidRPr="00F1660D">
        <w:rPr>
          <w:lang w:val="fr-FR"/>
        </w:rPr>
        <w:t xml:space="preserve">cas échéant. </w:t>
      </w:r>
    </w:p>
    <w:p w14:paraId="5B35AA4D" w14:textId="77777777" w:rsidR="001420CF" w:rsidRPr="00F1660D" w:rsidRDefault="001420CF" w:rsidP="001420CF">
      <w:pPr>
        <w:pStyle w:val="NormalNonumber"/>
        <w:rPr>
          <w:lang w:val="fr-FR"/>
        </w:rPr>
      </w:pPr>
      <w:r w:rsidRPr="00F1660D">
        <w:rPr>
          <w:lang w:val="fr-FR"/>
        </w:rPr>
        <w:t>La Conférence internationale [pourra comprendre] [comportera] un segment de haut niveau, multisectoriel et multipartite, qui aura pour rôle de :</w:t>
      </w:r>
    </w:p>
    <w:p w14:paraId="34D33BFE" w14:textId="1436F606" w:rsidR="001420CF" w:rsidRPr="00F1660D" w:rsidRDefault="001420CF" w:rsidP="001420CF">
      <w:pPr>
        <w:pStyle w:val="NormalNonumber"/>
        <w:ind w:left="2381" w:hanging="1134"/>
        <w:rPr>
          <w:lang w:val="fr-FR"/>
        </w:rPr>
      </w:pPr>
      <w:r w:rsidRPr="00F1660D">
        <w:rPr>
          <w:lang w:val="fr-FR"/>
        </w:rPr>
        <w:tab/>
        <w:t>i)</w:t>
      </w:r>
      <w:r w:rsidRPr="00F1660D">
        <w:rPr>
          <w:lang w:val="fr-FR"/>
        </w:rPr>
        <w:tab/>
        <w:t>Manifester l’engagement</w:t>
      </w:r>
      <w:r w:rsidR="00A50629" w:rsidRPr="00F1660D">
        <w:rPr>
          <w:lang w:val="fr-FR"/>
        </w:rPr>
        <w:t xml:space="preserve"> au </w:t>
      </w:r>
      <w:r w:rsidRPr="00F1660D">
        <w:rPr>
          <w:lang w:val="fr-FR"/>
        </w:rPr>
        <w:t>plus haut niveau possible</w:t>
      </w:r>
      <w:r w:rsidR="00A50629" w:rsidRPr="00F1660D">
        <w:rPr>
          <w:lang w:val="fr-FR"/>
        </w:rPr>
        <w:t xml:space="preserve"> des </w:t>
      </w:r>
      <w:r w:rsidRPr="00F1660D">
        <w:rPr>
          <w:lang w:val="fr-FR"/>
        </w:rPr>
        <w:t>fonctionnaires et</w:t>
      </w:r>
      <w:r w:rsidR="00A50629" w:rsidRPr="00F1660D">
        <w:rPr>
          <w:lang w:val="fr-FR"/>
        </w:rPr>
        <w:t xml:space="preserve"> des </w:t>
      </w:r>
      <w:r w:rsidRPr="00F1660D">
        <w:rPr>
          <w:lang w:val="fr-FR"/>
        </w:rPr>
        <w:t>représentants de tous</w:t>
      </w:r>
      <w:r w:rsidR="00A50629" w:rsidRPr="00F1660D">
        <w:rPr>
          <w:lang w:val="fr-FR"/>
        </w:rPr>
        <w:t xml:space="preserve"> les </w:t>
      </w:r>
      <w:r w:rsidRPr="00F1660D">
        <w:rPr>
          <w:lang w:val="fr-FR"/>
        </w:rPr>
        <w:t>groupes de parties prenantes en faveur d’une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w:t>
      </w:r>
    </w:p>
    <w:p w14:paraId="26B147F5" w14:textId="726084E1" w:rsidR="001420CF" w:rsidRPr="00F1660D" w:rsidRDefault="001420CF" w:rsidP="00F45B61">
      <w:pPr>
        <w:pStyle w:val="NormalNonumber"/>
        <w:keepNext/>
        <w:keepLines/>
        <w:ind w:left="2381" w:hanging="1134"/>
        <w:rPr>
          <w:lang w:val="fr-FR"/>
        </w:rPr>
      </w:pPr>
      <w:r w:rsidRPr="00F1660D">
        <w:rPr>
          <w:lang w:val="fr-FR"/>
        </w:rPr>
        <w:tab/>
        <w:t>ii)</w:t>
      </w:r>
      <w:r w:rsidRPr="00F1660D">
        <w:rPr>
          <w:lang w:val="fr-FR"/>
        </w:rPr>
        <w:tab/>
        <w:t>Offrir une enceinte internationale de haut niveau pour</w:t>
      </w:r>
      <w:r w:rsidR="00A50629" w:rsidRPr="00F1660D">
        <w:rPr>
          <w:lang w:val="fr-FR"/>
        </w:rPr>
        <w:t xml:space="preserve"> des </w:t>
      </w:r>
      <w:r w:rsidRPr="00F1660D">
        <w:rPr>
          <w:lang w:val="fr-FR"/>
        </w:rPr>
        <w:t>débats et un échange de données d’expérience multipartites et multisectoriels concernant</w:t>
      </w:r>
      <w:r w:rsidR="00A50629" w:rsidRPr="00F1660D">
        <w:rPr>
          <w:lang w:val="fr-FR"/>
        </w:rPr>
        <w:t xml:space="preserve"> les </w:t>
      </w:r>
      <w:r w:rsidRPr="00F1660D">
        <w:rPr>
          <w:lang w:val="fr-FR"/>
        </w:rPr>
        <w:t>produits chimiques et</w:t>
      </w:r>
      <w:r w:rsidR="00A50629" w:rsidRPr="00F1660D">
        <w:rPr>
          <w:lang w:val="fr-FR"/>
        </w:rPr>
        <w:t xml:space="preserve"> les </w:t>
      </w:r>
      <w:r w:rsidRPr="00F1660D">
        <w:rPr>
          <w:lang w:val="fr-FR"/>
        </w:rPr>
        <w:t>déchets, conformément</w:t>
      </w:r>
      <w:r w:rsidR="00A50629" w:rsidRPr="00F1660D">
        <w:rPr>
          <w:lang w:val="fr-FR"/>
        </w:rPr>
        <w:t xml:space="preserve"> au </w:t>
      </w:r>
      <w:r w:rsidRPr="00F1660D">
        <w:rPr>
          <w:lang w:val="fr-FR"/>
        </w:rPr>
        <w:t>Programme 2030, avec</w:t>
      </w:r>
      <w:r w:rsidR="00A50629" w:rsidRPr="00F1660D">
        <w:rPr>
          <w:lang w:val="fr-FR"/>
        </w:rPr>
        <w:t xml:space="preserve"> la </w:t>
      </w:r>
      <w:r w:rsidRPr="00F1660D">
        <w:rPr>
          <w:lang w:val="fr-FR"/>
        </w:rPr>
        <w:t>participation</w:t>
      </w:r>
      <w:r w:rsidR="00A50629" w:rsidRPr="00F1660D">
        <w:rPr>
          <w:lang w:val="fr-FR"/>
        </w:rPr>
        <w:t xml:space="preserve"> des </w:t>
      </w:r>
      <w:r w:rsidRPr="00F1660D">
        <w:rPr>
          <w:lang w:val="fr-FR"/>
        </w:rPr>
        <w:t>parties prenantes non gouvernementales, dans</w:t>
      </w:r>
      <w:r w:rsidR="00A50629" w:rsidRPr="00F1660D">
        <w:rPr>
          <w:lang w:val="fr-FR"/>
        </w:rPr>
        <w:t xml:space="preserve"> le </w:t>
      </w:r>
      <w:r w:rsidRPr="00F1660D">
        <w:rPr>
          <w:lang w:val="fr-FR"/>
        </w:rPr>
        <w:t>respect</w:t>
      </w:r>
      <w:r w:rsidR="00A50629" w:rsidRPr="00F1660D">
        <w:rPr>
          <w:lang w:val="fr-FR"/>
        </w:rPr>
        <w:t xml:space="preserve"> des </w:t>
      </w:r>
      <w:r w:rsidRPr="00F1660D">
        <w:rPr>
          <w:lang w:val="fr-FR"/>
        </w:rPr>
        <w:t xml:space="preserve">règles de procédure applicables ; </w:t>
      </w:r>
    </w:p>
    <w:p w14:paraId="7A223CD2" w14:textId="6586AEE6" w:rsidR="001420CF" w:rsidRPr="00F1660D" w:rsidRDefault="001420CF" w:rsidP="001420CF">
      <w:pPr>
        <w:pStyle w:val="NormalNonumber"/>
        <w:ind w:left="2381" w:hanging="1134"/>
        <w:rPr>
          <w:lang w:val="fr-FR"/>
        </w:rPr>
      </w:pPr>
      <w:r w:rsidRPr="00F1660D">
        <w:rPr>
          <w:lang w:val="fr-FR"/>
        </w:rPr>
        <w:tab/>
        <w:t>iii)</w:t>
      </w:r>
      <w:r w:rsidRPr="00F1660D">
        <w:rPr>
          <w:lang w:val="fr-FR"/>
        </w:rPr>
        <w:tab/>
        <w:t>Promouvoir l’intégration de politiques de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dans</w:t>
      </w:r>
      <w:r w:rsidR="00A50629" w:rsidRPr="00F1660D">
        <w:rPr>
          <w:lang w:val="fr-FR"/>
        </w:rPr>
        <w:t xml:space="preserve"> les </w:t>
      </w:r>
      <w:r w:rsidRPr="00F1660D">
        <w:rPr>
          <w:lang w:val="fr-FR"/>
        </w:rPr>
        <w:t>plans nationaux de développement durable ainsi que dans</w:t>
      </w:r>
      <w:r w:rsidR="00A50629" w:rsidRPr="00F1660D">
        <w:rPr>
          <w:lang w:val="fr-FR"/>
        </w:rPr>
        <w:t xml:space="preserve"> les </w:t>
      </w:r>
      <w:r w:rsidRPr="00F1660D">
        <w:rPr>
          <w:lang w:val="fr-FR"/>
        </w:rPr>
        <w:t>plans et budgets sectoriels pertinents ;</w:t>
      </w:r>
    </w:p>
    <w:p w14:paraId="0E8434AF" w14:textId="7D8EC56C" w:rsidR="001420CF" w:rsidRPr="00F1660D" w:rsidRDefault="001420CF" w:rsidP="001420CF">
      <w:pPr>
        <w:pStyle w:val="NormalNonumber"/>
        <w:ind w:left="2381" w:hanging="1134"/>
        <w:rPr>
          <w:lang w:val="fr-FR"/>
        </w:rPr>
      </w:pPr>
      <w:r w:rsidRPr="00F1660D">
        <w:rPr>
          <w:lang w:val="fr-FR"/>
        </w:rPr>
        <w:tab/>
        <w:t>iv)</w:t>
      </w:r>
      <w:r w:rsidRPr="00F1660D">
        <w:rPr>
          <w:lang w:val="fr-FR"/>
        </w:rPr>
        <w:tab/>
        <w:t>Renforcer</w:t>
      </w:r>
      <w:r w:rsidR="00A50629" w:rsidRPr="00F1660D">
        <w:rPr>
          <w:lang w:val="fr-FR"/>
        </w:rPr>
        <w:t xml:space="preserve"> les </w:t>
      </w:r>
      <w:r w:rsidRPr="00F1660D">
        <w:rPr>
          <w:lang w:val="fr-FR"/>
        </w:rPr>
        <w:t>dispositifs et mécanismes nationaux de coordination [des liens et</w:t>
      </w:r>
      <w:r w:rsidR="00A50629" w:rsidRPr="00F1660D">
        <w:rPr>
          <w:lang w:val="fr-FR"/>
        </w:rPr>
        <w:t xml:space="preserve"> des </w:t>
      </w:r>
      <w:r w:rsidRPr="00F1660D">
        <w:rPr>
          <w:lang w:val="fr-FR"/>
        </w:rPr>
        <w:t xml:space="preserve">partenariats] en matière de produits chimiques et de déchets aux niveaux national, régional et international ; </w:t>
      </w:r>
    </w:p>
    <w:p w14:paraId="00E5E2BD" w14:textId="066119BA" w:rsidR="001420CF" w:rsidRPr="00F1660D" w:rsidRDefault="001420CF" w:rsidP="001420CF">
      <w:pPr>
        <w:pStyle w:val="NormalNonumber"/>
        <w:ind w:left="2381" w:hanging="1134"/>
        <w:rPr>
          <w:lang w:val="fr-FR"/>
        </w:rPr>
      </w:pPr>
      <w:r w:rsidRPr="00F1660D">
        <w:rPr>
          <w:lang w:val="fr-FR"/>
        </w:rPr>
        <w:tab/>
        <w:t>v)</w:t>
      </w:r>
      <w:r w:rsidRPr="00F1660D">
        <w:rPr>
          <w:lang w:val="fr-FR"/>
        </w:rPr>
        <w:tab/>
        <w:t>Renforcer</w:t>
      </w:r>
      <w:r w:rsidR="00A50629" w:rsidRPr="00F1660D">
        <w:rPr>
          <w:lang w:val="fr-FR"/>
        </w:rPr>
        <w:t xml:space="preserve"> les </w:t>
      </w:r>
      <w:r w:rsidRPr="00F1660D">
        <w:rPr>
          <w:lang w:val="fr-FR"/>
        </w:rPr>
        <w:t>liens,</w:t>
      </w:r>
      <w:r w:rsidR="00A50629" w:rsidRPr="00F1660D">
        <w:rPr>
          <w:lang w:val="fr-FR"/>
        </w:rPr>
        <w:t xml:space="preserve"> les </w:t>
      </w:r>
      <w:r w:rsidRPr="00F1660D">
        <w:rPr>
          <w:lang w:val="fr-FR"/>
        </w:rPr>
        <w:t>partenariats [,</w:t>
      </w:r>
      <w:r w:rsidR="00A50629" w:rsidRPr="00F1660D">
        <w:rPr>
          <w:lang w:val="fr-FR"/>
        </w:rPr>
        <w:t xml:space="preserve"> les </w:t>
      </w:r>
      <w:r w:rsidRPr="00F1660D">
        <w:rPr>
          <w:lang w:val="fr-FR"/>
        </w:rPr>
        <w:t>synergies] et</w:t>
      </w:r>
      <w:r w:rsidR="00A50629" w:rsidRPr="00F1660D">
        <w:rPr>
          <w:lang w:val="fr-FR"/>
        </w:rPr>
        <w:t xml:space="preserve"> les </w:t>
      </w:r>
      <w:r w:rsidRPr="00F1660D">
        <w:rPr>
          <w:lang w:val="fr-FR"/>
        </w:rPr>
        <w:t>dispositifs et mécanismes de coordination [avec d’] [relatifs aux] autres aspects et secteurs pertinents, dont</w:t>
      </w:r>
      <w:r w:rsidR="00A50629" w:rsidRPr="00F1660D">
        <w:rPr>
          <w:lang w:val="fr-FR"/>
        </w:rPr>
        <w:t xml:space="preserve"> la </w:t>
      </w:r>
      <w:r w:rsidRPr="00F1660D">
        <w:rPr>
          <w:lang w:val="fr-FR"/>
        </w:rPr>
        <w:t>biodiversité et</w:t>
      </w:r>
      <w:r w:rsidR="00A50629" w:rsidRPr="00F1660D">
        <w:rPr>
          <w:lang w:val="fr-FR"/>
        </w:rPr>
        <w:t xml:space="preserve"> les </w:t>
      </w:r>
      <w:r w:rsidRPr="00F1660D">
        <w:rPr>
          <w:lang w:val="fr-FR"/>
        </w:rPr>
        <w:t>changements climatiques, [et renforcer</w:t>
      </w:r>
      <w:r w:rsidR="00A50629" w:rsidRPr="00F1660D">
        <w:rPr>
          <w:lang w:val="fr-FR"/>
        </w:rPr>
        <w:t xml:space="preserve"> les </w:t>
      </w:r>
      <w:r w:rsidRPr="00F1660D">
        <w:rPr>
          <w:lang w:val="fr-FR"/>
        </w:rPr>
        <w:t>liens et</w:t>
      </w:r>
      <w:r w:rsidR="00A50629" w:rsidRPr="00F1660D">
        <w:rPr>
          <w:lang w:val="fr-FR"/>
        </w:rPr>
        <w:t xml:space="preserve"> les </w:t>
      </w:r>
      <w:r w:rsidRPr="00F1660D">
        <w:rPr>
          <w:lang w:val="fr-FR"/>
        </w:rPr>
        <w:t>partenariats] avec</w:t>
      </w:r>
      <w:r w:rsidR="00A50629" w:rsidRPr="00F1660D">
        <w:rPr>
          <w:lang w:val="fr-FR"/>
        </w:rPr>
        <w:t xml:space="preserve"> les </w:t>
      </w:r>
      <w:r w:rsidRPr="00F1660D">
        <w:rPr>
          <w:lang w:val="fr-FR"/>
        </w:rPr>
        <w:t xml:space="preserve">autres parties prenantes du Programme 2030 </w:t>
      </w:r>
      <w:proofErr w:type="gramStart"/>
      <w:r w:rsidRPr="00F1660D">
        <w:rPr>
          <w:lang w:val="fr-FR"/>
        </w:rPr>
        <w:t>aux niveaux national</w:t>
      </w:r>
      <w:proofErr w:type="gramEnd"/>
      <w:r w:rsidRPr="00F1660D">
        <w:rPr>
          <w:lang w:val="fr-FR"/>
        </w:rPr>
        <w:t>, régional et international.</w:t>
      </w:r>
    </w:p>
    <w:p w14:paraId="0E3812E1" w14:textId="5749E64A" w:rsidR="001420CF" w:rsidRPr="00F1660D" w:rsidRDefault="001420CF" w:rsidP="001420CF">
      <w:pPr>
        <w:pStyle w:val="CH3"/>
        <w:tabs>
          <w:tab w:val="clear" w:pos="851"/>
        </w:tabs>
        <w:ind w:hanging="680"/>
        <w:rPr>
          <w:lang w:val="fr-FR"/>
        </w:rPr>
      </w:pPr>
      <w:r w:rsidRPr="00F1660D">
        <w:rPr>
          <w:lang w:val="fr-FR"/>
        </w:rPr>
        <w:tab/>
      </w:r>
      <w:r w:rsidRPr="00F1660D">
        <w:rPr>
          <w:bCs/>
          <w:lang w:val="fr-FR"/>
        </w:rPr>
        <w:t>Bureau de</w:t>
      </w:r>
      <w:r w:rsidR="00A50629" w:rsidRPr="00F1660D">
        <w:rPr>
          <w:bCs/>
          <w:lang w:val="fr-FR"/>
        </w:rPr>
        <w:t xml:space="preserve"> la </w:t>
      </w:r>
      <w:r w:rsidRPr="00F1660D">
        <w:rPr>
          <w:bCs/>
          <w:lang w:val="fr-FR"/>
        </w:rPr>
        <w:t>Conférence internationale</w:t>
      </w:r>
      <w:r w:rsidRPr="00F1660D">
        <w:rPr>
          <w:lang w:val="fr-FR"/>
        </w:rPr>
        <w:t xml:space="preserve"> </w:t>
      </w:r>
    </w:p>
    <w:p w14:paraId="1838E748" w14:textId="73CBC2AC" w:rsidR="001420CF" w:rsidRPr="00F1660D" w:rsidRDefault="001420CF" w:rsidP="001420CF">
      <w:pPr>
        <w:pStyle w:val="NormalNonumber"/>
        <w:rPr>
          <w:rFonts w:asciiTheme="majorBidi" w:hAnsiTheme="majorBidi" w:cstheme="majorBidi"/>
          <w:lang w:val="fr-FR"/>
        </w:rPr>
      </w:pPr>
      <w:r w:rsidRPr="00F1660D">
        <w:rPr>
          <w:lang w:val="fr-FR"/>
        </w:rPr>
        <w:t>La Conférence internationale devrait avoir un Bureau assorti de fonctions conformes</w:t>
      </w:r>
      <w:r w:rsidR="00A50629" w:rsidRPr="00F1660D">
        <w:rPr>
          <w:lang w:val="fr-FR"/>
        </w:rPr>
        <w:t xml:space="preserve"> au </w:t>
      </w:r>
      <w:r w:rsidRPr="00F1660D">
        <w:rPr>
          <w:lang w:val="fr-FR"/>
        </w:rPr>
        <w:t>règlement intérieur de</w:t>
      </w:r>
      <w:r w:rsidR="00A50629" w:rsidRPr="00F1660D">
        <w:rPr>
          <w:lang w:val="fr-FR"/>
        </w:rPr>
        <w:t xml:space="preserve"> la </w:t>
      </w:r>
      <w:r w:rsidRPr="00F1660D">
        <w:rPr>
          <w:lang w:val="fr-FR"/>
        </w:rPr>
        <w:t>Conférence internationale. Le Bureau devrait représenter comme il convient</w:t>
      </w:r>
      <w:r w:rsidR="00A50629" w:rsidRPr="00F1660D">
        <w:rPr>
          <w:lang w:val="fr-FR"/>
        </w:rPr>
        <w:t xml:space="preserve"> les </w:t>
      </w:r>
      <w:r w:rsidRPr="00F1660D">
        <w:rPr>
          <w:lang w:val="fr-FR"/>
        </w:rPr>
        <w:t>régions du monde ainsi que</w:t>
      </w:r>
      <w:r w:rsidR="00A50629" w:rsidRPr="00F1660D">
        <w:rPr>
          <w:lang w:val="fr-FR"/>
        </w:rPr>
        <w:t xml:space="preserve"> la </w:t>
      </w:r>
      <w:r w:rsidRPr="00F1660D">
        <w:rPr>
          <w:lang w:val="fr-FR"/>
        </w:rPr>
        <w:t xml:space="preserve">nature multipartite et multisectorielle de l’instrument au-delà de 2020. </w:t>
      </w:r>
    </w:p>
    <w:p w14:paraId="5A0D7435" w14:textId="77777777" w:rsidR="001420CF" w:rsidRPr="00F1660D" w:rsidRDefault="001420CF" w:rsidP="001420CF">
      <w:pPr>
        <w:pStyle w:val="CH3"/>
        <w:tabs>
          <w:tab w:val="clear" w:pos="851"/>
        </w:tabs>
        <w:ind w:hanging="680"/>
        <w:rPr>
          <w:lang w:val="fr-FR"/>
        </w:rPr>
      </w:pPr>
      <w:r w:rsidRPr="00F1660D">
        <w:rPr>
          <w:lang w:val="fr-FR"/>
        </w:rPr>
        <w:tab/>
      </w:r>
      <w:r w:rsidRPr="00F1660D">
        <w:rPr>
          <w:bCs/>
          <w:lang w:val="fr-FR"/>
        </w:rPr>
        <w:t>Secrétariat</w:t>
      </w:r>
    </w:p>
    <w:p w14:paraId="512FFC8B" w14:textId="5BF15C0B" w:rsidR="001420CF" w:rsidRPr="00F1660D" w:rsidRDefault="001420CF" w:rsidP="001420CF">
      <w:pPr>
        <w:pStyle w:val="NormalNonumber"/>
        <w:rPr>
          <w:lang w:val="fr-FR"/>
        </w:rPr>
      </w:pPr>
      <w:r w:rsidRPr="00F1660D">
        <w:rPr>
          <w:lang w:val="fr-FR"/>
        </w:rPr>
        <w:t>Les fonctions du secrétariat seront</w:t>
      </w:r>
      <w:r w:rsidR="00A50629" w:rsidRPr="00F1660D">
        <w:rPr>
          <w:lang w:val="fr-FR"/>
        </w:rPr>
        <w:t xml:space="preserve"> les </w:t>
      </w:r>
      <w:r w:rsidRPr="00F1660D">
        <w:rPr>
          <w:lang w:val="fr-FR"/>
        </w:rPr>
        <w:t>suivantes :</w:t>
      </w:r>
    </w:p>
    <w:p w14:paraId="38F83637" w14:textId="52186333" w:rsidR="001420CF" w:rsidRPr="00F1660D" w:rsidRDefault="001420CF" w:rsidP="001420CF">
      <w:pPr>
        <w:pStyle w:val="NormalNonumber"/>
        <w:ind w:left="2381" w:hanging="1134"/>
        <w:rPr>
          <w:lang w:val="fr-FR"/>
        </w:rPr>
      </w:pPr>
      <w:r w:rsidRPr="00F1660D">
        <w:rPr>
          <w:lang w:val="fr-FR"/>
        </w:rPr>
        <w:tab/>
        <w:t>i)</w:t>
      </w:r>
      <w:r w:rsidRPr="00F1660D">
        <w:rPr>
          <w:lang w:val="fr-FR"/>
        </w:rPr>
        <w:tab/>
        <w:t>Promouvoir l’instauration et</w:t>
      </w:r>
      <w:r w:rsidR="00A50629" w:rsidRPr="00F1660D">
        <w:rPr>
          <w:lang w:val="fr-FR"/>
        </w:rPr>
        <w:t xml:space="preserve"> le </w:t>
      </w:r>
      <w:r w:rsidRPr="00F1660D">
        <w:rPr>
          <w:lang w:val="fr-FR"/>
        </w:rPr>
        <w:t>maintien d’un réseau de parties prenantes aux niveaux national et régional et, dans</w:t>
      </w:r>
      <w:r w:rsidR="00A50629" w:rsidRPr="00F1660D">
        <w:rPr>
          <w:lang w:val="fr-FR"/>
        </w:rPr>
        <w:t xml:space="preserve"> le </w:t>
      </w:r>
      <w:r w:rsidRPr="00F1660D">
        <w:rPr>
          <w:lang w:val="fr-FR"/>
        </w:rPr>
        <w:t>cas</w:t>
      </w:r>
      <w:r w:rsidR="00A50629" w:rsidRPr="00F1660D">
        <w:rPr>
          <w:lang w:val="fr-FR"/>
        </w:rPr>
        <w:t xml:space="preserve"> des </w:t>
      </w:r>
      <w:r w:rsidRPr="00F1660D">
        <w:rPr>
          <w:lang w:val="fr-FR"/>
        </w:rPr>
        <w:t>organisations intergouvernementales et non gouvernementales,</w:t>
      </w:r>
      <w:r w:rsidR="00A50629" w:rsidRPr="00F1660D">
        <w:rPr>
          <w:lang w:val="fr-FR"/>
        </w:rPr>
        <w:t xml:space="preserve"> au </w:t>
      </w:r>
      <w:r w:rsidRPr="00F1660D">
        <w:rPr>
          <w:lang w:val="fr-FR"/>
        </w:rPr>
        <w:t>niveau international ;</w:t>
      </w:r>
    </w:p>
    <w:p w14:paraId="2544AE07" w14:textId="369154E8" w:rsidR="001420CF" w:rsidRPr="00F1660D" w:rsidRDefault="001420CF" w:rsidP="001420CF">
      <w:pPr>
        <w:pStyle w:val="NormalNonumber"/>
        <w:ind w:left="2381" w:hanging="1134"/>
        <w:rPr>
          <w:lang w:val="fr-FR"/>
        </w:rPr>
      </w:pPr>
      <w:r w:rsidRPr="00F1660D">
        <w:rPr>
          <w:lang w:val="fr-FR"/>
        </w:rPr>
        <w:tab/>
        <w:t>ii)</w:t>
      </w:r>
      <w:r w:rsidRPr="00F1660D">
        <w:rPr>
          <w:lang w:val="fr-FR"/>
        </w:rPr>
        <w:tab/>
        <w:t>Promouvoir et faciliter</w:t>
      </w:r>
      <w:r w:rsidR="00A50629" w:rsidRPr="00F1660D">
        <w:rPr>
          <w:lang w:val="fr-FR"/>
        </w:rPr>
        <w:t xml:space="preserve"> la </w:t>
      </w:r>
      <w:r w:rsidRPr="00F1660D">
        <w:rPr>
          <w:lang w:val="fr-FR"/>
        </w:rPr>
        <w:t>mise en œuvre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A50629" w:rsidRPr="00F1660D">
        <w:rPr>
          <w:lang w:val="fr-FR"/>
        </w:rPr>
        <w:t xml:space="preserve"> y </w:t>
      </w:r>
      <w:r w:rsidRPr="00F1660D">
        <w:rPr>
          <w:lang w:val="fr-FR"/>
        </w:rPr>
        <w:t>compris</w:t>
      </w:r>
      <w:r w:rsidR="00A50629" w:rsidRPr="00F1660D">
        <w:rPr>
          <w:lang w:val="fr-FR"/>
        </w:rPr>
        <w:t xml:space="preserve"> le </w:t>
      </w:r>
      <w:r w:rsidRPr="00F1660D">
        <w:rPr>
          <w:lang w:val="fr-FR"/>
        </w:rPr>
        <w:t>renforcement</w:t>
      </w:r>
      <w:r w:rsidR="00A50629" w:rsidRPr="00F1660D">
        <w:rPr>
          <w:lang w:val="fr-FR"/>
        </w:rPr>
        <w:t xml:space="preserve"> des </w:t>
      </w:r>
      <w:r w:rsidRPr="00F1660D">
        <w:rPr>
          <w:lang w:val="fr-FR"/>
        </w:rPr>
        <w:t>capacités et l’assistance technique, sous</w:t>
      </w:r>
      <w:r w:rsidR="00A50629" w:rsidRPr="00F1660D">
        <w:rPr>
          <w:lang w:val="fr-FR"/>
        </w:rPr>
        <w:t xml:space="preserve"> la </w:t>
      </w:r>
      <w:r w:rsidRPr="00F1660D">
        <w:rPr>
          <w:lang w:val="fr-FR"/>
        </w:rPr>
        <w:t>direction de</w:t>
      </w:r>
      <w:r w:rsidR="00A50629" w:rsidRPr="00F1660D">
        <w:rPr>
          <w:lang w:val="fr-FR"/>
        </w:rPr>
        <w:t xml:space="preserve"> la </w:t>
      </w:r>
      <w:r w:rsidRPr="00F1660D">
        <w:rPr>
          <w:lang w:val="fr-FR"/>
        </w:rPr>
        <w:t>Conférence internationale ;</w:t>
      </w:r>
    </w:p>
    <w:p w14:paraId="56D51869" w14:textId="504C5F82" w:rsidR="001420CF" w:rsidRPr="00F1660D" w:rsidRDefault="001420CF" w:rsidP="001420CF">
      <w:pPr>
        <w:pStyle w:val="NormalNonumber"/>
        <w:ind w:left="2381" w:hanging="1134"/>
        <w:rPr>
          <w:lang w:val="fr-FR"/>
        </w:rPr>
      </w:pPr>
      <w:r w:rsidRPr="00F1660D">
        <w:rPr>
          <w:lang w:val="fr-FR"/>
        </w:rPr>
        <w:tab/>
        <w:t>iii)</w:t>
      </w:r>
      <w:r w:rsidRPr="00F1660D">
        <w:rPr>
          <w:lang w:val="fr-FR"/>
        </w:rPr>
        <w:tab/>
        <w:t>Continuer de renforcer</w:t>
      </w:r>
      <w:r w:rsidR="00A50629" w:rsidRPr="00F1660D">
        <w:rPr>
          <w:lang w:val="fr-FR"/>
        </w:rPr>
        <w:t xml:space="preserve"> les </w:t>
      </w:r>
      <w:r w:rsidRPr="00F1660D">
        <w:rPr>
          <w:lang w:val="fr-FR"/>
        </w:rPr>
        <w:t>relations de travail avec</w:t>
      </w:r>
      <w:r w:rsidR="00A50629" w:rsidRPr="00F1660D">
        <w:rPr>
          <w:lang w:val="fr-FR"/>
        </w:rPr>
        <w:t xml:space="preserve"> les </w:t>
      </w:r>
      <w:r w:rsidRPr="00F1660D">
        <w:rPr>
          <w:lang w:val="fr-FR"/>
        </w:rPr>
        <w:t>organisations participant</w:t>
      </w:r>
      <w:r w:rsidR="00A50629" w:rsidRPr="00F1660D">
        <w:rPr>
          <w:lang w:val="fr-FR"/>
        </w:rPr>
        <w:t xml:space="preserve"> au </w:t>
      </w:r>
      <w:r w:rsidRPr="00F1660D">
        <w:rPr>
          <w:lang w:val="fr-FR"/>
        </w:rPr>
        <w:t xml:space="preserve">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(IOMC) et leurs réseaux, d’autres organismes</w:t>
      </w:r>
      <w:r w:rsidR="00A50629" w:rsidRPr="00F1660D">
        <w:rPr>
          <w:lang w:val="fr-FR"/>
        </w:rPr>
        <w:t xml:space="preserve"> des </w:t>
      </w:r>
      <w:r w:rsidRPr="00F1660D">
        <w:rPr>
          <w:lang w:val="fr-FR"/>
        </w:rPr>
        <w:t>Nations Unies et</w:t>
      </w:r>
      <w:r w:rsidR="00A50629" w:rsidRPr="00F1660D">
        <w:rPr>
          <w:lang w:val="fr-FR"/>
        </w:rPr>
        <w:t xml:space="preserve"> les </w:t>
      </w:r>
      <w:r w:rsidRPr="00F1660D">
        <w:rPr>
          <w:lang w:val="fr-FR"/>
        </w:rPr>
        <w:t>secrétariats</w:t>
      </w:r>
      <w:r w:rsidR="00A50629" w:rsidRPr="00F1660D">
        <w:rPr>
          <w:lang w:val="fr-FR"/>
        </w:rPr>
        <w:t xml:space="preserve"> des </w:t>
      </w:r>
      <w:r w:rsidRPr="00F1660D">
        <w:rPr>
          <w:lang w:val="fr-FR"/>
        </w:rPr>
        <w:t>accords internationaux pertinents, afin de tirer parti de leurs compétences sectorielles ;</w:t>
      </w:r>
    </w:p>
    <w:p w14:paraId="48165421" w14:textId="2F0131F9" w:rsidR="001420CF" w:rsidRPr="00F1660D" w:rsidRDefault="001420CF" w:rsidP="001420CF">
      <w:pPr>
        <w:pStyle w:val="NormalNonumber"/>
        <w:ind w:left="2381" w:hanging="1134"/>
        <w:rPr>
          <w:lang w:val="fr-FR"/>
        </w:rPr>
      </w:pPr>
      <w:r w:rsidRPr="00F1660D">
        <w:rPr>
          <w:lang w:val="fr-FR"/>
        </w:rPr>
        <w:tab/>
        <w:t>iv)</w:t>
      </w:r>
      <w:r w:rsidRPr="00F1660D">
        <w:rPr>
          <w:lang w:val="fr-FR"/>
        </w:rPr>
        <w:tab/>
        <w:t>Faciliter et promouvoir l’échange d’informations scientifiques et techniques pertinentes, notamment l’élaboration et</w:t>
      </w:r>
      <w:r w:rsidR="00A50629" w:rsidRPr="00F1660D">
        <w:rPr>
          <w:lang w:val="fr-FR"/>
        </w:rPr>
        <w:t xml:space="preserve"> la </w:t>
      </w:r>
      <w:r w:rsidRPr="00F1660D">
        <w:rPr>
          <w:lang w:val="fr-FR"/>
        </w:rPr>
        <w:t>diffusion [, à</w:t>
      </w:r>
      <w:r w:rsidR="00A50629" w:rsidRPr="00F1660D">
        <w:rPr>
          <w:lang w:val="fr-FR"/>
        </w:rPr>
        <w:t xml:space="preserve"> la </w:t>
      </w:r>
      <w:r w:rsidRPr="00F1660D">
        <w:rPr>
          <w:lang w:val="fr-FR"/>
        </w:rPr>
        <w:t>demande de</w:t>
      </w:r>
      <w:r w:rsidR="00A50629" w:rsidRPr="00F1660D">
        <w:rPr>
          <w:lang w:val="fr-FR"/>
        </w:rPr>
        <w:t xml:space="preserve"> la </w:t>
      </w:r>
      <w:r w:rsidRPr="00F1660D">
        <w:rPr>
          <w:lang w:val="fr-FR"/>
        </w:rPr>
        <w:t>Conférence internationale</w:t>
      </w:r>
      <w:r w:rsidR="005F6127" w:rsidRPr="00F1660D">
        <w:rPr>
          <w:lang w:val="fr-FR"/>
        </w:rPr>
        <w:t>,</w:t>
      </w:r>
      <w:r w:rsidRPr="00F1660D">
        <w:rPr>
          <w:lang w:val="fr-FR"/>
        </w:rPr>
        <w:t>] de documents d’orientation pour appuyer</w:t>
      </w:r>
      <w:r w:rsidR="00A50629" w:rsidRPr="00F1660D">
        <w:rPr>
          <w:lang w:val="fr-FR"/>
        </w:rPr>
        <w:t xml:space="preserve"> la </w:t>
      </w:r>
      <w:r w:rsidRPr="00F1660D">
        <w:rPr>
          <w:lang w:val="fr-FR"/>
        </w:rPr>
        <w:t>mise en œuvre par</w:t>
      </w:r>
      <w:r w:rsidR="00A50629" w:rsidRPr="00F1660D">
        <w:rPr>
          <w:lang w:val="fr-FR"/>
        </w:rPr>
        <w:t xml:space="preserve"> les </w:t>
      </w:r>
      <w:r w:rsidRPr="00F1660D">
        <w:rPr>
          <w:lang w:val="fr-FR"/>
        </w:rPr>
        <w:t>parties prenantes, et offrir un service central d’échange d’informations ;</w:t>
      </w:r>
    </w:p>
    <w:p w14:paraId="1BA6439E" w14:textId="5AD71D9B" w:rsidR="001420CF" w:rsidRPr="00F1660D" w:rsidRDefault="001420CF" w:rsidP="001420CF">
      <w:pPr>
        <w:pStyle w:val="NormalNonumber"/>
        <w:ind w:left="2381" w:hanging="1134"/>
        <w:rPr>
          <w:lang w:val="fr-FR"/>
        </w:rPr>
      </w:pPr>
      <w:r w:rsidRPr="00F1660D">
        <w:rPr>
          <w:lang w:val="fr-FR"/>
        </w:rPr>
        <w:tab/>
        <w:t>v)</w:t>
      </w:r>
      <w:r w:rsidRPr="00F1660D">
        <w:rPr>
          <w:lang w:val="fr-FR"/>
        </w:rPr>
        <w:tab/>
        <w:t>Faciliter</w:t>
      </w:r>
      <w:r w:rsidR="00A50629" w:rsidRPr="00F1660D">
        <w:rPr>
          <w:lang w:val="fr-FR"/>
        </w:rPr>
        <w:t xml:space="preserve"> les </w:t>
      </w:r>
      <w:r w:rsidRPr="00F1660D">
        <w:rPr>
          <w:lang w:val="fr-FR"/>
        </w:rPr>
        <w:t>réunions et</w:t>
      </w:r>
      <w:r w:rsidR="00A50629" w:rsidRPr="00F1660D">
        <w:rPr>
          <w:lang w:val="fr-FR"/>
        </w:rPr>
        <w:t xml:space="preserve"> les </w:t>
      </w:r>
      <w:r w:rsidRPr="00F1660D">
        <w:rPr>
          <w:lang w:val="fr-FR"/>
        </w:rPr>
        <w:t>travaux intersessions de</w:t>
      </w:r>
      <w:r w:rsidR="00A50629" w:rsidRPr="00F1660D">
        <w:rPr>
          <w:lang w:val="fr-FR"/>
        </w:rPr>
        <w:t xml:space="preserve"> la </w:t>
      </w:r>
      <w:r w:rsidRPr="00F1660D">
        <w:rPr>
          <w:lang w:val="fr-FR"/>
        </w:rPr>
        <w:t>Conférence internationale ainsi que</w:t>
      </w:r>
      <w:r w:rsidR="00A50629" w:rsidRPr="00F1660D">
        <w:rPr>
          <w:lang w:val="fr-FR"/>
        </w:rPr>
        <w:t xml:space="preserve"> les </w:t>
      </w:r>
      <w:r w:rsidRPr="00F1660D">
        <w:rPr>
          <w:lang w:val="fr-FR"/>
        </w:rPr>
        <w:t>réunions régionales, et diffuser</w:t>
      </w:r>
      <w:r w:rsidR="00A50629" w:rsidRPr="00F1660D">
        <w:rPr>
          <w:lang w:val="fr-FR"/>
        </w:rPr>
        <w:t xml:space="preserve"> les </w:t>
      </w:r>
      <w:r w:rsidRPr="00F1660D">
        <w:rPr>
          <w:lang w:val="fr-FR"/>
        </w:rPr>
        <w:t>rapports et recommandations de</w:t>
      </w:r>
      <w:r w:rsidR="00A50629" w:rsidRPr="00F1660D">
        <w:rPr>
          <w:lang w:val="fr-FR"/>
        </w:rPr>
        <w:t xml:space="preserve"> la </w:t>
      </w:r>
      <w:r w:rsidRPr="00F1660D">
        <w:rPr>
          <w:lang w:val="fr-FR"/>
        </w:rPr>
        <w:t>Conférence internationale,</w:t>
      </w:r>
      <w:r w:rsidR="00A50629" w:rsidRPr="00F1660D">
        <w:rPr>
          <w:lang w:val="fr-FR"/>
        </w:rPr>
        <w:t xml:space="preserve"> y </w:t>
      </w:r>
      <w:r w:rsidRPr="00F1660D">
        <w:rPr>
          <w:lang w:val="fr-FR"/>
        </w:rPr>
        <w:t>compris aux organisations et institutions régionales et mondiales compétentes ;</w:t>
      </w:r>
    </w:p>
    <w:p w14:paraId="547CBEC4" w14:textId="12FB850A" w:rsidR="001420CF" w:rsidRPr="00F1660D" w:rsidRDefault="001420CF" w:rsidP="001420CF">
      <w:pPr>
        <w:pStyle w:val="NormalNonumber"/>
        <w:ind w:left="2381" w:hanging="1134"/>
        <w:rPr>
          <w:lang w:val="fr-FR"/>
        </w:rPr>
      </w:pPr>
      <w:r w:rsidRPr="00F1660D">
        <w:rPr>
          <w:lang w:val="fr-FR"/>
        </w:rPr>
        <w:tab/>
        <w:t>vi)</w:t>
      </w:r>
      <w:r w:rsidRPr="00F1660D">
        <w:rPr>
          <w:lang w:val="fr-FR"/>
        </w:rPr>
        <w:tab/>
        <w:t>Aider</w:t>
      </w:r>
      <w:r w:rsidR="00A50629" w:rsidRPr="00F1660D">
        <w:rPr>
          <w:lang w:val="fr-FR"/>
        </w:rPr>
        <w:t xml:space="preserve"> au </w:t>
      </w:r>
      <w:r w:rsidRPr="00F1660D">
        <w:rPr>
          <w:lang w:val="fr-FR"/>
        </w:rPr>
        <w:t>bon fonctionnement</w:t>
      </w:r>
      <w:r w:rsidR="00A50629" w:rsidRPr="00F1660D">
        <w:rPr>
          <w:lang w:val="fr-FR"/>
        </w:rPr>
        <w:t xml:space="preserve"> des </w:t>
      </w:r>
      <w:r w:rsidRPr="00F1660D">
        <w:rPr>
          <w:lang w:val="fr-FR"/>
        </w:rPr>
        <w:t>organes subsidiaires spécialisés et groupes spéciaux d’experts techniques, politiques et scientifiques établis par</w:t>
      </w:r>
      <w:r w:rsidR="00A50629" w:rsidRPr="00F1660D">
        <w:rPr>
          <w:lang w:val="fr-FR"/>
        </w:rPr>
        <w:t xml:space="preserve"> la </w:t>
      </w:r>
      <w:r w:rsidRPr="00F1660D">
        <w:rPr>
          <w:lang w:val="fr-FR"/>
        </w:rPr>
        <w:t xml:space="preserve">Conférence internationale ; </w:t>
      </w:r>
    </w:p>
    <w:p w14:paraId="50AF5226" w14:textId="5E9A764A" w:rsidR="001420CF" w:rsidRPr="00F1660D" w:rsidRDefault="001420CF" w:rsidP="001420CF">
      <w:pPr>
        <w:pStyle w:val="NormalNonumber"/>
        <w:ind w:left="2381" w:hanging="1134"/>
        <w:rPr>
          <w:lang w:val="fr-FR"/>
        </w:rPr>
      </w:pPr>
      <w:r w:rsidRPr="00F1660D">
        <w:rPr>
          <w:lang w:val="fr-FR"/>
        </w:rPr>
        <w:tab/>
        <w:t>vii)</w:t>
      </w:r>
      <w:r w:rsidRPr="00F1660D">
        <w:rPr>
          <w:lang w:val="fr-FR"/>
        </w:rPr>
        <w:tab/>
        <w:t>Promouvoir, renforcer et appuyer</w:t>
      </w:r>
      <w:r w:rsidR="00A50629" w:rsidRPr="00F1660D">
        <w:rPr>
          <w:lang w:val="fr-FR"/>
        </w:rPr>
        <w:t xml:space="preserve"> la </w:t>
      </w:r>
      <w:r w:rsidRPr="00F1660D">
        <w:rPr>
          <w:lang w:val="fr-FR"/>
        </w:rPr>
        <w:t>participation de tous</w:t>
      </w:r>
      <w:r w:rsidR="00A50629" w:rsidRPr="00F1660D">
        <w:rPr>
          <w:lang w:val="fr-FR"/>
        </w:rPr>
        <w:t xml:space="preserve"> les </w:t>
      </w:r>
      <w:r w:rsidRPr="00F1660D">
        <w:rPr>
          <w:lang w:val="fr-FR"/>
        </w:rPr>
        <w:t>secteurs et parties prenantes à</w:t>
      </w:r>
      <w:r w:rsidR="00A50629" w:rsidRPr="00F1660D">
        <w:rPr>
          <w:lang w:val="fr-FR"/>
        </w:rPr>
        <w:t xml:space="preserve"> la </w:t>
      </w:r>
      <w:r w:rsidRPr="00F1660D">
        <w:rPr>
          <w:lang w:val="fr-FR"/>
        </w:rPr>
        <w:t>Conférence internationale et</w:t>
      </w:r>
      <w:r w:rsidR="00A50629" w:rsidRPr="00F1660D">
        <w:rPr>
          <w:lang w:val="fr-FR"/>
        </w:rPr>
        <w:t xml:space="preserve"> au </w:t>
      </w:r>
      <w:r w:rsidRPr="00F1660D">
        <w:rPr>
          <w:lang w:val="fr-FR"/>
        </w:rPr>
        <w:t>programme de travail,</w:t>
      </w:r>
      <w:r w:rsidR="00A50629" w:rsidRPr="00F1660D">
        <w:rPr>
          <w:lang w:val="fr-FR"/>
        </w:rPr>
        <w:t xml:space="preserve"> y </w:t>
      </w:r>
      <w:r w:rsidRPr="00F1660D">
        <w:rPr>
          <w:lang w:val="fr-FR"/>
        </w:rPr>
        <w:t>compris dans</w:t>
      </w:r>
      <w:r w:rsidR="00A50629" w:rsidRPr="00F1660D">
        <w:rPr>
          <w:lang w:val="fr-FR"/>
        </w:rPr>
        <w:t xml:space="preserve"> le </w:t>
      </w:r>
      <w:r w:rsidRPr="00F1660D">
        <w:rPr>
          <w:lang w:val="fr-FR"/>
        </w:rPr>
        <w:t>cadre</w:t>
      </w:r>
      <w:r w:rsidR="00A50629" w:rsidRPr="00F1660D">
        <w:rPr>
          <w:lang w:val="fr-FR"/>
        </w:rPr>
        <w:t xml:space="preserve"> des </w:t>
      </w:r>
      <w:r w:rsidRPr="00F1660D">
        <w:rPr>
          <w:lang w:val="fr-FR"/>
        </w:rPr>
        <w:t>réunions de</w:t>
      </w:r>
      <w:r w:rsidR="00A50629" w:rsidRPr="00F1660D">
        <w:rPr>
          <w:lang w:val="fr-FR"/>
        </w:rPr>
        <w:t xml:space="preserve"> la </w:t>
      </w:r>
      <w:r w:rsidRPr="00F1660D">
        <w:rPr>
          <w:lang w:val="fr-FR"/>
        </w:rPr>
        <w:t>Conférence internationale et</w:t>
      </w:r>
      <w:r w:rsidR="00A50629" w:rsidRPr="00F1660D">
        <w:rPr>
          <w:lang w:val="fr-FR"/>
        </w:rPr>
        <w:t xml:space="preserve"> des </w:t>
      </w:r>
      <w:r w:rsidRPr="00F1660D">
        <w:rPr>
          <w:lang w:val="fr-FR"/>
        </w:rPr>
        <w:t>réunions régionales ;</w:t>
      </w:r>
    </w:p>
    <w:p w14:paraId="70EF59B0" w14:textId="5EE47294" w:rsidR="001420CF" w:rsidRPr="00F1660D" w:rsidRDefault="001420CF" w:rsidP="001420CF">
      <w:pPr>
        <w:pStyle w:val="NormalNonumber"/>
        <w:ind w:left="2381" w:hanging="1134"/>
        <w:rPr>
          <w:lang w:val="fr-FR"/>
        </w:rPr>
      </w:pPr>
      <w:r w:rsidRPr="00F1660D">
        <w:rPr>
          <w:lang w:val="fr-FR"/>
        </w:rPr>
        <w:tab/>
        <w:t>viii)</w:t>
      </w:r>
      <w:r w:rsidRPr="00F1660D">
        <w:rPr>
          <w:lang w:val="fr-FR"/>
        </w:rPr>
        <w:tab/>
        <w:t>Faire rapport à</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mise en œuvre par toutes</w:t>
      </w:r>
      <w:r w:rsidR="00A50629" w:rsidRPr="00F1660D">
        <w:rPr>
          <w:lang w:val="fr-FR"/>
        </w:rPr>
        <w:t xml:space="preserve"> les </w:t>
      </w:r>
      <w:r w:rsidRPr="00F1660D">
        <w:rPr>
          <w:lang w:val="fr-FR"/>
        </w:rPr>
        <w:t>parties prenantes [et sur</w:t>
      </w:r>
      <w:r w:rsidR="00A50629" w:rsidRPr="00F1660D">
        <w:rPr>
          <w:lang w:val="fr-FR"/>
        </w:rPr>
        <w:t xml:space="preserve"> les </w:t>
      </w:r>
      <w:r w:rsidRPr="00F1660D">
        <w:rPr>
          <w:lang w:val="fr-FR"/>
        </w:rPr>
        <w:t>progrès [réalisés</w:t>
      </w:r>
      <w:r w:rsidR="00A50629" w:rsidRPr="00F1660D">
        <w:rPr>
          <w:lang w:val="fr-FR"/>
        </w:rPr>
        <w:t xml:space="preserve"> au </w:t>
      </w:r>
      <w:r w:rsidRPr="00F1660D">
        <w:rPr>
          <w:lang w:val="fr-FR"/>
        </w:rPr>
        <w:t>regard] [dans</w:t>
      </w:r>
      <w:r w:rsidR="00A50629" w:rsidRPr="00F1660D">
        <w:rPr>
          <w:lang w:val="fr-FR"/>
        </w:rPr>
        <w:t xml:space="preserve"> la </w:t>
      </w:r>
      <w:r w:rsidRPr="00F1660D">
        <w:rPr>
          <w:lang w:val="fr-FR"/>
        </w:rPr>
        <w:t>réalisation]</w:t>
      </w:r>
      <w:r w:rsidR="00A50629" w:rsidRPr="00F1660D">
        <w:rPr>
          <w:lang w:val="fr-FR"/>
        </w:rPr>
        <w:t xml:space="preserve"> des </w:t>
      </w:r>
      <w:r w:rsidRPr="00F1660D">
        <w:rPr>
          <w:lang w:val="fr-FR"/>
        </w:rPr>
        <w:t>objectifs et cibles].</w:t>
      </w:r>
    </w:p>
    <w:p w14:paraId="2950A5A2" w14:textId="2B4451FA" w:rsidR="001420CF" w:rsidRPr="00F1660D" w:rsidRDefault="001420CF" w:rsidP="001420CF">
      <w:pPr>
        <w:pStyle w:val="CH2"/>
        <w:tabs>
          <w:tab w:val="clear" w:pos="851"/>
        </w:tabs>
        <w:ind w:hanging="680"/>
        <w:rPr>
          <w:lang w:val="fr-FR"/>
        </w:rPr>
      </w:pPr>
      <w:r w:rsidRPr="00F1660D">
        <w:rPr>
          <w:bCs/>
          <w:lang w:val="fr-FR"/>
        </w:rPr>
        <w:tab/>
        <w:t>Mécanismes d’appui à</w:t>
      </w:r>
      <w:r w:rsidR="00A50629" w:rsidRPr="00F1660D">
        <w:rPr>
          <w:bCs/>
          <w:lang w:val="fr-FR"/>
        </w:rPr>
        <w:t xml:space="preserve"> la </w:t>
      </w:r>
      <w:r w:rsidRPr="00F1660D">
        <w:rPr>
          <w:bCs/>
          <w:lang w:val="fr-FR"/>
        </w:rPr>
        <w:t>mise en œuvre</w:t>
      </w:r>
    </w:p>
    <w:p w14:paraId="15EEF286" w14:textId="77777777" w:rsidR="001420CF" w:rsidRPr="00F1660D" w:rsidRDefault="001420CF" w:rsidP="001420CF">
      <w:pPr>
        <w:pStyle w:val="CH3"/>
        <w:rPr>
          <w:lang w:val="fr-FR"/>
        </w:rPr>
      </w:pPr>
      <w:r w:rsidRPr="00F1660D">
        <w:rPr>
          <w:lang w:val="fr-FR"/>
        </w:rPr>
        <w:tab/>
        <w:t>1.</w:t>
      </w:r>
      <w:r w:rsidRPr="00F1660D">
        <w:rPr>
          <w:lang w:val="fr-FR"/>
        </w:rPr>
        <w:tab/>
        <w:t>Règlement intérieur</w:t>
      </w:r>
    </w:p>
    <w:p w14:paraId="0ADABAC7" w14:textId="2DEAB278" w:rsidR="001420CF" w:rsidRPr="00F1660D" w:rsidRDefault="001420CF" w:rsidP="001420CF">
      <w:pPr>
        <w:pStyle w:val="NormalNonumber"/>
        <w:rPr>
          <w:b/>
          <w:lang w:val="fr-FR"/>
        </w:rPr>
      </w:pPr>
      <w:r w:rsidRPr="00F1660D">
        <w:rPr>
          <w:lang w:val="fr-FR"/>
        </w:rPr>
        <w:t>[En ce qui concerne l’adoption</w:t>
      </w:r>
      <w:r w:rsidR="00A50629" w:rsidRPr="00F1660D">
        <w:rPr>
          <w:lang w:val="fr-FR"/>
        </w:rPr>
        <w:t xml:space="preserve"> des </w:t>
      </w:r>
      <w:r w:rsidRPr="00F1660D">
        <w:rPr>
          <w:lang w:val="fr-FR"/>
        </w:rPr>
        <w:t>décisions,</w:t>
      </w:r>
      <w:r w:rsidR="00A50629" w:rsidRPr="00F1660D">
        <w:rPr>
          <w:lang w:val="fr-FR"/>
        </w:rPr>
        <w:t xml:space="preserve"> les </w:t>
      </w:r>
      <w:r w:rsidRPr="00F1660D">
        <w:rPr>
          <w:lang w:val="fr-FR"/>
        </w:rPr>
        <w:t>gouvernements s’efforcent autant que possible de parvenir à un accord par consensus sur toutes</w:t>
      </w:r>
      <w:r w:rsidR="00A50629" w:rsidRPr="00F1660D">
        <w:rPr>
          <w:lang w:val="fr-FR"/>
        </w:rPr>
        <w:t xml:space="preserve"> les </w:t>
      </w:r>
      <w:r w:rsidRPr="00F1660D">
        <w:rPr>
          <w:lang w:val="fr-FR"/>
        </w:rPr>
        <w:t xml:space="preserve">questions de fond et de procédure.] </w:t>
      </w:r>
    </w:p>
    <w:p w14:paraId="043C0B56" w14:textId="647CF5CD" w:rsidR="001420CF" w:rsidRPr="00F1660D" w:rsidRDefault="001420CF" w:rsidP="001420CF">
      <w:pPr>
        <w:pStyle w:val="CH3"/>
        <w:rPr>
          <w:lang w:val="fr-FR"/>
        </w:rPr>
      </w:pPr>
      <w:r w:rsidRPr="00F1660D">
        <w:rPr>
          <w:lang w:val="fr-FR"/>
        </w:rPr>
        <w:tab/>
        <w:t>2.</w:t>
      </w:r>
      <w:r w:rsidRPr="00F1660D">
        <w:rPr>
          <w:lang w:val="fr-FR"/>
        </w:rPr>
        <w:tab/>
        <w:t>Mise en œuvre</w:t>
      </w:r>
      <w:r w:rsidR="00A50629" w:rsidRPr="00F1660D">
        <w:rPr>
          <w:lang w:val="fr-FR"/>
        </w:rPr>
        <w:t xml:space="preserve"> au </w:t>
      </w:r>
      <w:r w:rsidRPr="00F1660D">
        <w:rPr>
          <w:lang w:val="fr-FR"/>
        </w:rPr>
        <w:t>niveau national</w:t>
      </w:r>
    </w:p>
    <w:p w14:paraId="0E8B87B6" w14:textId="4814B83A" w:rsidR="001420CF" w:rsidRPr="00F1660D" w:rsidRDefault="001420CF" w:rsidP="001420CF">
      <w:pPr>
        <w:pStyle w:val="NormalNonumber"/>
        <w:ind w:left="2381" w:hanging="1134"/>
        <w:rPr>
          <w:lang w:val="fr-FR"/>
        </w:rPr>
      </w:pPr>
      <w:r w:rsidRPr="00F1660D">
        <w:rPr>
          <w:lang w:val="fr-FR"/>
        </w:rPr>
        <w:tab/>
        <w:t>i)</w:t>
      </w:r>
      <w:r w:rsidRPr="00F1660D">
        <w:rPr>
          <w:lang w:val="fr-FR"/>
        </w:rPr>
        <w:tab/>
        <w:t>Pour durablement appliquer une approche intégrée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chaque gouvernement devrait mettre en place</w:t>
      </w:r>
      <w:r w:rsidR="00A50629" w:rsidRPr="00F1660D">
        <w:rPr>
          <w:lang w:val="fr-FR"/>
        </w:rPr>
        <w:t xml:space="preserve"> des </w:t>
      </w:r>
      <w:r w:rsidRPr="00F1660D">
        <w:rPr>
          <w:lang w:val="fr-FR"/>
        </w:rPr>
        <w:t>dispositifs de mise en œuvre tels</w:t>
      </w:r>
      <w:r w:rsidR="00A50629" w:rsidRPr="00F1660D">
        <w:rPr>
          <w:lang w:val="fr-FR"/>
        </w:rPr>
        <w:t xml:space="preserve"> des </w:t>
      </w:r>
      <w:r w:rsidRPr="00F1660D">
        <w:rPr>
          <w:lang w:val="fr-FR"/>
        </w:rPr>
        <w:t>plans d’action nationaux sur une base interministérielle ou interinstitutionnelle, en consultation avec</w:t>
      </w:r>
      <w:r w:rsidR="00A50629" w:rsidRPr="00F1660D">
        <w:rPr>
          <w:lang w:val="fr-FR"/>
        </w:rPr>
        <w:t xml:space="preserve"> les </w:t>
      </w:r>
      <w:r w:rsidRPr="00F1660D">
        <w:rPr>
          <w:lang w:val="fr-FR"/>
        </w:rPr>
        <w:t>parties prenantes, de sorte que</w:t>
      </w:r>
      <w:r w:rsidR="00A50629" w:rsidRPr="00F1660D">
        <w:rPr>
          <w:lang w:val="fr-FR"/>
        </w:rPr>
        <w:t xml:space="preserve"> les </w:t>
      </w:r>
      <w:r w:rsidRPr="00F1660D">
        <w:rPr>
          <w:lang w:val="fr-FR"/>
        </w:rPr>
        <w:t>intérêts</w:t>
      </w:r>
      <w:r w:rsidR="00A50629" w:rsidRPr="00F1660D">
        <w:rPr>
          <w:lang w:val="fr-FR"/>
        </w:rPr>
        <w:t xml:space="preserve"> des </w:t>
      </w:r>
      <w:r w:rsidRPr="00F1660D">
        <w:rPr>
          <w:lang w:val="fr-FR"/>
        </w:rPr>
        <w:t>parties prenantes et services nationaux concernés soient représentés et</w:t>
      </w:r>
      <w:r w:rsidR="00A50629" w:rsidRPr="00F1660D">
        <w:rPr>
          <w:lang w:val="fr-FR"/>
        </w:rPr>
        <w:t xml:space="preserve"> les </w:t>
      </w:r>
      <w:r w:rsidRPr="00F1660D">
        <w:rPr>
          <w:lang w:val="fr-FR"/>
        </w:rPr>
        <w:t>aspects pertinents à tous</w:t>
      </w:r>
      <w:r w:rsidR="00A50629" w:rsidRPr="00F1660D">
        <w:rPr>
          <w:lang w:val="fr-FR"/>
        </w:rPr>
        <w:t xml:space="preserve"> les </w:t>
      </w:r>
      <w:r w:rsidRPr="00F1660D">
        <w:rPr>
          <w:lang w:val="fr-FR"/>
        </w:rPr>
        <w:t>domaines de fond traités ;</w:t>
      </w:r>
    </w:p>
    <w:p w14:paraId="19E1FDB4" w14:textId="56AC9FD2" w:rsidR="001420CF" w:rsidRPr="00F1660D" w:rsidRDefault="001420CF" w:rsidP="001420CF">
      <w:pPr>
        <w:pStyle w:val="NormalNonumber"/>
        <w:ind w:left="2381" w:hanging="1134"/>
        <w:rPr>
          <w:lang w:val="fr-FR"/>
        </w:rPr>
      </w:pPr>
      <w:r w:rsidRPr="00F1660D">
        <w:rPr>
          <w:lang w:val="fr-FR"/>
        </w:rPr>
        <w:tab/>
        <w:t>ii)</w:t>
      </w:r>
      <w:r w:rsidRPr="00F1660D">
        <w:rPr>
          <w:lang w:val="fr-FR"/>
        </w:rPr>
        <w:tab/>
        <w:t>Pour faciliter</w:t>
      </w:r>
      <w:r w:rsidR="00A50629" w:rsidRPr="00F1660D">
        <w:rPr>
          <w:lang w:val="fr-FR"/>
        </w:rPr>
        <w:t xml:space="preserve"> la </w:t>
      </w:r>
      <w:r w:rsidRPr="00F1660D">
        <w:rPr>
          <w:lang w:val="fr-FR"/>
        </w:rPr>
        <w:t>communication, à l’échelle nationale et internationale, chaque gouvernement [devrait désigner ou mettre en place un réseau] [nommer deux</w:t>
      </w:r>
      <w:r w:rsidR="005F6127" w:rsidRPr="00F1660D">
        <w:rPr>
          <w:lang w:val="fr-FR"/>
        </w:rPr>
        <w:t> </w:t>
      </w:r>
      <w:r w:rsidRPr="00F1660D">
        <w:rPr>
          <w:lang w:val="fr-FR"/>
        </w:rPr>
        <w:t>correspondants nationaux, l’un chargé</w:t>
      </w:r>
      <w:r w:rsidR="00A50629" w:rsidRPr="00F1660D">
        <w:rPr>
          <w:lang w:val="fr-FR"/>
        </w:rPr>
        <w:t xml:space="preserve"> des </w:t>
      </w:r>
      <w:r w:rsidRPr="00F1660D">
        <w:rPr>
          <w:lang w:val="fr-FR"/>
        </w:rPr>
        <w:t>questions politiques et l’autre</w:t>
      </w:r>
      <w:r w:rsidR="00A50629" w:rsidRPr="00F1660D">
        <w:rPr>
          <w:lang w:val="fr-FR"/>
        </w:rPr>
        <w:t xml:space="preserve"> des </w:t>
      </w:r>
      <w:r w:rsidRPr="00F1660D">
        <w:rPr>
          <w:lang w:val="fr-FR"/>
        </w:rPr>
        <w:t>questions techniques] [en vue de communiquer</w:t>
      </w:r>
      <w:r w:rsidR="00A50629" w:rsidRPr="00F1660D">
        <w:rPr>
          <w:lang w:val="fr-FR"/>
        </w:rPr>
        <w:t xml:space="preserve"> des </w:t>
      </w:r>
      <w:r w:rsidRPr="00F1660D">
        <w:rPr>
          <w:lang w:val="fr-FR"/>
        </w:rPr>
        <w:t>informations relatives à l’Approche stratégique et d’élaborer un réseau</w:t>
      </w:r>
      <w:r w:rsidR="00A50629" w:rsidRPr="00F1660D">
        <w:rPr>
          <w:lang w:val="fr-FR"/>
        </w:rPr>
        <w:t xml:space="preserve"> des </w:t>
      </w:r>
      <w:r w:rsidRPr="00F1660D">
        <w:rPr>
          <w:lang w:val="fr-FR"/>
        </w:rPr>
        <w:t>coordonnateurs</w:t>
      </w:r>
      <w:r w:rsidR="00A50629" w:rsidRPr="00F1660D">
        <w:rPr>
          <w:lang w:val="fr-FR"/>
        </w:rPr>
        <w:t xml:space="preserve"> au </w:t>
      </w:r>
      <w:r w:rsidRPr="00F1660D">
        <w:rPr>
          <w:lang w:val="fr-FR"/>
        </w:rPr>
        <w:t>niveau national] qui représentent</w:t>
      </w:r>
      <w:r w:rsidR="00A50629" w:rsidRPr="00F1660D">
        <w:rPr>
          <w:lang w:val="fr-FR"/>
        </w:rPr>
        <w:t xml:space="preserve"> la </w:t>
      </w:r>
      <w:r w:rsidRPr="00F1660D">
        <w:rPr>
          <w:lang w:val="fr-FR"/>
        </w:rPr>
        <w:t>nature multipartite et multisectorielle de [l’Approche stratégique] [l’instrument, à</w:t>
      </w:r>
      <w:r w:rsidR="00A50629" w:rsidRPr="00F1660D">
        <w:rPr>
          <w:lang w:val="fr-FR"/>
        </w:rPr>
        <w:t xml:space="preserve"> des </w:t>
      </w:r>
      <w:r w:rsidRPr="00F1660D">
        <w:rPr>
          <w:lang w:val="fr-FR"/>
        </w:rPr>
        <w:t>fins de communication sur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Cela passerait notamment par</w:t>
      </w:r>
      <w:r w:rsidR="00A50629" w:rsidRPr="00F1660D">
        <w:rPr>
          <w:lang w:val="fr-FR"/>
        </w:rPr>
        <w:t xml:space="preserve"> des </w:t>
      </w:r>
      <w:r w:rsidRPr="00F1660D">
        <w:rPr>
          <w:lang w:val="fr-FR"/>
        </w:rPr>
        <w:t>invitations à participer à</w:t>
      </w:r>
      <w:r w:rsidR="00A50629" w:rsidRPr="00F1660D">
        <w:rPr>
          <w:lang w:val="fr-FR"/>
        </w:rPr>
        <w:t xml:space="preserve"> des </w:t>
      </w:r>
      <w:r w:rsidRPr="00F1660D">
        <w:rPr>
          <w:lang w:val="fr-FR"/>
        </w:rPr>
        <w:t>réunions et à diffuser</w:t>
      </w:r>
      <w:r w:rsidR="00A50629" w:rsidRPr="00F1660D">
        <w:rPr>
          <w:lang w:val="fr-FR"/>
        </w:rPr>
        <w:t xml:space="preserve"> des </w:t>
      </w:r>
      <w:r w:rsidRPr="00F1660D">
        <w:rPr>
          <w:lang w:val="fr-FR"/>
        </w:rPr>
        <w:t>informations.</w:t>
      </w:r>
      <w:r w:rsidR="00A50629" w:rsidRPr="00F1660D">
        <w:rPr>
          <w:lang w:val="fr-FR"/>
        </w:rPr>
        <w:t xml:space="preserve"> Les </w:t>
      </w:r>
      <w:r w:rsidRPr="00F1660D">
        <w:rPr>
          <w:lang w:val="fr-FR"/>
        </w:rPr>
        <w:t>correspondants nationaux devraient être représentatifs</w:t>
      </w:r>
      <w:r w:rsidR="00A50629" w:rsidRPr="00F1660D">
        <w:rPr>
          <w:lang w:val="fr-FR"/>
        </w:rPr>
        <w:t xml:space="preserve"> des </w:t>
      </w:r>
      <w:r w:rsidRPr="00F1660D">
        <w:rPr>
          <w:lang w:val="fr-FR"/>
        </w:rPr>
        <w:t>arrangements interministériels ou interinstitutionnels mis en place</w:t>
      </w:r>
      <w:r w:rsidR="00A50629" w:rsidRPr="00F1660D">
        <w:rPr>
          <w:lang w:val="fr-FR"/>
        </w:rPr>
        <w:t xml:space="preserve"> au </w:t>
      </w:r>
      <w:r w:rsidRPr="00F1660D">
        <w:rPr>
          <w:lang w:val="fr-FR"/>
        </w:rPr>
        <w:t>niveau</w:t>
      </w:r>
      <w:r w:rsidR="00A50629" w:rsidRPr="00F1660D">
        <w:rPr>
          <w:lang w:val="fr-FR"/>
        </w:rPr>
        <w:t xml:space="preserve"> des </w:t>
      </w:r>
      <w:r w:rsidRPr="00F1660D">
        <w:rPr>
          <w:lang w:val="fr-FR"/>
        </w:rPr>
        <w:t>pays, lorsque de tels arrangements existent ;</w:t>
      </w:r>
    </w:p>
    <w:p w14:paraId="0DCE98CB" w14:textId="64F89504" w:rsidR="001420CF" w:rsidRPr="00F1660D" w:rsidRDefault="001420CF" w:rsidP="001420CF">
      <w:pPr>
        <w:pStyle w:val="NormalNonumber"/>
        <w:ind w:left="2381" w:hanging="1134"/>
        <w:rPr>
          <w:lang w:val="fr-FR"/>
        </w:rPr>
      </w:pPr>
      <w:r w:rsidRPr="00F1660D">
        <w:rPr>
          <w:lang w:val="fr-FR"/>
        </w:rPr>
        <w:tab/>
        <w:t>iii)</w:t>
      </w:r>
      <w:r w:rsidRPr="00F1660D">
        <w:rPr>
          <w:lang w:val="fr-FR"/>
        </w:rPr>
        <w:tab/>
        <w:t>Pour appuyer une application effective,</w:t>
      </w:r>
      <w:r w:rsidR="00A50629" w:rsidRPr="00F1660D">
        <w:rPr>
          <w:lang w:val="fr-FR"/>
        </w:rPr>
        <w:t xml:space="preserve"> des </w:t>
      </w:r>
      <w:r w:rsidRPr="00F1660D">
        <w:rPr>
          <w:lang w:val="fr-FR"/>
        </w:rPr>
        <w:t>efforts plus soutenus sont nécessaires afin de garantir que</w:t>
      </w:r>
      <w:r w:rsidR="00A50629" w:rsidRPr="00F1660D">
        <w:rPr>
          <w:lang w:val="fr-FR"/>
        </w:rPr>
        <w:t xml:space="preserve"> la </w:t>
      </w:r>
      <w:r w:rsidRPr="00F1660D">
        <w:rPr>
          <w:lang w:val="fr-FR"/>
        </w:rPr>
        <w:t>mise en œuvre</w:t>
      </w:r>
      <w:r w:rsidR="00A50629" w:rsidRPr="00F1660D">
        <w:rPr>
          <w:lang w:val="fr-FR"/>
        </w:rPr>
        <w:t xml:space="preserve"> au </w:t>
      </w:r>
      <w:r w:rsidRPr="00F1660D">
        <w:rPr>
          <w:lang w:val="fr-FR"/>
        </w:rPr>
        <w:t>niveau national fait intervenir un éventail approprié de parties prenantes et de secteurs (par exemple,</w:t>
      </w:r>
      <w:r w:rsidR="00A50629" w:rsidRPr="00F1660D">
        <w:rPr>
          <w:lang w:val="fr-FR"/>
        </w:rPr>
        <w:t xml:space="preserve"> les </w:t>
      </w:r>
      <w:r w:rsidRPr="00F1660D">
        <w:rPr>
          <w:lang w:val="fr-FR"/>
        </w:rPr>
        <w:t>secteurs de</w:t>
      </w:r>
      <w:r w:rsidR="00A50629" w:rsidRPr="00F1660D">
        <w:rPr>
          <w:lang w:val="fr-FR"/>
        </w:rPr>
        <w:t xml:space="preserve"> la </w:t>
      </w:r>
      <w:r w:rsidRPr="00F1660D">
        <w:rPr>
          <w:lang w:val="fr-FR"/>
        </w:rPr>
        <w:t>santé, [de l’environnement,] de l’agriculture et du travail) pour traiter</w:t>
      </w:r>
      <w:r w:rsidR="00A50629" w:rsidRPr="00F1660D">
        <w:rPr>
          <w:lang w:val="fr-FR"/>
        </w:rPr>
        <w:t xml:space="preserve"> les </w:t>
      </w:r>
      <w:r w:rsidRPr="00F1660D">
        <w:rPr>
          <w:lang w:val="fr-FR"/>
        </w:rPr>
        <w:t>priorités nationales.</w:t>
      </w:r>
    </w:p>
    <w:p w14:paraId="49C85247" w14:textId="0267BB32" w:rsidR="001420CF" w:rsidRPr="00F1660D" w:rsidRDefault="001420CF" w:rsidP="001420CF">
      <w:pPr>
        <w:pStyle w:val="NormalNonumber"/>
        <w:ind w:left="2381" w:hanging="1134"/>
        <w:rPr>
          <w:lang w:val="fr-FR"/>
        </w:rPr>
      </w:pPr>
      <w:r w:rsidRPr="00F1660D">
        <w:rPr>
          <w:lang w:val="fr-FR"/>
        </w:rPr>
        <w:tab/>
        <w:t>iv)</w:t>
      </w:r>
      <w:r w:rsidRPr="00F1660D">
        <w:rPr>
          <w:lang w:val="fr-FR"/>
        </w:rPr>
        <w:tab/>
        <w:t>[Communication d’informations concernant</w:t>
      </w:r>
      <w:r w:rsidR="00A50629" w:rsidRPr="00F1660D">
        <w:rPr>
          <w:lang w:val="fr-FR"/>
        </w:rPr>
        <w:t xml:space="preserve"> les </w:t>
      </w:r>
      <w:r w:rsidRPr="00F1660D">
        <w:rPr>
          <w:lang w:val="fr-FR"/>
        </w:rPr>
        <w:t>plans nationaux]</w:t>
      </w:r>
    </w:p>
    <w:p w14:paraId="25093FEB" w14:textId="6DE9D688" w:rsidR="001420CF" w:rsidRPr="00F1660D" w:rsidRDefault="001420CF" w:rsidP="001420CF">
      <w:pPr>
        <w:pStyle w:val="NormalNonumber"/>
        <w:ind w:left="2381" w:hanging="1134"/>
        <w:rPr>
          <w:lang w:val="fr-FR"/>
        </w:rPr>
      </w:pPr>
      <w:r w:rsidRPr="00F1660D">
        <w:rPr>
          <w:lang w:val="fr-FR"/>
        </w:rPr>
        <w:tab/>
      </w:r>
      <w:r w:rsidRPr="00F1660D">
        <w:rPr>
          <w:lang w:val="fr-FR"/>
        </w:rPr>
        <w:tab/>
        <w:t>[</w:t>
      </w:r>
      <w:proofErr w:type="gramStart"/>
      <w:r w:rsidRPr="00F1660D">
        <w:rPr>
          <w:lang w:val="fr-FR"/>
        </w:rPr>
        <w:t>iv</w:t>
      </w:r>
      <w:proofErr w:type="gramEnd"/>
      <w:r w:rsidRPr="00F1660D">
        <w:rPr>
          <w:lang w:val="fr-FR"/>
        </w:rPr>
        <w:t>) Tous</w:t>
      </w:r>
      <w:r w:rsidR="00A50629" w:rsidRPr="00F1660D">
        <w:rPr>
          <w:lang w:val="fr-FR"/>
        </w:rPr>
        <w:t xml:space="preserve"> les </w:t>
      </w:r>
      <w:r w:rsidRPr="00F1660D">
        <w:rPr>
          <w:lang w:val="fr-FR"/>
        </w:rPr>
        <w:t>acteurs et</w:t>
      </w:r>
      <w:r w:rsidR="00A50629" w:rsidRPr="00F1660D">
        <w:rPr>
          <w:lang w:val="fr-FR"/>
        </w:rPr>
        <w:t xml:space="preserve"> les </w:t>
      </w:r>
      <w:r w:rsidRPr="00F1660D">
        <w:rPr>
          <w:lang w:val="fr-FR"/>
        </w:rPr>
        <w:t>parties prenantes devraient prendre</w:t>
      </w:r>
      <w:r w:rsidR="00A50629" w:rsidRPr="00F1660D">
        <w:rPr>
          <w:lang w:val="fr-FR"/>
        </w:rPr>
        <w:t xml:space="preserve"> des </w:t>
      </w:r>
      <w:r w:rsidRPr="00F1660D">
        <w:rPr>
          <w:lang w:val="fr-FR"/>
        </w:rPr>
        <w:t>mesures pour veiller à faire progresser</w:t>
      </w:r>
      <w:r w:rsidR="00A50629" w:rsidRPr="00F1660D">
        <w:rPr>
          <w:lang w:val="fr-FR"/>
        </w:rPr>
        <w:t xml:space="preserve"> la </w:t>
      </w:r>
      <w:r w:rsidRPr="00F1660D">
        <w:rPr>
          <w:lang w:val="fr-FR"/>
        </w:rPr>
        <w:t>réalisation</w:t>
      </w:r>
      <w:r w:rsidR="00A50629" w:rsidRPr="00F1660D">
        <w:rPr>
          <w:lang w:val="fr-FR"/>
        </w:rPr>
        <w:t xml:space="preserve"> des </w:t>
      </w:r>
      <w:r w:rsidRPr="00F1660D">
        <w:rPr>
          <w:lang w:val="fr-FR"/>
        </w:rPr>
        <w:t>cibles aux niveaux national et sous-national.]</w:t>
      </w:r>
    </w:p>
    <w:p w14:paraId="6EE5D0D7" w14:textId="77777777" w:rsidR="001420CF" w:rsidRPr="00F1660D" w:rsidRDefault="001420CF" w:rsidP="001420CF">
      <w:pPr>
        <w:pStyle w:val="CH3"/>
        <w:rPr>
          <w:lang w:val="fr-FR"/>
        </w:rPr>
      </w:pPr>
      <w:r w:rsidRPr="00F1660D">
        <w:rPr>
          <w:lang w:val="fr-FR"/>
        </w:rPr>
        <w:tab/>
        <w:t>3.</w:t>
      </w:r>
      <w:r w:rsidRPr="00F1660D">
        <w:rPr>
          <w:lang w:val="fr-FR"/>
        </w:rPr>
        <w:tab/>
        <w:t>Coopération et coordination sectorielles [internationales,] régionales [et sous-régionales]</w:t>
      </w:r>
    </w:p>
    <w:p w14:paraId="0189CA56" w14:textId="4CA95CD7" w:rsidR="001420CF" w:rsidRPr="00F1660D" w:rsidRDefault="001420CF" w:rsidP="001420CF">
      <w:pPr>
        <w:pStyle w:val="NormalNonumber"/>
        <w:ind w:left="2381" w:hanging="1134"/>
        <w:rPr>
          <w:lang w:val="fr-FR"/>
        </w:rPr>
      </w:pPr>
      <w:r w:rsidRPr="00F1660D">
        <w:rPr>
          <w:lang w:val="fr-FR"/>
        </w:rPr>
        <w:tab/>
        <w:t>i)</w:t>
      </w:r>
      <w:r w:rsidRPr="00F1660D">
        <w:rPr>
          <w:lang w:val="fr-FR"/>
        </w:rPr>
        <w:tab/>
        <w:t>Les priorités et</w:t>
      </w:r>
      <w:r w:rsidR="00A50629" w:rsidRPr="00F1660D">
        <w:rPr>
          <w:lang w:val="fr-FR"/>
        </w:rPr>
        <w:t xml:space="preserve"> les </w:t>
      </w:r>
      <w:r w:rsidRPr="00F1660D">
        <w:rPr>
          <w:lang w:val="fr-FR"/>
        </w:rPr>
        <w:t>capacités de mise en œuvre varient entre</w:t>
      </w:r>
      <w:r w:rsidR="00A50629" w:rsidRPr="00F1660D">
        <w:rPr>
          <w:lang w:val="fr-FR"/>
        </w:rPr>
        <w:t xml:space="preserve"> les </w:t>
      </w:r>
      <w:r w:rsidRPr="00F1660D">
        <w:rPr>
          <w:lang w:val="fr-FR"/>
        </w:rPr>
        <w:t xml:space="preserve">régions [,] [et] </w:t>
      </w:r>
      <w:r w:rsidRPr="00F1660D">
        <w:rPr>
          <w:lang w:val="fr-FR"/>
        </w:rPr>
        <w:br/>
        <w:t>les sous-régions [et</w:t>
      </w:r>
      <w:r w:rsidR="00A50629" w:rsidRPr="00F1660D">
        <w:rPr>
          <w:lang w:val="fr-FR"/>
        </w:rPr>
        <w:t xml:space="preserve"> les </w:t>
      </w:r>
      <w:r w:rsidRPr="00F1660D">
        <w:rPr>
          <w:lang w:val="fr-FR"/>
        </w:rPr>
        <w:t>pays], selon leur situation économique et autres considérations ;</w:t>
      </w:r>
    </w:p>
    <w:p w14:paraId="1E23ED08" w14:textId="1602FC26" w:rsidR="001420CF" w:rsidRPr="00F1660D" w:rsidRDefault="001420CF" w:rsidP="001420CF">
      <w:pPr>
        <w:pStyle w:val="NormalNonumber"/>
        <w:ind w:left="2381" w:hanging="1134"/>
        <w:rPr>
          <w:lang w:val="fr-FR"/>
        </w:rPr>
      </w:pPr>
      <w:r w:rsidRPr="00F1660D">
        <w:rPr>
          <w:lang w:val="fr-FR"/>
        </w:rPr>
        <w:tab/>
        <w:t>ii)</w:t>
      </w:r>
      <w:r w:rsidRPr="00F1660D">
        <w:rPr>
          <w:lang w:val="fr-FR"/>
        </w:rPr>
        <w:tab/>
        <w:t>La collaboration [internationale,] régionale, interrégionale et intersectorielle joue un rôle crucial dans l’appui à 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à tous</w:t>
      </w:r>
      <w:r w:rsidR="00A50629" w:rsidRPr="00F1660D">
        <w:rPr>
          <w:lang w:val="fr-FR"/>
        </w:rPr>
        <w:t xml:space="preserve"> les </w:t>
      </w:r>
      <w:r w:rsidRPr="00F1660D">
        <w:rPr>
          <w:lang w:val="fr-FR"/>
        </w:rPr>
        <w:t>niveaux,</w:t>
      </w:r>
      <w:r w:rsidR="00A50629" w:rsidRPr="00F1660D">
        <w:rPr>
          <w:lang w:val="fr-FR"/>
        </w:rPr>
        <w:t xml:space="preserve"> y </w:t>
      </w:r>
      <w:r w:rsidRPr="00F1660D">
        <w:rPr>
          <w:lang w:val="fr-FR"/>
        </w:rPr>
        <w:t>compris entre</w:t>
      </w:r>
      <w:r w:rsidR="00A50629" w:rsidRPr="00F1660D">
        <w:rPr>
          <w:lang w:val="fr-FR"/>
        </w:rPr>
        <w:t xml:space="preserve"> les </w:t>
      </w:r>
      <w:r w:rsidRPr="00F1660D">
        <w:rPr>
          <w:lang w:val="fr-FR"/>
        </w:rPr>
        <w:t>partenaires commerciaux et d’autres organisations régionales ;</w:t>
      </w:r>
    </w:p>
    <w:p w14:paraId="634910B1" w14:textId="48BC04C1" w:rsidR="001420CF" w:rsidRPr="00F1660D" w:rsidRDefault="001420CF" w:rsidP="001420CF">
      <w:pPr>
        <w:pStyle w:val="NormalNonumber"/>
        <w:ind w:left="2381" w:hanging="1134"/>
        <w:rPr>
          <w:lang w:val="fr-FR"/>
        </w:rPr>
      </w:pPr>
      <w:r w:rsidRPr="00F1660D">
        <w:rPr>
          <w:lang w:val="fr-FR"/>
        </w:rPr>
        <w:tab/>
        <w:t>iii)</w:t>
      </w:r>
      <w:r w:rsidRPr="00F1660D">
        <w:rPr>
          <w:lang w:val="fr-FR"/>
        </w:rPr>
        <w:tab/>
        <w:t>Les réunions et mécanismes de coordination [internationaux et] régionaux contribuent grandement à l’échange, entre</w:t>
      </w:r>
      <w:r w:rsidR="00A50629" w:rsidRPr="00F1660D">
        <w:rPr>
          <w:lang w:val="fr-FR"/>
        </w:rPr>
        <w:t xml:space="preserve"> les </w:t>
      </w:r>
      <w:r w:rsidRPr="00F1660D">
        <w:rPr>
          <w:lang w:val="fr-FR"/>
        </w:rPr>
        <w:t>parties prenantes de chaque région, de données d’expérience et à l’identification</w:t>
      </w:r>
      <w:r w:rsidR="00A50629" w:rsidRPr="00F1660D">
        <w:rPr>
          <w:lang w:val="fr-FR"/>
        </w:rPr>
        <w:t xml:space="preserve"> des </w:t>
      </w:r>
      <w:r w:rsidRPr="00F1660D">
        <w:rPr>
          <w:lang w:val="fr-FR"/>
        </w:rPr>
        <w:t>besoins prioritaires relatifs à</w:t>
      </w:r>
      <w:r w:rsidR="00A50629" w:rsidRPr="00F1660D">
        <w:rPr>
          <w:lang w:val="fr-FR"/>
        </w:rPr>
        <w:t xml:space="preserve"> la </w:t>
      </w:r>
      <w:r w:rsidRPr="00F1660D">
        <w:rPr>
          <w:lang w:val="fr-FR"/>
        </w:rPr>
        <w:t>mise en œuvre, ainsi qu’à</w:t>
      </w:r>
      <w:r w:rsidR="00A50629" w:rsidRPr="00F1660D">
        <w:rPr>
          <w:lang w:val="fr-FR"/>
        </w:rPr>
        <w:t xml:space="preserve"> la </w:t>
      </w:r>
      <w:r w:rsidRPr="00F1660D">
        <w:rPr>
          <w:lang w:val="fr-FR"/>
        </w:rPr>
        <w:t>formulation</w:t>
      </w:r>
      <w:r w:rsidR="00A50629" w:rsidRPr="00F1660D">
        <w:rPr>
          <w:lang w:val="fr-FR"/>
        </w:rPr>
        <w:t xml:space="preserve"> des </w:t>
      </w:r>
      <w:r w:rsidRPr="00F1660D">
        <w:rPr>
          <w:lang w:val="fr-FR"/>
        </w:rPr>
        <w:t>positions régionales sur</w:t>
      </w:r>
      <w:r w:rsidR="00A50629" w:rsidRPr="00F1660D">
        <w:rPr>
          <w:lang w:val="fr-FR"/>
        </w:rPr>
        <w:t xml:space="preserve"> des </w:t>
      </w:r>
      <w:r w:rsidRPr="00F1660D">
        <w:rPr>
          <w:lang w:val="fr-FR"/>
        </w:rPr>
        <w:t>questions clefs ;</w:t>
      </w:r>
    </w:p>
    <w:p w14:paraId="051231E8" w14:textId="5DBB6696" w:rsidR="001420CF" w:rsidRPr="00F1660D" w:rsidRDefault="001420CF" w:rsidP="001420CF">
      <w:pPr>
        <w:pStyle w:val="NormalNonumber"/>
        <w:ind w:left="2381" w:hanging="1134"/>
        <w:rPr>
          <w:lang w:val="fr-FR"/>
        </w:rPr>
      </w:pPr>
      <w:r w:rsidRPr="00F1660D">
        <w:rPr>
          <w:lang w:val="fr-FR"/>
        </w:rPr>
        <w:tab/>
        <w:t>iv)</w:t>
      </w:r>
      <w:r w:rsidRPr="00F1660D">
        <w:rPr>
          <w:lang w:val="fr-FR"/>
        </w:rPr>
        <w:tab/>
        <w:t>Les régions [,] [et]</w:t>
      </w:r>
      <w:r w:rsidR="00A50629" w:rsidRPr="00F1660D">
        <w:rPr>
          <w:lang w:val="fr-FR"/>
        </w:rPr>
        <w:t xml:space="preserve"> les </w:t>
      </w:r>
      <w:r w:rsidRPr="00F1660D">
        <w:rPr>
          <w:lang w:val="fr-FR"/>
        </w:rPr>
        <w:t>sous-régions [et</w:t>
      </w:r>
      <w:r w:rsidR="00A50629" w:rsidRPr="00F1660D">
        <w:rPr>
          <w:lang w:val="fr-FR"/>
        </w:rPr>
        <w:t xml:space="preserve"> les </w:t>
      </w:r>
      <w:r w:rsidRPr="00F1660D">
        <w:rPr>
          <w:lang w:val="fr-FR"/>
        </w:rPr>
        <w:t>pays] sont encouragé[e]s, selon qu’il convient, à :</w:t>
      </w:r>
    </w:p>
    <w:p w14:paraId="261133C0" w14:textId="44D7A605" w:rsidR="001420CF" w:rsidRPr="00F1660D" w:rsidRDefault="001420CF" w:rsidP="001420CF">
      <w:pPr>
        <w:pStyle w:val="NormalNonumber"/>
        <w:ind w:left="2381" w:hanging="1134"/>
        <w:rPr>
          <w:lang w:val="fr-FR"/>
        </w:rPr>
      </w:pPr>
      <w:r w:rsidRPr="00F1660D">
        <w:rPr>
          <w:lang w:val="fr-FR"/>
        </w:rPr>
        <w:tab/>
      </w:r>
      <w:r w:rsidRPr="00F1660D">
        <w:rPr>
          <w:lang w:val="fr-FR"/>
        </w:rPr>
        <w:tab/>
        <w:t>a.</w:t>
      </w:r>
      <w:r w:rsidRPr="00F1660D">
        <w:rPr>
          <w:lang w:val="fr-FR"/>
        </w:rPr>
        <w:tab/>
        <w:t>Recenser</w:t>
      </w:r>
      <w:r w:rsidR="00A50629" w:rsidRPr="00F1660D">
        <w:rPr>
          <w:lang w:val="fr-FR"/>
        </w:rPr>
        <w:t xml:space="preserve"> les </w:t>
      </w:r>
      <w:r w:rsidRPr="00F1660D">
        <w:rPr>
          <w:lang w:val="fr-FR"/>
        </w:rPr>
        <w:t xml:space="preserve">priorités communes ; </w:t>
      </w:r>
    </w:p>
    <w:p w14:paraId="7CFB1581" w14:textId="13B9111C" w:rsidR="001420CF" w:rsidRPr="00F1660D" w:rsidRDefault="001420CF" w:rsidP="001420CF">
      <w:pPr>
        <w:pStyle w:val="NormalNonumber"/>
        <w:ind w:left="2948" w:hanging="1701"/>
        <w:rPr>
          <w:lang w:val="fr-FR"/>
        </w:rPr>
      </w:pPr>
      <w:r w:rsidRPr="00F1660D">
        <w:rPr>
          <w:lang w:val="fr-FR"/>
        </w:rPr>
        <w:tab/>
      </w:r>
      <w:r w:rsidRPr="00F1660D">
        <w:rPr>
          <w:lang w:val="fr-FR"/>
        </w:rPr>
        <w:tab/>
      </w:r>
      <w:r w:rsidRPr="00F1660D">
        <w:rPr>
          <w:lang w:val="fr-FR"/>
        </w:rPr>
        <w:tab/>
        <w:t>b.</w:t>
      </w:r>
      <w:r w:rsidRPr="00F1660D">
        <w:rPr>
          <w:lang w:val="fr-FR"/>
        </w:rPr>
        <w:tab/>
        <w:t>Élaborer</w:t>
      </w:r>
      <w:r w:rsidR="00A50629" w:rsidRPr="00F1660D">
        <w:rPr>
          <w:lang w:val="fr-FR"/>
        </w:rPr>
        <w:t xml:space="preserve"> des </w:t>
      </w:r>
      <w:r w:rsidRPr="00F1660D">
        <w:rPr>
          <w:lang w:val="fr-FR"/>
        </w:rPr>
        <w:t>plans régionaux de mise en œuvre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et envisager</w:t>
      </w:r>
      <w:r w:rsidR="00A50629" w:rsidRPr="00F1660D">
        <w:rPr>
          <w:lang w:val="fr-FR"/>
        </w:rPr>
        <w:t xml:space="preserve"> des </w:t>
      </w:r>
      <w:r w:rsidRPr="00F1660D">
        <w:rPr>
          <w:lang w:val="fr-FR"/>
        </w:rPr>
        <w:t>approches et projets régionaux ou sous-régionaux ;</w:t>
      </w:r>
    </w:p>
    <w:p w14:paraId="4774DE03" w14:textId="77777777" w:rsidR="001420CF" w:rsidRPr="00F1660D" w:rsidRDefault="001420CF" w:rsidP="001420CF">
      <w:pPr>
        <w:pStyle w:val="ListParagraph"/>
        <w:numPr>
          <w:ilvl w:val="1"/>
          <w:numId w:val="6"/>
        </w:numPr>
        <w:tabs>
          <w:tab w:val="clear" w:pos="1247"/>
          <w:tab w:val="clear" w:pos="1814"/>
          <w:tab w:val="clear" w:pos="2381"/>
          <w:tab w:val="clear" w:pos="2948"/>
          <w:tab w:val="clear" w:pos="3515"/>
        </w:tabs>
        <w:autoSpaceDE w:val="0"/>
        <w:autoSpaceDN w:val="0"/>
        <w:adjustRightInd w:val="0"/>
        <w:spacing w:after="120"/>
        <w:ind w:left="2730" w:hanging="392"/>
        <w:contextualSpacing w:val="0"/>
      </w:pPr>
      <w:r w:rsidRPr="00F1660D">
        <w:t>Nommer un correspondant régional.</w:t>
      </w:r>
    </w:p>
    <w:p w14:paraId="69760582" w14:textId="6A840F00" w:rsidR="001420CF" w:rsidRPr="00F1660D" w:rsidRDefault="001420CF" w:rsidP="001420CF">
      <w:pPr>
        <w:pStyle w:val="NormalNonumber"/>
        <w:ind w:left="2381" w:hanging="1134"/>
        <w:rPr>
          <w:lang w:val="fr-FR"/>
        </w:rPr>
      </w:pPr>
      <w:r w:rsidRPr="00F1660D">
        <w:rPr>
          <w:lang w:val="fr-FR"/>
        </w:rPr>
        <w:tab/>
        <w:t>v)</w:t>
      </w:r>
      <w:r w:rsidRPr="00F1660D">
        <w:rPr>
          <w:lang w:val="fr-FR"/>
        </w:rPr>
        <w:tab/>
        <w:t>Les correspondants régionaux doivent jouer un rôle de facilitateur dans leur région respective, notamment en entreprenant</w:t>
      </w:r>
      <w:r w:rsidR="00A50629" w:rsidRPr="00F1660D">
        <w:rPr>
          <w:lang w:val="fr-FR"/>
        </w:rPr>
        <w:t xml:space="preserve"> des </w:t>
      </w:r>
      <w:r w:rsidRPr="00F1660D">
        <w:rPr>
          <w:lang w:val="fr-FR"/>
        </w:rPr>
        <w:t>activités définies</w:t>
      </w:r>
      <w:r w:rsidR="00A50629" w:rsidRPr="00F1660D">
        <w:rPr>
          <w:lang w:val="fr-FR"/>
        </w:rPr>
        <w:t xml:space="preserve"> au </w:t>
      </w:r>
      <w:r w:rsidRPr="00F1660D">
        <w:rPr>
          <w:lang w:val="fr-FR"/>
        </w:rPr>
        <w:t>niveau régional, comme présider</w:t>
      </w:r>
      <w:r w:rsidR="00A50629" w:rsidRPr="00F1660D">
        <w:rPr>
          <w:lang w:val="fr-FR"/>
        </w:rPr>
        <w:t xml:space="preserve"> les </w:t>
      </w:r>
      <w:r w:rsidRPr="00F1660D">
        <w:rPr>
          <w:lang w:val="fr-FR"/>
        </w:rPr>
        <w:t>réunions régionales, diffuser</w:t>
      </w:r>
      <w:r w:rsidR="00A50629" w:rsidRPr="00F1660D">
        <w:rPr>
          <w:lang w:val="fr-FR"/>
        </w:rPr>
        <w:t xml:space="preserve"> les </w:t>
      </w:r>
      <w:r w:rsidRPr="00F1660D">
        <w:rPr>
          <w:lang w:val="fr-FR"/>
        </w:rPr>
        <w:t>informations présentant un intérêt pour</w:t>
      </w:r>
      <w:r w:rsidR="00A50629" w:rsidRPr="00F1660D">
        <w:rPr>
          <w:lang w:val="fr-FR"/>
        </w:rPr>
        <w:t xml:space="preserve"> les </w:t>
      </w:r>
      <w:r w:rsidRPr="00F1660D">
        <w:rPr>
          <w:lang w:val="fr-FR"/>
        </w:rPr>
        <w:t>correspondants</w:t>
      </w:r>
      <w:r w:rsidR="00A50629" w:rsidRPr="00F1660D">
        <w:rPr>
          <w:lang w:val="fr-FR"/>
        </w:rPr>
        <w:t xml:space="preserve"> au </w:t>
      </w:r>
      <w:r w:rsidRPr="00F1660D">
        <w:rPr>
          <w:lang w:val="fr-FR"/>
        </w:rPr>
        <w:t>sein de leur région, recueillir</w:t>
      </w:r>
      <w:r w:rsidR="00A50629" w:rsidRPr="00F1660D">
        <w:rPr>
          <w:lang w:val="fr-FR"/>
        </w:rPr>
        <w:t xml:space="preserve"> les </w:t>
      </w:r>
      <w:r w:rsidRPr="00F1660D">
        <w:rPr>
          <w:lang w:val="fr-FR"/>
        </w:rPr>
        <w:t>points de vue</w:t>
      </w:r>
      <w:r w:rsidR="00A50629" w:rsidRPr="00F1660D">
        <w:rPr>
          <w:lang w:val="fr-FR"/>
        </w:rPr>
        <w:t xml:space="preserve"> des </w:t>
      </w:r>
      <w:r w:rsidRPr="00F1660D">
        <w:rPr>
          <w:lang w:val="fr-FR"/>
        </w:rPr>
        <w:t>correspondants nationaux sur</w:t>
      </w:r>
      <w:r w:rsidR="00A50629" w:rsidRPr="00F1660D">
        <w:rPr>
          <w:lang w:val="fr-FR"/>
        </w:rPr>
        <w:t xml:space="preserve"> les </w:t>
      </w:r>
      <w:r w:rsidRPr="00F1660D">
        <w:rPr>
          <w:lang w:val="fr-FR"/>
        </w:rPr>
        <w:t>questions présentant un intérêt pour</w:t>
      </w:r>
      <w:r w:rsidR="00A50629" w:rsidRPr="00F1660D">
        <w:rPr>
          <w:lang w:val="fr-FR"/>
        </w:rPr>
        <w:t xml:space="preserve"> la </w:t>
      </w:r>
      <w:r w:rsidRPr="00F1660D">
        <w:rPr>
          <w:lang w:val="fr-FR"/>
        </w:rPr>
        <w:t>région, recenser</w:t>
      </w:r>
      <w:r w:rsidR="00A50629" w:rsidRPr="00F1660D">
        <w:rPr>
          <w:lang w:val="fr-FR"/>
        </w:rPr>
        <w:t xml:space="preserve"> les </w:t>
      </w:r>
      <w:r w:rsidRPr="00F1660D">
        <w:rPr>
          <w:lang w:val="fr-FR"/>
        </w:rPr>
        <w:t>possibilités de coopération régionale, favoriser</w:t>
      </w:r>
      <w:r w:rsidR="00A50629" w:rsidRPr="00F1660D">
        <w:rPr>
          <w:lang w:val="fr-FR"/>
        </w:rPr>
        <w:t xml:space="preserve"> le </w:t>
      </w:r>
      <w:r w:rsidRPr="00F1660D">
        <w:rPr>
          <w:lang w:val="fr-FR"/>
        </w:rPr>
        <w:t>flux d’informations et de points de vue de</w:t>
      </w:r>
      <w:r w:rsidR="00A50629" w:rsidRPr="00F1660D">
        <w:rPr>
          <w:lang w:val="fr-FR"/>
        </w:rPr>
        <w:t xml:space="preserve"> la </w:t>
      </w:r>
      <w:r w:rsidRPr="00F1660D">
        <w:rPr>
          <w:lang w:val="fr-FR"/>
        </w:rPr>
        <w:t>région vers</w:t>
      </w:r>
      <w:r w:rsidR="00A50629" w:rsidRPr="00F1660D">
        <w:rPr>
          <w:lang w:val="fr-FR"/>
        </w:rPr>
        <w:t xml:space="preserve"> le </w:t>
      </w:r>
      <w:r w:rsidRPr="00F1660D">
        <w:rPr>
          <w:lang w:val="fr-FR"/>
        </w:rPr>
        <w:t>membre correspondant du Bureau,</w:t>
      </w:r>
      <w:r w:rsidR="00A50629" w:rsidRPr="00F1660D">
        <w:rPr>
          <w:lang w:val="fr-FR"/>
        </w:rPr>
        <w:t xml:space="preserve"> le </w:t>
      </w:r>
      <w:r w:rsidRPr="00F1660D">
        <w:rPr>
          <w:lang w:val="fr-FR"/>
        </w:rPr>
        <w:t>cas échéant, et rendre compte régulièrement</w:t>
      </w:r>
      <w:r w:rsidR="00A50629" w:rsidRPr="00F1660D">
        <w:rPr>
          <w:lang w:val="fr-FR"/>
        </w:rPr>
        <w:t xml:space="preserve"> des </w:t>
      </w:r>
      <w:r w:rsidRPr="00F1660D">
        <w:rPr>
          <w:lang w:val="fr-FR"/>
        </w:rPr>
        <w:t>résultats</w:t>
      </w:r>
      <w:r w:rsidR="00A50629" w:rsidRPr="00F1660D">
        <w:rPr>
          <w:lang w:val="fr-FR"/>
        </w:rPr>
        <w:t xml:space="preserve"> des </w:t>
      </w:r>
      <w:r w:rsidRPr="00F1660D">
        <w:rPr>
          <w:lang w:val="fr-FR"/>
        </w:rPr>
        <w:t>réunions et autres activités régionales.</w:t>
      </w:r>
    </w:p>
    <w:p w14:paraId="6FBE460F" w14:textId="6FCF2C8A" w:rsidR="001420CF" w:rsidRPr="00F1660D" w:rsidRDefault="001420CF" w:rsidP="001420CF">
      <w:pPr>
        <w:pStyle w:val="CH3"/>
        <w:rPr>
          <w:lang w:val="fr-FR"/>
        </w:rPr>
      </w:pPr>
      <w:r w:rsidRPr="00F1660D">
        <w:rPr>
          <w:lang w:val="fr-FR"/>
        </w:rPr>
        <w:tab/>
        <w:t>4.</w:t>
      </w:r>
      <w:r w:rsidRPr="00F1660D">
        <w:rPr>
          <w:lang w:val="fr-FR"/>
        </w:rPr>
        <w:tab/>
        <w:t>Engagement</w:t>
      </w:r>
      <w:r w:rsidR="00A50629" w:rsidRPr="00F1660D">
        <w:rPr>
          <w:lang w:val="fr-FR"/>
        </w:rPr>
        <w:t xml:space="preserve"> des </w:t>
      </w:r>
      <w:r w:rsidRPr="00F1660D">
        <w:rPr>
          <w:lang w:val="fr-FR"/>
        </w:rPr>
        <w:t>organes intergouvernementaux,</w:t>
      </w:r>
      <w:r w:rsidR="00A50629" w:rsidRPr="00F1660D">
        <w:rPr>
          <w:lang w:val="fr-FR"/>
        </w:rPr>
        <w:t xml:space="preserve"> des </w:t>
      </w:r>
      <w:r w:rsidRPr="00F1660D">
        <w:rPr>
          <w:lang w:val="fr-FR"/>
        </w:rPr>
        <w:t xml:space="preserve">organisations internationales, du 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conventions relatives aux produits chimiques et aux déchets</w:t>
      </w:r>
    </w:p>
    <w:p w14:paraId="7192949F" w14:textId="2A0CD78E" w:rsidR="001420CF" w:rsidRPr="00F1660D" w:rsidRDefault="001420CF" w:rsidP="001420CF">
      <w:pPr>
        <w:pStyle w:val="NormalNonumber"/>
        <w:rPr>
          <w:lang w:val="fr-FR"/>
        </w:rPr>
      </w:pPr>
      <w:r w:rsidRPr="00F1660D">
        <w:rPr>
          <w:lang w:val="fr-FR"/>
        </w:rPr>
        <w:t>[La participation de tous</w:t>
      </w:r>
      <w:r w:rsidR="00A50629" w:rsidRPr="00F1660D">
        <w:rPr>
          <w:lang w:val="fr-FR"/>
        </w:rPr>
        <w:t xml:space="preserve"> les </w:t>
      </w:r>
      <w:r w:rsidRPr="00F1660D">
        <w:rPr>
          <w:lang w:val="fr-FR"/>
        </w:rPr>
        <w:t>secteurs et parties prenantes intéressés tout</w:t>
      </w:r>
      <w:r w:rsidR="00A50629" w:rsidRPr="00F1660D">
        <w:rPr>
          <w:lang w:val="fr-FR"/>
        </w:rPr>
        <w:t xml:space="preserve"> au </w:t>
      </w:r>
      <w:r w:rsidRPr="00F1660D">
        <w:rPr>
          <w:lang w:val="fr-FR"/>
        </w:rPr>
        <w:t>long du cycle de vie aux niveaux local, national, régional et mondial est essentielle pour 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A50629" w:rsidRPr="00F1660D">
        <w:rPr>
          <w:lang w:val="fr-FR"/>
        </w:rPr>
        <w:t xml:space="preserve"> Les </w:t>
      </w:r>
      <w:r w:rsidRPr="00F1660D">
        <w:rPr>
          <w:lang w:val="fr-FR"/>
        </w:rPr>
        <w:t>parties prenantes sont notamment</w:t>
      </w:r>
      <w:r w:rsidR="00A50629" w:rsidRPr="00F1660D">
        <w:rPr>
          <w:lang w:val="fr-FR"/>
        </w:rPr>
        <w:t xml:space="preserve"> les </w:t>
      </w:r>
      <w:r w:rsidRPr="00F1660D">
        <w:rPr>
          <w:lang w:val="fr-FR"/>
        </w:rPr>
        <w:t>gouvernements,</w:t>
      </w:r>
      <w:r w:rsidR="00A50629" w:rsidRPr="00F1660D">
        <w:rPr>
          <w:lang w:val="fr-FR"/>
        </w:rPr>
        <w:t xml:space="preserve"> les </w:t>
      </w:r>
      <w:r w:rsidRPr="00F1660D">
        <w:rPr>
          <w:lang w:val="fr-FR"/>
        </w:rPr>
        <w:t>organisations d’intégration économique régionale,</w:t>
      </w:r>
      <w:r w:rsidR="00A50629" w:rsidRPr="00F1660D">
        <w:rPr>
          <w:lang w:val="fr-FR"/>
        </w:rPr>
        <w:t xml:space="preserve"> les </w:t>
      </w:r>
      <w:r w:rsidRPr="00F1660D">
        <w:rPr>
          <w:lang w:val="fr-FR"/>
        </w:rPr>
        <w:t>organisations internationales,</w:t>
      </w:r>
      <w:r w:rsidR="00A50629" w:rsidRPr="00F1660D">
        <w:rPr>
          <w:lang w:val="fr-FR"/>
        </w:rPr>
        <w:t xml:space="preserve"> la </w:t>
      </w:r>
      <w:r w:rsidRPr="00F1660D">
        <w:rPr>
          <w:lang w:val="fr-FR"/>
        </w:rPr>
        <w:t>société civile,</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consommateurs,</w:t>
      </w:r>
      <w:r w:rsidR="00A50629" w:rsidRPr="00F1660D">
        <w:rPr>
          <w:lang w:val="fr-FR"/>
        </w:rPr>
        <w:t xml:space="preserve"> le </w:t>
      </w:r>
      <w:r w:rsidRPr="00F1660D">
        <w:rPr>
          <w:lang w:val="fr-FR"/>
        </w:rPr>
        <w:t>secteur industriel,</w:t>
      </w:r>
      <w:r w:rsidR="00A50629" w:rsidRPr="00F1660D">
        <w:rPr>
          <w:lang w:val="fr-FR"/>
        </w:rPr>
        <w:t xml:space="preserve"> les </w:t>
      </w:r>
      <w:r w:rsidRPr="00F1660D">
        <w:rPr>
          <w:lang w:val="fr-FR"/>
        </w:rPr>
        <w:t>entreprises,</w:t>
      </w:r>
      <w:r w:rsidR="00A50629" w:rsidRPr="00F1660D">
        <w:rPr>
          <w:lang w:val="fr-FR"/>
        </w:rPr>
        <w:t xml:space="preserve"> le </w:t>
      </w:r>
      <w:r w:rsidRPr="00F1660D">
        <w:rPr>
          <w:lang w:val="fr-FR"/>
        </w:rPr>
        <w:t>secteur financier,</w:t>
      </w:r>
      <w:r w:rsidR="00A50629" w:rsidRPr="00F1660D">
        <w:rPr>
          <w:lang w:val="fr-FR"/>
        </w:rPr>
        <w:t xml:space="preserve"> les </w:t>
      </w:r>
      <w:r w:rsidRPr="00F1660D">
        <w:rPr>
          <w:lang w:val="fr-FR"/>
        </w:rPr>
        <w:t>travailleurs,</w:t>
      </w:r>
      <w:r w:rsidR="00A50629" w:rsidRPr="00F1660D">
        <w:rPr>
          <w:lang w:val="fr-FR"/>
        </w:rPr>
        <w:t xml:space="preserve"> les </w:t>
      </w:r>
      <w:r w:rsidRPr="00F1660D">
        <w:rPr>
          <w:lang w:val="fr-FR"/>
        </w:rPr>
        <w:t>détaillants et</w:t>
      </w:r>
      <w:r w:rsidR="00A50629" w:rsidRPr="00F1660D">
        <w:rPr>
          <w:lang w:val="fr-FR"/>
        </w:rPr>
        <w:t xml:space="preserve"> les </w:t>
      </w:r>
      <w:r w:rsidRPr="00F1660D">
        <w:rPr>
          <w:lang w:val="fr-FR"/>
        </w:rPr>
        <w:t>milieux universitaires à tous</w:t>
      </w:r>
      <w:r w:rsidR="00A50629" w:rsidRPr="00F1660D">
        <w:rPr>
          <w:lang w:val="fr-FR"/>
        </w:rPr>
        <w:t xml:space="preserve"> les </w:t>
      </w:r>
      <w:r w:rsidRPr="00F1660D">
        <w:rPr>
          <w:lang w:val="fr-FR"/>
        </w:rPr>
        <w:t>niveaux.</w:t>
      </w:r>
    </w:p>
    <w:p w14:paraId="1F5C9C9D" w14:textId="0D6FF6DC" w:rsidR="001420CF" w:rsidRPr="00F1660D" w:rsidRDefault="001420CF" w:rsidP="001420CF">
      <w:pPr>
        <w:pStyle w:val="NormalNonumber"/>
        <w:rPr>
          <w:lang w:val="fr-FR"/>
        </w:rPr>
      </w:pPr>
      <w:r w:rsidRPr="00F1660D">
        <w:rPr>
          <w:lang w:val="fr-FR"/>
        </w:rPr>
        <w:t>Au niveau national, il est indispensable de mettre en place</w:t>
      </w:r>
      <w:r w:rsidR="00A50629" w:rsidRPr="00F1660D">
        <w:rPr>
          <w:lang w:val="fr-FR"/>
        </w:rPr>
        <w:t xml:space="preserve"> des </w:t>
      </w:r>
      <w:r w:rsidRPr="00F1660D">
        <w:rPr>
          <w:lang w:val="fr-FR"/>
        </w:rPr>
        <w:t>cadres législatifs et réglementaires, ainsi que</w:t>
      </w:r>
      <w:r w:rsidR="00A50629" w:rsidRPr="00F1660D">
        <w:rPr>
          <w:lang w:val="fr-FR"/>
        </w:rPr>
        <w:t xml:space="preserve"> des </w:t>
      </w:r>
      <w:r w:rsidRPr="00F1660D">
        <w:rPr>
          <w:lang w:val="fr-FR"/>
        </w:rPr>
        <w:t>structures institutionnelles et de mise en œuvre efficaces, afin de veiller à</w:t>
      </w:r>
      <w:r w:rsidR="00A50629" w:rsidRPr="00F1660D">
        <w:rPr>
          <w:lang w:val="fr-FR"/>
        </w:rPr>
        <w:t xml:space="preserve"> la </w:t>
      </w:r>
      <w:r w:rsidRPr="00F1660D">
        <w:rPr>
          <w:lang w:val="fr-FR"/>
        </w:rPr>
        <w:t>cohérence intersectorielle et à</w:t>
      </w:r>
      <w:r w:rsidR="00A50629" w:rsidRPr="00F1660D">
        <w:rPr>
          <w:lang w:val="fr-FR"/>
        </w:rPr>
        <w:t xml:space="preserve"> la </w:t>
      </w:r>
      <w:r w:rsidRPr="00F1660D">
        <w:rPr>
          <w:lang w:val="fr-FR"/>
        </w:rPr>
        <w:t>complémentarité</w:t>
      </w:r>
      <w:r w:rsidR="00A50629" w:rsidRPr="00F1660D">
        <w:rPr>
          <w:lang w:val="fr-FR"/>
        </w:rPr>
        <w:t xml:space="preserve"> des </w:t>
      </w:r>
      <w:r w:rsidRPr="00F1660D">
        <w:rPr>
          <w:lang w:val="fr-FR"/>
        </w:rPr>
        <w:t>mesures prises par l’ensemble</w:t>
      </w:r>
      <w:r w:rsidR="00A50629" w:rsidRPr="00F1660D">
        <w:rPr>
          <w:lang w:val="fr-FR"/>
        </w:rPr>
        <w:t xml:space="preserve"> des </w:t>
      </w:r>
      <w:r w:rsidRPr="00F1660D">
        <w:rPr>
          <w:lang w:val="fr-FR"/>
        </w:rPr>
        <w:t>parties prenantes,</w:t>
      </w:r>
      <w:r w:rsidR="00A50629" w:rsidRPr="00F1660D">
        <w:rPr>
          <w:lang w:val="fr-FR"/>
        </w:rPr>
        <w:t xml:space="preserve"> y </w:t>
      </w:r>
      <w:r w:rsidRPr="00F1660D">
        <w:rPr>
          <w:lang w:val="fr-FR"/>
        </w:rPr>
        <w:t>compris</w:t>
      </w:r>
      <w:r w:rsidR="00A50629" w:rsidRPr="00F1660D">
        <w:rPr>
          <w:lang w:val="fr-FR"/>
        </w:rPr>
        <w:t xml:space="preserve"> la </w:t>
      </w:r>
      <w:r w:rsidRPr="00F1660D">
        <w:rPr>
          <w:lang w:val="fr-FR"/>
        </w:rPr>
        <w:t>définition</w:t>
      </w:r>
      <w:r w:rsidR="00A50629" w:rsidRPr="00F1660D">
        <w:rPr>
          <w:lang w:val="fr-FR"/>
        </w:rPr>
        <w:t xml:space="preserve"> des </w:t>
      </w:r>
      <w:r w:rsidRPr="00F1660D">
        <w:rPr>
          <w:lang w:val="fr-FR"/>
        </w:rPr>
        <w:t>responsabilités de chacun.</w:t>
      </w:r>
    </w:p>
    <w:p w14:paraId="3EF0E876" w14:textId="226DFBDF" w:rsidR="001420CF" w:rsidRPr="00F1660D" w:rsidRDefault="001420CF" w:rsidP="001420CF">
      <w:pPr>
        <w:pStyle w:val="NormalNonumber"/>
        <w:rPr>
          <w:lang w:val="fr-FR"/>
        </w:rPr>
      </w:pPr>
      <w:r w:rsidRPr="00F1660D">
        <w:rPr>
          <w:lang w:val="fr-FR"/>
        </w:rPr>
        <w:t>Au niveau international,</w:t>
      </w:r>
      <w:r w:rsidR="00A50629" w:rsidRPr="00F1660D">
        <w:rPr>
          <w:lang w:val="fr-FR"/>
        </w:rPr>
        <w:t xml:space="preserve"> les </w:t>
      </w:r>
      <w:r w:rsidRPr="00F1660D">
        <w:rPr>
          <w:lang w:val="fr-FR"/>
        </w:rPr>
        <w:t>organisations internationales et organismes intéressés, en particulier</w:t>
      </w:r>
      <w:r w:rsidR="00A50629" w:rsidRPr="00F1660D">
        <w:rPr>
          <w:lang w:val="fr-FR"/>
        </w:rPr>
        <w:t xml:space="preserve"> les </w:t>
      </w:r>
      <w:r w:rsidRPr="00F1660D">
        <w:rPr>
          <w:lang w:val="fr-FR"/>
        </w:rPr>
        <w:t xml:space="preserve">organisations du 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les </w:t>
      </w:r>
      <w:r w:rsidRPr="00F1660D">
        <w:rPr>
          <w:lang w:val="fr-FR"/>
        </w:rPr>
        <w:t>conventions relatives aux produits chimiques et aux déchets, devraient aider</w:t>
      </w:r>
      <w:r w:rsidR="00A50629" w:rsidRPr="00F1660D">
        <w:rPr>
          <w:lang w:val="fr-FR"/>
        </w:rPr>
        <w:t xml:space="preserve"> la </w:t>
      </w:r>
      <w:r w:rsidRPr="00F1660D">
        <w:rPr>
          <w:lang w:val="fr-FR"/>
        </w:rPr>
        <w:t>prise de conscience de</w:t>
      </w:r>
      <w:r w:rsidR="00A50629" w:rsidRPr="00F1660D">
        <w:rPr>
          <w:lang w:val="fr-FR"/>
        </w:rPr>
        <w:t xml:space="preserve"> la </w:t>
      </w:r>
      <w:r w:rsidRPr="00F1660D">
        <w:rPr>
          <w:lang w:val="fr-FR"/>
        </w:rPr>
        <w:t>nature transversale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comme élément essentiel pour parvenir à un développement durable, renforcer leur participation et leur prise de responsabilité face aux politiques et mesures visant 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à long terme et appuyer</w:t>
      </w:r>
      <w:r w:rsidR="00A50629" w:rsidRPr="00F1660D">
        <w:rPr>
          <w:lang w:val="fr-FR"/>
        </w:rPr>
        <w:t xml:space="preserve"> la </w:t>
      </w:r>
      <w:r w:rsidRPr="00F1660D">
        <w:rPr>
          <w:lang w:val="fr-FR"/>
        </w:rPr>
        <w:t>mise en œuvre à l’échelle nationale.</w:t>
      </w:r>
    </w:p>
    <w:p w14:paraId="3B12BDE6" w14:textId="20D99A2B" w:rsidR="001420CF" w:rsidRPr="00F1660D" w:rsidRDefault="001420CF" w:rsidP="001420CF">
      <w:pPr>
        <w:pStyle w:val="NormalNonumber"/>
        <w:rPr>
          <w:lang w:val="fr-FR"/>
        </w:rPr>
      </w:pPr>
      <w:r w:rsidRPr="00F1660D">
        <w:rPr>
          <w:lang w:val="fr-FR"/>
        </w:rPr>
        <w:t>Ces organisations internationales, en particulier</w:t>
      </w:r>
      <w:r w:rsidR="00A50629" w:rsidRPr="00F1660D">
        <w:rPr>
          <w:lang w:val="fr-FR"/>
        </w:rPr>
        <w:t xml:space="preserve"> les </w:t>
      </w:r>
      <w:r w:rsidRPr="00F1660D">
        <w:rPr>
          <w:lang w:val="fr-FR"/>
        </w:rPr>
        <w:t xml:space="preserve">organisations du 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les </w:t>
      </w:r>
      <w:r w:rsidRPr="00F1660D">
        <w:rPr>
          <w:lang w:val="fr-FR"/>
        </w:rPr>
        <w:t>conventions relatives aux produits chimiques et aux déchets, devraient coordonner</w:t>
      </w:r>
      <w:r w:rsidR="00A50629" w:rsidRPr="00F1660D">
        <w:rPr>
          <w:lang w:val="fr-FR"/>
        </w:rPr>
        <w:t xml:space="preserve"> les </w:t>
      </w:r>
      <w:r w:rsidRPr="00F1660D">
        <w:rPr>
          <w:lang w:val="fr-FR"/>
        </w:rPr>
        <w:t>activités et programmes de travail pertinents, conformément</w:t>
      </w:r>
      <w:r w:rsidR="00A50629" w:rsidRPr="00F1660D">
        <w:rPr>
          <w:lang w:val="fr-FR"/>
        </w:rPr>
        <w:t xml:space="preserve"> au </w:t>
      </w:r>
      <w:r w:rsidRPr="00F1660D">
        <w:rPr>
          <w:lang w:val="fr-FR"/>
        </w:rPr>
        <w:t>Programme 2030 et dans</w:t>
      </w:r>
      <w:r w:rsidR="00A50629" w:rsidRPr="00F1660D">
        <w:rPr>
          <w:lang w:val="fr-FR"/>
        </w:rPr>
        <w:t xml:space="preserve"> le </w:t>
      </w:r>
      <w:r w:rsidRPr="00F1660D">
        <w:rPr>
          <w:lang w:val="fr-FR"/>
        </w:rPr>
        <w:t>cadre de leurs mandats individuels. Cela permettrait de renforcer</w:t>
      </w:r>
      <w:r w:rsidR="00A50629" w:rsidRPr="00F1660D">
        <w:rPr>
          <w:lang w:val="fr-FR"/>
        </w:rPr>
        <w:t xml:space="preserve"> la </w:t>
      </w:r>
      <w:r w:rsidRPr="00F1660D">
        <w:rPr>
          <w:lang w:val="fr-FR"/>
        </w:rPr>
        <w:t>coopération et d’éviter</w:t>
      </w:r>
      <w:r w:rsidR="00A50629" w:rsidRPr="00F1660D">
        <w:rPr>
          <w:lang w:val="fr-FR"/>
        </w:rPr>
        <w:t xml:space="preserve"> le </w:t>
      </w:r>
      <w:r w:rsidRPr="00F1660D">
        <w:rPr>
          <w:lang w:val="fr-FR"/>
        </w:rPr>
        <w:t>chevauchement</w:t>
      </w:r>
      <w:r w:rsidR="00A50629" w:rsidRPr="00F1660D">
        <w:rPr>
          <w:lang w:val="fr-FR"/>
        </w:rPr>
        <w:t xml:space="preserve"> des </w:t>
      </w:r>
      <w:r w:rsidRPr="00F1660D">
        <w:rPr>
          <w:lang w:val="fr-FR"/>
        </w:rPr>
        <w:t>mesures prises, entre autres, par</w:t>
      </w:r>
      <w:r w:rsidR="00A50629" w:rsidRPr="00F1660D">
        <w:rPr>
          <w:lang w:val="fr-FR"/>
        </w:rPr>
        <w:t xml:space="preserve"> le </w:t>
      </w:r>
      <w:r w:rsidRPr="00F1660D">
        <w:rPr>
          <w:lang w:val="fr-FR"/>
        </w:rPr>
        <w:t>Programme</w:t>
      </w:r>
      <w:r w:rsidR="00A50629" w:rsidRPr="00F1660D">
        <w:rPr>
          <w:lang w:val="fr-FR"/>
        </w:rPr>
        <w:t xml:space="preserve"> des </w:t>
      </w:r>
      <w:r w:rsidRPr="00F1660D">
        <w:rPr>
          <w:lang w:val="fr-FR"/>
        </w:rPr>
        <w:t>Nations Unies pour l’environnement (PNUE), l’Organisation mondiale de</w:t>
      </w:r>
      <w:r w:rsidR="00A50629" w:rsidRPr="00F1660D">
        <w:rPr>
          <w:lang w:val="fr-FR"/>
        </w:rPr>
        <w:t xml:space="preserve"> la </w:t>
      </w:r>
      <w:r w:rsidRPr="00F1660D">
        <w:rPr>
          <w:lang w:val="fr-FR"/>
        </w:rPr>
        <w:t>Santé, l’Organisation</w:t>
      </w:r>
      <w:r w:rsidR="00A50629" w:rsidRPr="00F1660D">
        <w:rPr>
          <w:lang w:val="fr-FR"/>
        </w:rPr>
        <w:t xml:space="preserve"> des </w:t>
      </w:r>
      <w:r w:rsidRPr="00F1660D">
        <w:rPr>
          <w:lang w:val="fr-FR"/>
        </w:rPr>
        <w:t>Nations Unies pour l’alimentation et l’agriculture, l’Organisation internationale du Travail,</w:t>
      </w:r>
      <w:r w:rsidR="00A50629" w:rsidRPr="00F1660D">
        <w:rPr>
          <w:lang w:val="fr-FR"/>
        </w:rPr>
        <w:t xml:space="preserve"> le </w:t>
      </w:r>
      <w:r w:rsidRPr="00F1660D">
        <w:rPr>
          <w:lang w:val="fr-FR"/>
        </w:rPr>
        <w:t>Programme</w:t>
      </w:r>
      <w:r w:rsidR="00A50629" w:rsidRPr="00F1660D">
        <w:rPr>
          <w:lang w:val="fr-FR"/>
        </w:rPr>
        <w:t xml:space="preserve"> des </w:t>
      </w:r>
      <w:r w:rsidRPr="00F1660D">
        <w:rPr>
          <w:lang w:val="fr-FR"/>
        </w:rPr>
        <w:t>Nations Unies pour</w:t>
      </w:r>
      <w:r w:rsidR="00A50629" w:rsidRPr="00F1660D">
        <w:rPr>
          <w:lang w:val="fr-FR"/>
        </w:rPr>
        <w:t xml:space="preserve"> le </w:t>
      </w:r>
      <w:r w:rsidRPr="00F1660D">
        <w:rPr>
          <w:lang w:val="fr-FR"/>
        </w:rPr>
        <w:t>développement, l’Institut</w:t>
      </w:r>
      <w:r w:rsidR="00A50629" w:rsidRPr="00F1660D">
        <w:rPr>
          <w:lang w:val="fr-FR"/>
        </w:rPr>
        <w:t xml:space="preserve"> des </w:t>
      </w:r>
      <w:r w:rsidRPr="00F1660D">
        <w:rPr>
          <w:lang w:val="fr-FR"/>
        </w:rPr>
        <w:t>Nations Unies pour</w:t>
      </w:r>
      <w:r w:rsidR="00A50629" w:rsidRPr="00F1660D">
        <w:rPr>
          <w:lang w:val="fr-FR"/>
        </w:rPr>
        <w:t xml:space="preserve"> la </w:t>
      </w:r>
      <w:r w:rsidRPr="00F1660D">
        <w:rPr>
          <w:lang w:val="fr-FR"/>
        </w:rPr>
        <w:t>formation et</w:t>
      </w:r>
      <w:r w:rsidR="00A50629" w:rsidRPr="00F1660D">
        <w:rPr>
          <w:lang w:val="fr-FR"/>
        </w:rPr>
        <w:t xml:space="preserve"> la </w:t>
      </w:r>
      <w:r w:rsidRPr="00F1660D">
        <w:rPr>
          <w:lang w:val="fr-FR"/>
        </w:rPr>
        <w:t>recherche, l’Organisation</w:t>
      </w:r>
      <w:r w:rsidR="00A50629" w:rsidRPr="00F1660D">
        <w:rPr>
          <w:lang w:val="fr-FR"/>
        </w:rPr>
        <w:t xml:space="preserve"> des </w:t>
      </w:r>
      <w:r w:rsidRPr="00F1660D">
        <w:rPr>
          <w:lang w:val="fr-FR"/>
        </w:rPr>
        <w:t>Nations Unies pour</w:t>
      </w:r>
      <w:r w:rsidR="00A50629" w:rsidRPr="00F1660D">
        <w:rPr>
          <w:lang w:val="fr-FR"/>
        </w:rPr>
        <w:t xml:space="preserve"> le </w:t>
      </w:r>
      <w:r w:rsidR="00793CAD" w:rsidRPr="00F1660D">
        <w:rPr>
          <w:lang w:val="fr-FR"/>
        </w:rPr>
        <w:t xml:space="preserve">développement industriel, </w:t>
      </w:r>
      <w:r w:rsidRPr="00F1660D">
        <w:rPr>
          <w:lang w:val="fr-FR"/>
        </w:rPr>
        <w:t>l’Organisation de coopération et de développement économiques</w:t>
      </w:r>
      <w:r w:rsidR="00793CAD" w:rsidRPr="00F1660D">
        <w:rPr>
          <w:lang w:val="fr-FR"/>
        </w:rPr>
        <w:t xml:space="preserve"> et la Banque mondiale</w:t>
      </w:r>
      <w:r w:rsidRPr="00F1660D">
        <w:rPr>
          <w:lang w:val="fr-FR"/>
        </w:rPr>
        <w:t>, dans</w:t>
      </w:r>
      <w:r w:rsidR="00A50629" w:rsidRPr="00F1660D">
        <w:rPr>
          <w:lang w:val="fr-FR"/>
        </w:rPr>
        <w:t xml:space="preserve"> le </w:t>
      </w:r>
      <w:r w:rsidRPr="00F1660D">
        <w:rPr>
          <w:lang w:val="fr-FR"/>
        </w:rPr>
        <w:t>cadre de leurs mandats individuels, en vue de réaliser</w:t>
      </w:r>
      <w:r w:rsidR="00A50629" w:rsidRPr="00F1660D">
        <w:rPr>
          <w:lang w:val="fr-FR"/>
        </w:rPr>
        <w:t xml:space="preserve"> la </w:t>
      </w:r>
      <w:r w:rsidRPr="00F1660D">
        <w:rPr>
          <w:lang w:val="fr-FR"/>
        </w:rPr>
        <w:t>cible 12.4 et</w:t>
      </w:r>
      <w:r w:rsidR="00A50629" w:rsidRPr="00F1660D">
        <w:rPr>
          <w:lang w:val="fr-FR"/>
        </w:rPr>
        <w:t xml:space="preserve"> </w:t>
      </w:r>
      <w:r w:rsidR="00736699" w:rsidRPr="00F1660D">
        <w:rPr>
          <w:lang w:val="fr-FR"/>
        </w:rPr>
        <w:t xml:space="preserve">tous les autres </w:t>
      </w:r>
      <w:r w:rsidRPr="00F1660D">
        <w:rPr>
          <w:lang w:val="fr-FR"/>
        </w:rPr>
        <w:t>objectifs et cibles du Programme 2030 ayant un rapport avec</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conformément à une vision commune et intemporelle qui sera adoptée par</w:t>
      </w:r>
      <w:r w:rsidR="00A50629" w:rsidRPr="00F1660D">
        <w:rPr>
          <w:lang w:val="fr-FR"/>
        </w:rPr>
        <w:t xml:space="preserve"> la </w:t>
      </w:r>
      <w:r w:rsidRPr="00F1660D">
        <w:rPr>
          <w:lang w:val="fr-FR"/>
        </w:rPr>
        <w:t>Conférence internationale à sa cinquième réunion et approuvée par d’autres organismes intéressés</w:t>
      </w:r>
      <w:r w:rsidR="00A50629" w:rsidRPr="00F1660D">
        <w:rPr>
          <w:lang w:val="fr-FR"/>
        </w:rPr>
        <w:t xml:space="preserve"> des </w:t>
      </w:r>
      <w:r w:rsidRPr="00F1660D">
        <w:rPr>
          <w:lang w:val="fr-FR"/>
        </w:rPr>
        <w:t>Nations Unies en rapport avec</w:t>
      </w:r>
      <w:r w:rsidR="00A50629" w:rsidRPr="00F1660D">
        <w:rPr>
          <w:lang w:val="fr-FR"/>
        </w:rPr>
        <w:t xml:space="preserve"> le </w:t>
      </w:r>
      <w:r w:rsidRPr="00F1660D">
        <w:rPr>
          <w:lang w:val="fr-FR"/>
        </w:rPr>
        <w:t>Programme 2030, tels que l’Assemblée générale</w:t>
      </w:r>
      <w:r w:rsidR="00A50629" w:rsidRPr="00F1660D">
        <w:rPr>
          <w:lang w:val="fr-FR"/>
        </w:rPr>
        <w:t xml:space="preserve"> des </w:t>
      </w:r>
      <w:r w:rsidRPr="00F1660D">
        <w:rPr>
          <w:lang w:val="fr-FR"/>
        </w:rPr>
        <w:t>Nations Unies.</w:t>
      </w:r>
    </w:p>
    <w:p w14:paraId="590C01E3" w14:textId="7FC6D4CE" w:rsidR="001420CF" w:rsidRPr="00F1660D" w:rsidRDefault="001420CF" w:rsidP="001420CF">
      <w:pPr>
        <w:pStyle w:val="NormalNonumber"/>
        <w:rPr>
          <w:lang w:val="fr-FR"/>
        </w:rPr>
      </w:pPr>
      <w:r w:rsidRPr="00F1660D">
        <w:rPr>
          <w:lang w:val="fr-FR"/>
        </w:rPr>
        <w:t>Les conventions et programmes régionaux intéressés peuvent aussi contribuer de manière significative à</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et devraient travailler en coordination, s’il</w:t>
      </w:r>
      <w:r w:rsidR="00A50629" w:rsidRPr="00F1660D">
        <w:rPr>
          <w:lang w:val="fr-FR"/>
        </w:rPr>
        <w:t xml:space="preserve"> y </w:t>
      </w:r>
      <w:r w:rsidRPr="00F1660D">
        <w:rPr>
          <w:lang w:val="fr-FR"/>
        </w:rPr>
        <w:t>a lieu.</w:t>
      </w:r>
    </w:p>
    <w:p w14:paraId="3CB1396E" w14:textId="1963BBC2" w:rsidR="001420CF" w:rsidRPr="00F1660D" w:rsidRDefault="001420CF" w:rsidP="001420CF">
      <w:pPr>
        <w:pStyle w:val="NormalNonumber"/>
        <w:rPr>
          <w:lang w:val="fr-FR"/>
        </w:rPr>
      </w:pPr>
      <w:r w:rsidRPr="00F1660D">
        <w:rPr>
          <w:lang w:val="fr-FR"/>
        </w:rPr>
        <w:t>En ce qui concerne l’Approche stratégique, cette dernière devrait à l’avenir considérer</w:t>
      </w:r>
      <w:r w:rsidR="00A50629" w:rsidRPr="00F1660D">
        <w:rPr>
          <w:lang w:val="fr-FR"/>
        </w:rPr>
        <w:t xml:space="preserve"> les </w:t>
      </w:r>
      <w:r w:rsidRPr="00F1660D">
        <w:rPr>
          <w:lang w:val="fr-FR"/>
        </w:rPr>
        <w:t>aspects environnemental, économique, social, sanitaire et agricole et</w:t>
      </w:r>
      <w:r w:rsidR="00A50629" w:rsidRPr="00F1660D">
        <w:rPr>
          <w:lang w:val="fr-FR"/>
        </w:rPr>
        <w:t xml:space="preserve"> les </w:t>
      </w:r>
      <w:r w:rsidRPr="00F1660D">
        <w:rPr>
          <w:lang w:val="fr-FR"/>
        </w:rPr>
        <w:t>aspects relatifs</w:t>
      </w:r>
      <w:r w:rsidR="00A50629" w:rsidRPr="00F1660D">
        <w:rPr>
          <w:lang w:val="fr-FR"/>
        </w:rPr>
        <w:t xml:space="preserve"> au </w:t>
      </w:r>
      <w:r w:rsidRPr="00F1660D">
        <w:rPr>
          <w:lang w:val="fr-FR"/>
        </w:rPr>
        <w:t>travail de</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afin de renforcer</w:t>
      </w:r>
      <w:r w:rsidR="00A50629" w:rsidRPr="00F1660D">
        <w:rPr>
          <w:lang w:val="fr-FR"/>
        </w:rPr>
        <w:t xml:space="preserve"> le </w:t>
      </w:r>
      <w:r w:rsidRPr="00F1660D">
        <w:rPr>
          <w:lang w:val="fr-FR"/>
        </w:rPr>
        <w:t>développement durable et</w:t>
      </w:r>
      <w:r w:rsidR="00A50629" w:rsidRPr="00F1660D">
        <w:rPr>
          <w:lang w:val="fr-FR"/>
        </w:rPr>
        <w:t xml:space="preserve"> la </w:t>
      </w:r>
      <w:r w:rsidRPr="00F1660D">
        <w:rPr>
          <w:lang w:val="fr-FR"/>
        </w:rPr>
        <w:t>circularité, en tenant dûment compte</w:t>
      </w:r>
      <w:r w:rsidR="00A50629" w:rsidRPr="00F1660D">
        <w:rPr>
          <w:lang w:val="fr-FR"/>
        </w:rPr>
        <w:t xml:space="preserve"> des </w:t>
      </w:r>
      <w:r w:rsidRPr="00F1660D">
        <w:rPr>
          <w:lang w:val="fr-FR"/>
        </w:rPr>
        <w:t>instruments et processus existants. L’Approche stratégique devrait faire preuve de suffisamment de souplesse pour tenir compte</w:t>
      </w:r>
      <w:r w:rsidR="00A50629" w:rsidRPr="00F1660D">
        <w:rPr>
          <w:lang w:val="fr-FR"/>
        </w:rPr>
        <w:t xml:space="preserve"> des </w:t>
      </w:r>
      <w:r w:rsidRPr="00F1660D">
        <w:rPr>
          <w:lang w:val="fr-FR"/>
        </w:rPr>
        <w:t>nouveaux instruments et processus sans donner lieu à</w:t>
      </w:r>
      <w:r w:rsidR="00A50629" w:rsidRPr="00F1660D">
        <w:rPr>
          <w:lang w:val="fr-FR"/>
        </w:rPr>
        <w:t xml:space="preserve"> des </w:t>
      </w:r>
      <w:r w:rsidRPr="00F1660D">
        <w:rPr>
          <w:lang w:val="fr-FR"/>
        </w:rPr>
        <w:t>chevauchements.</w:t>
      </w:r>
    </w:p>
    <w:p w14:paraId="75F5143D" w14:textId="7C125DF3" w:rsidR="001420CF" w:rsidRPr="00F1660D" w:rsidRDefault="001420CF" w:rsidP="001420CF">
      <w:pPr>
        <w:pStyle w:val="NormalNonumber"/>
        <w:rPr>
          <w:lang w:val="fr-FR"/>
        </w:rPr>
      </w:pPr>
      <w:r w:rsidRPr="00F1660D">
        <w:rPr>
          <w:lang w:val="fr-FR"/>
        </w:rPr>
        <w:t>La participation</w:t>
      </w:r>
      <w:r w:rsidR="00A50629" w:rsidRPr="00F1660D">
        <w:rPr>
          <w:lang w:val="fr-FR"/>
        </w:rPr>
        <w:t xml:space="preserve"> des </w:t>
      </w:r>
      <w:r w:rsidRPr="00F1660D">
        <w:rPr>
          <w:lang w:val="fr-FR"/>
        </w:rPr>
        <w:t>secteurs industriel et privé tout</w:t>
      </w:r>
      <w:r w:rsidR="00A50629" w:rsidRPr="00F1660D">
        <w:rPr>
          <w:lang w:val="fr-FR"/>
        </w:rPr>
        <w:t xml:space="preserve"> au </w:t>
      </w:r>
      <w:r w:rsidRPr="00F1660D">
        <w:rPr>
          <w:lang w:val="fr-FR"/>
        </w:rPr>
        <w:t>long de</w:t>
      </w:r>
      <w:r w:rsidR="00A50629" w:rsidRPr="00F1660D">
        <w:rPr>
          <w:lang w:val="fr-FR"/>
        </w:rPr>
        <w:t xml:space="preserve"> la </w:t>
      </w:r>
      <w:r w:rsidRPr="00F1660D">
        <w:rPr>
          <w:lang w:val="fr-FR"/>
        </w:rPr>
        <w:t>chaîne d’approvisionnement doit être renforcée de manière significative, dans</w:t>
      </w:r>
      <w:r w:rsidR="00A50629" w:rsidRPr="00F1660D">
        <w:rPr>
          <w:lang w:val="fr-FR"/>
        </w:rPr>
        <w:t xml:space="preserve"> le </w:t>
      </w:r>
      <w:r w:rsidRPr="00F1660D">
        <w:rPr>
          <w:lang w:val="fr-FR"/>
        </w:rPr>
        <w:t>cadre de</w:t>
      </w:r>
      <w:r w:rsidR="00A50629" w:rsidRPr="00F1660D">
        <w:rPr>
          <w:lang w:val="fr-FR"/>
        </w:rPr>
        <w:t xml:space="preserve"> la </w:t>
      </w:r>
      <w:r w:rsidRPr="00F1660D">
        <w:rPr>
          <w:lang w:val="fr-FR"/>
        </w:rPr>
        <w:t>future Approche stratégique et, plus généralement, à l’appui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à tous</w:t>
      </w:r>
      <w:r w:rsidR="00A50629" w:rsidRPr="00F1660D">
        <w:rPr>
          <w:lang w:val="fr-FR"/>
        </w:rPr>
        <w:t xml:space="preserve"> les </w:t>
      </w:r>
      <w:r w:rsidRPr="00F1660D">
        <w:rPr>
          <w:lang w:val="fr-FR"/>
        </w:rPr>
        <w:t>niveaux.</w:t>
      </w:r>
      <w:r w:rsidR="00A50629" w:rsidRPr="00F1660D">
        <w:rPr>
          <w:lang w:val="fr-FR"/>
        </w:rPr>
        <w:t xml:space="preserve"> Les </w:t>
      </w:r>
      <w:r w:rsidRPr="00F1660D">
        <w:rPr>
          <w:lang w:val="fr-FR"/>
        </w:rPr>
        <w:t>rôles et responsabilités</w:t>
      </w:r>
      <w:r w:rsidR="00A50629" w:rsidRPr="00F1660D">
        <w:rPr>
          <w:lang w:val="fr-FR"/>
        </w:rPr>
        <w:t xml:space="preserve"> des </w:t>
      </w:r>
      <w:r w:rsidRPr="00F1660D">
        <w:rPr>
          <w:lang w:val="fr-FR"/>
        </w:rPr>
        <w:t>secteurs industriel et privé tout</w:t>
      </w:r>
      <w:r w:rsidR="00A50629" w:rsidRPr="00F1660D">
        <w:rPr>
          <w:lang w:val="fr-FR"/>
        </w:rPr>
        <w:t xml:space="preserve"> au </w:t>
      </w:r>
      <w:r w:rsidRPr="00F1660D">
        <w:rPr>
          <w:lang w:val="fr-FR"/>
        </w:rPr>
        <w:t>long de</w:t>
      </w:r>
      <w:r w:rsidR="00A50629" w:rsidRPr="00F1660D">
        <w:rPr>
          <w:lang w:val="fr-FR"/>
        </w:rPr>
        <w:t xml:space="preserve"> la </w:t>
      </w:r>
      <w:r w:rsidRPr="00F1660D">
        <w:rPr>
          <w:lang w:val="fr-FR"/>
        </w:rPr>
        <w:t>chaîne d’approvisionnement pour mettre en œuvre</w:t>
      </w:r>
      <w:r w:rsidR="00A50629" w:rsidRPr="00F1660D">
        <w:rPr>
          <w:lang w:val="fr-FR"/>
        </w:rPr>
        <w:t xml:space="preserve"> les </w:t>
      </w:r>
      <w:r w:rsidRPr="00F1660D">
        <w:rPr>
          <w:lang w:val="fr-FR"/>
        </w:rPr>
        <w:t>objectifs et cibles connexes du Programme 2030 sont une base solide pour renforcer</w:t>
      </w:r>
      <w:r w:rsidR="00A50629" w:rsidRPr="00F1660D">
        <w:rPr>
          <w:lang w:val="fr-FR"/>
        </w:rPr>
        <w:t xml:space="preserve"> la </w:t>
      </w:r>
      <w:r w:rsidRPr="00F1660D">
        <w:rPr>
          <w:lang w:val="fr-FR"/>
        </w:rPr>
        <w:t>participation et</w:t>
      </w:r>
      <w:r w:rsidR="00A50629" w:rsidRPr="00F1660D">
        <w:rPr>
          <w:lang w:val="fr-FR"/>
        </w:rPr>
        <w:t xml:space="preserve"> la </w:t>
      </w:r>
      <w:r w:rsidRPr="00F1660D">
        <w:rPr>
          <w:lang w:val="fr-FR"/>
        </w:rPr>
        <w:t>prise de mesures et devraient être définis et établis clairement, notamment par</w:t>
      </w:r>
      <w:r w:rsidR="00A50629" w:rsidRPr="00F1660D">
        <w:rPr>
          <w:lang w:val="fr-FR"/>
        </w:rPr>
        <w:t xml:space="preserve"> les </w:t>
      </w:r>
      <w:r w:rsidRPr="00F1660D">
        <w:rPr>
          <w:lang w:val="fr-FR"/>
        </w:rPr>
        <w:t>législations nationales.]</w:t>
      </w:r>
    </w:p>
    <w:p w14:paraId="56165BD9" w14:textId="2B5EE467" w:rsidR="001420CF" w:rsidRPr="00F1660D" w:rsidRDefault="001420CF" w:rsidP="001420CF">
      <w:pPr>
        <w:pStyle w:val="NormalNonumber"/>
        <w:ind w:left="1814" w:hanging="567"/>
        <w:rPr>
          <w:lang w:val="fr-FR"/>
        </w:rPr>
      </w:pPr>
      <w:r w:rsidRPr="00F1660D">
        <w:rPr>
          <w:lang w:val="fr-FR"/>
        </w:rPr>
        <w:t>i)</w:t>
      </w:r>
      <w:r w:rsidRPr="00F1660D">
        <w:rPr>
          <w:lang w:val="fr-FR"/>
        </w:rPr>
        <w:tab/>
        <w:t>Les organes intergouvernementaux compétents,</w:t>
      </w:r>
      <w:r w:rsidR="00A50629" w:rsidRPr="00F1660D">
        <w:rPr>
          <w:lang w:val="fr-FR"/>
        </w:rPr>
        <w:t xml:space="preserve"> les </w:t>
      </w:r>
      <w:r w:rsidRPr="00F1660D">
        <w:rPr>
          <w:lang w:val="fr-FR"/>
        </w:rPr>
        <w:t>organisations internationales,</w:t>
      </w:r>
      <w:r w:rsidR="00A50629" w:rsidRPr="00F1660D">
        <w:rPr>
          <w:lang w:val="fr-FR"/>
        </w:rPr>
        <w:t xml:space="preserve"> le </w:t>
      </w:r>
      <w:r w:rsidRPr="00F1660D">
        <w:rPr>
          <w:lang w:val="fr-FR"/>
        </w:rPr>
        <w:t xml:space="preserve">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les </w:t>
      </w:r>
      <w:r w:rsidRPr="00F1660D">
        <w:rPr>
          <w:lang w:val="fr-FR"/>
        </w:rPr>
        <w:t>conventions relatives aux produits chimiques et aux déchets devraient renforcer leur engagement et appuyer</w:t>
      </w:r>
      <w:r w:rsidR="00A50629" w:rsidRPr="00F1660D">
        <w:rPr>
          <w:lang w:val="fr-FR"/>
        </w:rPr>
        <w:t xml:space="preserve"> la </w:t>
      </w:r>
      <w:r w:rsidRPr="00F1660D">
        <w:rPr>
          <w:lang w:val="fr-FR"/>
        </w:rPr>
        <w:t>mise en œuvre</w:t>
      </w:r>
      <w:r w:rsidR="00A50629" w:rsidRPr="00F1660D">
        <w:rPr>
          <w:lang w:val="fr-FR"/>
        </w:rPr>
        <w:t xml:space="preserve"> au </w:t>
      </w:r>
      <w:r w:rsidRPr="00F1660D">
        <w:rPr>
          <w:lang w:val="fr-FR"/>
        </w:rPr>
        <w:t>niveau national ;</w:t>
      </w:r>
    </w:p>
    <w:p w14:paraId="32CE7F0E" w14:textId="67DD8EC9" w:rsidR="001420CF" w:rsidRPr="00F1660D" w:rsidRDefault="001420CF" w:rsidP="00F45B61">
      <w:pPr>
        <w:pStyle w:val="NormalNonumber"/>
        <w:keepNext/>
        <w:keepLines/>
        <w:ind w:left="1814" w:hanging="567"/>
        <w:rPr>
          <w:lang w:val="fr-FR"/>
        </w:rPr>
      </w:pPr>
      <w:r w:rsidRPr="00F1660D">
        <w:rPr>
          <w:lang w:val="fr-FR"/>
        </w:rPr>
        <w:t>ii)</w:t>
      </w:r>
      <w:r w:rsidRPr="00F1660D">
        <w:rPr>
          <w:lang w:val="fr-FR"/>
        </w:rPr>
        <w:tab/>
        <w:t>Les organes intergouvernementaux,</w:t>
      </w:r>
      <w:r w:rsidR="00A50629" w:rsidRPr="00F1660D">
        <w:rPr>
          <w:lang w:val="fr-FR"/>
        </w:rPr>
        <w:t xml:space="preserve"> les </w:t>
      </w:r>
      <w:r w:rsidRPr="00F1660D">
        <w:rPr>
          <w:lang w:val="fr-FR"/>
        </w:rPr>
        <w:t>organisations internationales [et régionales] [,</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banques de développement],</w:t>
      </w:r>
      <w:r w:rsidR="00A50629" w:rsidRPr="00F1660D">
        <w:rPr>
          <w:lang w:val="fr-FR"/>
        </w:rPr>
        <w:t xml:space="preserve"> le </w:t>
      </w:r>
      <w:r w:rsidRPr="00F1660D">
        <w:rPr>
          <w:lang w:val="fr-FR"/>
        </w:rPr>
        <w:t xml:space="preserve">Programme </w:t>
      </w:r>
      <w:proofErr w:type="spellStart"/>
      <w:r w:rsidRPr="00F1660D">
        <w:rPr>
          <w:lang w:val="fr-FR"/>
        </w:rPr>
        <w:t>interorganisations</w:t>
      </w:r>
      <w:proofErr w:type="spellEnd"/>
      <w:r w:rsidRPr="00F1660D">
        <w:rPr>
          <w:lang w:val="fr-FR"/>
        </w:rPr>
        <w:t xml:space="preserv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les </w:t>
      </w:r>
      <w:r w:rsidRPr="00F1660D">
        <w:rPr>
          <w:lang w:val="fr-FR"/>
        </w:rPr>
        <w:t>conventions relatives aux produits chimiques et aux déchets devraient [, dans</w:t>
      </w:r>
      <w:r w:rsidR="00A50629" w:rsidRPr="00F1660D">
        <w:rPr>
          <w:lang w:val="fr-FR"/>
        </w:rPr>
        <w:t xml:space="preserve"> la </w:t>
      </w:r>
      <w:r w:rsidRPr="00F1660D">
        <w:rPr>
          <w:lang w:val="fr-FR"/>
        </w:rPr>
        <w:t>mesure du possible et dans</w:t>
      </w:r>
      <w:r w:rsidR="00A50629" w:rsidRPr="00F1660D">
        <w:rPr>
          <w:lang w:val="fr-FR"/>
        </w:rPr>
        <w:t xml:space="preserve"> le</w:t>
      </w:r>
      <w:r w:rsidR="00736699" w:rsidRPr="00F1660D">
        <w:rPr>
          <w:lang w:val="fr-FR"/>
        </w:rPr>
        <w:t xml:space="preserve"> cadre </w:t>
      </w:r>
      <w:r w:rsidRPr="00F1660D">
        <w:rPr>
          <w:lang w:val="fr-FR"/>
        </w:rPr>
        <w:t>de leurs mandats respectifs,] [renforcer leur coordination concernant] [coordonner]</w:t>
      </w:r>
      <w:r w:rsidR="00A50629" w:rsidRPr="00F1660D">
        <w:rPr>
          <w:lang w:val="fr-FR"/>
        </w:rPr>
        <w:t xml:space="preserve"> les </w:t>
      </w:r>
      <w:r w:rsidRPr="00F1660D">
        <w:rPr>
          <w:lang w:val="fr-FR"/>
        </w:rPr>
        <w:t>activités et programmes de travail pertinents, conformément</w:t>
      </w:r>
      <w:r w:rsidR="00A50629" w:rsidRPr="00F1660D">
        <w:rPr>
          <w:lang w:val="fr-FR"/>
        </w:rPr>
        <w:t xml:space="preserve"> au </w:t>
      </w:r>
      <w:r w:rsidRPr="00F1660D">
        <w:rPr>
          <w:lang w:val="fr-FR"/>
        </w:rPr>
        <w:t>Programme 2030.</w:t>
      </w:r>
      <w:r w:rsidR="00A50629" w:rsidRPr="00F1660D">
        <w:rPr>
          <w:lang w:val="fr-FR"/>
        </w:rPr>
        <w:t xml:space="preserve"> Les </w:t>
      </w:r>
      <w:r w:rsidRPr="00F1660D">
        <w:rPr>
          <w:lang w:val="fr-FR"/>
        </w:rPr>
        <w:t>conventions et programmes régionaux peuvent aussi contribuer de manière significative à</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et devraient travailler en coordination, s’il</w:t>
      </w:r>
      <w:r w:rsidR="00A50629" w:rsidRPr="00F1660D">
        <w:rPr>
          <w:lang w:val="fr-FR"/>
        </w:rPr>
        <w:t xml:space="preserve"> y </w:t>
      </w:r>
      <w:r w:rsidRPr="00F1660D">
        <w:rPr>
          <w:lang w:val="fr-FR"/>
        </w:rPr>
        <w:t>a lieu.</w:t>
      </w:r>
    </w:p>
    <w:p w14:paraId="36ED1327" w14:textId="5D4238DD" w:rsidR="001420CF" w:rsidRPr="00F1660D" w:rsidRDefault="001420CF" w:rsidP="001420CF">
      <w:pPr>
        <w:pStyle w:val="CH3"/>
        <w:rPr>
          <w:lang w:val="fr-FR"/>
        </w:rPr>
      </w:pPr>
      <w:r w:rsidRPr="00F1660D">
        <w:rPr>
          <w:lang w:val="fr-FR"/>
        </w:rPr>
        <w:tab/>
        <w:t>5.</w:t>
      </w:r>
      <w:r w:rsidRPr="00F1660D">
        <w:rPr>
          <w:lang w:val="fr-FR"/>
        </w:rPr>
        <w:tab/>
        <w:t>Engagement</w:t>
      </w:r>
      <w:r w:rsidR="00A50629" w:rsidRPr="00F1660D">
        <w:rPr>
          <w:lang w:val="fr-FR"/>
        </w:rPr>
        <w:t xml:space="preserve"> des </w:t>
      </w:r>
      <w:r w:rsidRPr="00F1660D">
        <w:rPr>
          <w:lang w:val="fr-FR"/>
        </w:rPr>
        <w:t xml:space="preserve">acteurs non gouvernementaux </w:t>
      </w:r>
    </w:p>
    <w:p w14:paraId="40049B8E" w14:textId="0D4A5356" w:rsidR="001420CF" w:rsidRPr="00F1660D" w:rsidRDefault="001420CF" w:rsidP="001420CF">
      <w:pPr>
        <w:pStyle w:val="NormalNonumber"/>
        <w:ind w:left="1814" w:hanging="567"/>
        <w:rPr>
          <w:color w:val="000000"/>
          <w:shd w:val="clear" w:color="auto" w:fill="FFFFFF"/>
          <w:lang w:val="fr-FR"/>
        </w:rPr>
      </w:pPr>
      <w:r w:rsidRPr="00F1660D">
        <w:rPr>
          <w:lang w:val="fr-FR"/>
        </w:rPr>
        <w:t>i)</w:t>
      </w:r>
      <w:r w:rsidRPr="00F1660D">
        <w:rPr>
          <w:lang w:val="fr-FR"/>
        </w:rPr>
        <w:tab/>
        <w:t>Les acteurs non gouvernementaux devraient continuer de contribuer activement à l’apport de compétences techniques, données et connaissances concernant</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qui fait partie intégrante du Programme 2030.</w:t>
      </w:r>
    </w:p>
    <w:p w14:paraId="0BD06F01" w14:textId="7BB8E93F" w:rsidR="001420CF" w:rsidRPr="00F1660D" w:rsidRDefault="001420CF" w:rsidP="001420CF">
      <w:pPr>
        <w:pStyle w:val="CH3"/>
        <w:rPr>
          <w:iCs/>
          <w:lang w:val="fr-FR"/>
        </w:rPr>
      </w:pPr>
      <w:r w:rsidRPr="00F1660D">
        <w:rPr>
          <w:lang w:val="fr-FR"/>
        </w:rPr>
        <w:tab/>
      </w:r>
      <w:r w:rsidRPr="00F1660D">
        <w:rPr>
          <w:lang w:val="fr-FR"/>
        </w:rPr>
        <w:tab/>
        <w:t>Engagement de</w:t>
      </w:r>
      <w:r w:rsidR="00A50629" w:rsidRPr="00F1660D">
        <w:rPr>
          <w:lang w:val="fr-FR"/>
        </w:rPr>
        <w:t xml:space="preserve"> la </w:t>
      </w:r>
      <w:r w:rsidRPr="00F1660D">
        <w:rPr>
          <w:lang w:val="fr-FR"/>
        </w:rPr>
        <w:t>société civile</w:t>
      </w:r>
    </w:p>
    <w:p w14:paraId="563F39BA" w14:textId="3CD4DED2" w:rsidR="001420CF" w:rsidRPr="00F1660D" w:rsidRDefault="001420CF" w:rsidP="001420CF">
      <w:pPr>
        <w:pStyle w:val="NormalNonumber"/>
        <w:ind w:left="1814" w:hanging="567"/>
        <w:rPr>
          <w:lang w:val="fr-FR"/>
        </w:rPr>
      </w:pPr>
      <w:r w:rsidRPr="00F1660D">
        <w:rPr>
          <w:lang w:val="fr-FR"/>
        </w:rPr>
        <w:t>ii)</w:t>
      </w:r>
      <w:r w:rsidRPr="00F1660D">
        <w:rPr>
          <w:lang w:val="fr-FR"/>
        </w:rPr>
        <w:tab/>
        <w:t>Un véritable engagement</w:t>
      </w:r>
      <w:r w:rsidR="00A50629" w:rsidRPr="00F1660D">
        <w:rPr>
          <w:lang w:val="fr-FR"/>
        </w:rPr>
        <w:t xml:space="preserve"> des </w:t>
      </w:r>
      <w:r w:rsidRPr="00F1660D">
        <w:rPr>
          <w:lang w:val="fr-FR"/>
        </w:rPr>
        <w:t>organisations non gouvernementales d’intérêt public et</w:t>
      </w:r>
      <w:r w:rsidR="00A50629" w:rsidRPr="00F1660D">
        <w:rPr>
          <w:lang w:val="fr-FR"/>
        </w:rPr>
        <w:t xml:space="preserve"> des </w:t>
      </w:r>
      <w:r w:rsidRPr="00F1660D">
        <w:rPr>
          <w:lang w:val="fr-FR"/>
        </w:rPr>
        <w:t>organisations de</w:t>
      </w:r>
      <w:r w:rsidR="00A50629" w:rsidRPr="00F1660D">
        <w:rPr>
          <w:lang w:val="fr-FR"/>
        </w:rPr>
        <w:t xml:space="preserve"> la </w:t>
      </w:r>
      <w:r w:rsidRPr="00F1660D">
        <w:rPr>
          <w:lang w:val="fr-FR"/>
        </w:rPr>
        <w:t>société civile peut contribuer de manière significative à</w:t>
      </w:r>
      <w:r w:rsidR="00A50629" w:rsidRPr="00F1660D">
        <w:rPr>
          <w:lang w:val="fr-FR"/>
        </w:rPr>
        <w:t xml:space="preserve"> la </w:t>
      </w:r>
      <w:r w:rsidRPr="00F1660D">
        <w:rPr>
          <w:lang w:val="fr-FR"/>
        </w:rPr>
        <w:t>mise en œuvre [et à</w:t>
      </w:r>
      <w:r w:rsidR="00A50629" w:rsidRPr="00F1660D">
        <w:rPr>
          <w:lang w:val="fr-FR"/>
        </w:rPr>
        <w:t xml:space="preserve"> la </w:t>
      </w:r>
      <w:r w:rsidRPr="00F1660D">
        <w:rPr>
          <w:lang w:val="fr-FR"/>
        </w:rPr>
        <w:t>réalisation]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Ces organisations peuvent jouer un rôle efficace en matière de sécurité chimique en produisant</w:t>
      </w:r>
      <w:r w:rsidR="00A50629" w:rsidRPr="00F1660D">
        <w:rPr>
          <w:lang w:val="fr-FR"/>
        </w:rPr>
        <w:t xml:space="preserve"> des </w:t>
      </w:r>
      <w:r w:rsidRPr="00F1660D">
        <w:rPr>
          <w:lang w:val="fr-FR"/>
        </w:rPr>
        <w:t>données, en sensibilisant</w:t>
      </w:r>
      <w:r w:rsidR="00A50629" w:rsidRPr="00F1660D">
        <w:rPr>
          <w:lang w:val="fr-FR"/>
        </w:rPr>
        <w:t xml:space="preserve"> le </w:t>
      </w:r>
      <w:r w:rsidRPr="00F1660D">
        <w:rPr>
          <w:lang w:val="fr-FR"/>
        </w:rPr>
        <w:t>public [et</w:t>
      </w:r>
      <w:r w:rsidR="00A50629" w:rsidRPr="00F1660D">
        <w:rPr>
          <w:lang w:val="fr-FR"/>
        </w:rPr>
        <w:t xml:space="preserve"> les </w:t>
      </w:r>
      <w:r w:rsidRPr="00F1660D">
        <w:rPr>
          <w:lang w:val="fr-FR"/>
        </w:rPr>
        <w:t>hauts responsables] et en contribuant à</w:t>
      </w:r>
      <w:r w:rsidR="00A50629" w:rsidRPr="00F1660D">
        <w:rPr>
          <w:lang w:val="fr-FR"/>
        </w:rPr>
        <w:t xml:space="preserve"> la </w:t>
      </w:r>
      <w:r w:rsidRPr="00F1660D">
        <w:rPr>
          <w:lang w:val="fr-FR"/>
        </w:rPr>
        <w:t>conception et</w:t>
      </w:r>
      <w:r w:rsidR="00A50629" w:rsidRPr="00F1660D">
        <w:rPr>
          <w:lang w:val="fr-FR"/>
        </w:rPr>
        <w:t xml:space="preserve"> la </w:t>
      </w:r>
      <w:r w:rsidRPr="00F1660D">
        <w:rPr>
          <w:lang w:val="fr-FR"/>
        </w:rPr>
        <w:t>mise en œuvre de politiques et de programmes relatifs à</w:t>
      </w:r>
      <w:r w:rsidR="00A50629" w:rsidRPr="00F1660D">
        <w:rPr>
          <w:lang w:val="fr-FR"/>
        </w:rPr>
        <w:t xml:space="preserve"> la </w:t>
      </w:r>
      <w:r w:rsidRPr="00F1660D">
        <w:rPr>
          <w:lang w:val="fr-FR"/>
        </w:rPr>
        <w:t>sécurité chimique [, et en fournissant</w:t>
      </w:r>
      <w:r w:rsidR="00A50629" w:rsidRPr="00F1660D">
        <w:rPr>
          <w:lang w:val="fr-FR"/>
        </w:rPr>
        <w:t xml:space="preserve"> des </w:t>
      </w:r>
      <w:r w:rsidRPr="00F1660D">
        <w:rPr>
          <w:lang w:val="fr-FR"/>
        </w:rPr>
        <w:t>informations sur</w:t>
      </w:r>
      <w:r w:rsidR="00A50629" w:rsidRPr="00F1660D">
        <w:rPr>
          <w:lang w:val="fr-FR"/>
        </w:rPr>
        <w:t xml:space="preserve"> les </w:t>
      </w:r>
      <w:r w:rsidRPr="00F1660D">
        <w:rPr>
          <w:lang w:val="fr-FR"/>
        </w:rPr>
        <w:t>solutions de remplacement, en</w:t>
      </w:r>
      <w:r w:rsidR="00A50629" w:rsidRPr="00F1660D">
        <w:rPr>
          <w:lang w:val="fr-FR"/>
        </w:rPr>
        <w:t xml:space="preserve"> les </w:t>
      </w:r>
      <w:r w:rsidRPr="00F1660D">
        <w:rPr>
          <w:lang w:val="fr-FR"/>
        </w:rPr>
        <w:t>faisant mieux connaître et en appuyant leur mise en œuvre]. [, ainsi qu’en prenant part aux activités de coopération et de partenariat avec d’autres secteurs et en</w:t>
      </w:r>
      <w:r w:rsidR="00A50629" w:rsidRPr="00F1660D">
        <w:rPr>
          <w:lang w:val="fr-FR"/>
        </w:rPr>
        <w:t xml:space="preserve"> les </w:t>
      </w:r>
      <w:r w:rsidRPr="00F1660D">
        <w:rPr>
          <w:lang w:val="fr-FR"/>
        </w:rPr>
        <w:t>promouvant.]</w:t>
      </w:r>
    </w:p>
    <w:p w14:paraId="52966F88" w14:textId="4BB88F78" w:rsidR="001420CF" w:rsidRPr="00F1660D" w:rsidRDefault="001420CF" w:rsidP="001420CF">
      <w:pPr>
        <w:pStyle w:val="Normalnumber"/>
        <w:keepNext/>
        <w:keepLines/>
        <w:numPr>
          <w:ilvl w:val="0"/>
          <w:numId w:val="0"/>
        </w:numPr>
        <w:ind w:left="1247"/>
        <w:rPr>
          <w:b/>
          <w:iCs/>
          <w:lang w:val="fr-FR"/>
        </w:rPr>
      </w:pPr>
      <w:r w:rsidRPr="00F1660D">
        <w:rPr>
          <w:b/>
          <w:bCs/>
          <w:lang w:val="fr-FR"/>
        </w:rPr>
        <w:t>Engagement de l’industrie et</w:t>
      </w:r>
      <w:r w:rsidR="00A50629" w:rsidRPr="00F1660D">
        <w:rPr>
          <w:b/>
          <w:bCs/>
          <w:lang w:val="fr-FR"/>
        </w:rPr>
        <w:t xml:space="preserve"> des </w:t>
      </w:r>
      <w:r w:rsidRPr="00F1660D">
        <w:rPr>
          <w:b/>
          <w:bCs/>
          <w:lang w:val="fr-FR"/>
        </w:rPr>
        <w:t>entreprises</w:t>
      </w:r>
    </w:p>
    <w:p w14:paraId="7041A1E0" w14:textId="35BD134D" w:rsidR="001420CF" w:rsidRPr="00F1660D" w:rsidRDefault="001420CF" w:rsidP="001420CF">
      <w:pPr>
        <w:pStyle w:val="NormalNonumber"/>
        <w:ind w:left="1814" w:hanging="567"/>
        <w:rPr>
          <w:lang w:val="fr-FR"/>
        </w:rPr>
      </w:pPr>
      <w:r w:rsidRPr="00F1660D">
        <w:rPr>
          <w:lang w:val="fr-FR"/>
        </w:rPr>
        <w:t>i)</w:t>
      </w:r>
      <w:r w:rsidRPr="00F1660D">
        <w:rPr>
          <w:lang w:val="fr-FR"/>
        </w:rPr>
        <w:tab/>
        <w:t>Les industries et</w:t>
      </w:r>
      <w:r w:rsidR="00A50629" w:rsidRPr="00F1660D">
        <w:rPr>
          <w:lang w:val="fr-FR"/>
        </w:rPr>
        <w:t xml:space="preserve"> les </w:t>
      </w:r>
      <w:r w:rsidRPr="00F1660D">
        <w:rPr>
          <w:lang w:val="fr-FR"/>
        </w:rPr>
        <w:t>entreprises peuvent, par</w:t>
      </w:r>
      <w:r w:rsidR="00A50629" w:rsidRPr="00F1660D">
        <w:rPr>
          <w:lang w:val="fr-FR"/>
        </w:rPr>
        <w:t xml:space="preserve"> des </w:t>
      </w:r>
      <w:r w:rsidRPr="00F1660D">
        <w:rPr>
          <w:lang w:val="fr-FR"/>
        </w:rPr>
        <w:t>actions concertées, un renforcement</w:t>
      </w:r>
      <w:r w:rsidR="00A50629" w:rsidRPr="00F1660D">
        <w:rPr>
          <w:lang w:val="fr-FR"/>
        </w:rPr>
        <w:t xml:space="preserve"> des </w:t>
      </w:r>
      <w:r w:rsidRPr="00F1660D">
        <w:rPr>
          <w:lang w:val="fr-FR"/>
        </w:rPr>
        <w:t>capacités et</w:t>
      </w:r>
      <w:r w:rsidR="00A50629" w:rsidRPr="00F1660D">
        <w:rPr>
          <w:lang w:val="fr-FR"/>
        </w:rPr>
        <w:t xml:space="preserve"> le </w:t>
      </w:r>
      <w:r w:rsidRPr="00F1660D">
        <w:rPr>
          <w:lang w:val="fr-FR"/>
        </w:rPr>
        <w:t>tutorat sur</w:t>
      </w:r>
      <w:r w:rsidR="00A50629" w:rsidRPr="00F1660D">
        <w:rPr>
          <w:lang w:val="fr-FR"/>
        </w:rPr>
        <w:t xml:space="preserve"> les </w:t>
      </w:r>
      <w:r w:rsidRPr="00F1660D">
        <w:rPr>
          <w:lang w:val="fr-FR"/>
        </w:rPr>
        <w:t>priorités mondiales [, régionales et nationales], peuvent contribuer de manière significative à</w:t>
      </w:r>
      <w:r w:rsidR="00A50629" w:rsidRPr="00F1660D">
        <w:rPr>
          <w:lang w:val="fr-FR"/>
        </w:rPr>
        <w:t xml:space="preserve"> la </w:t>
      </w:r>
      <w:r w:rsidRPr="00F1660D">
        <w:rPr>
          <w:lang w:val="fr-FR"/>
        </w:rPr>
        <w:t>mise en œuvre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Cela passe, entre autres, par</w:t>
      </w:r>
      <w:r w:rsidR="00A50629" w:rsidRPr="00F1660D">
        <w:rPr>
          <w:lang w:val="fr-FR"/>
        </w:rPr>
        <w:t xml:space="preserve"> des </w:t>
      </w:r>
      <w:r w:rsidRPr="00F1660D">
        <w:rPr>
          <w:lang w:val="fr-FR"/>
        </w:rPr>
        <w:t>initiatives sectorielles volontaires, une gestion responsable</w:t>
      </w:r>
      <w:r w:rsidR="00A50629" w:rsidRPr="00F1660D">
        <w:rPr>
          <w:lang w:val="fr-FR"/>
        </w:rPr>
        <w:t xml:space="preserve"> des </w:t>
      </w:r>
      <w:r w:rsidRPr="00F1660D">
        <w:rPr>
          <w:lang w:val="fr-FR"/>
        </w:rPr>
        <w:t>produits, [la recherche et l’innovation pour</w:t>
      </w:r>
      <w:r w:rsidR="00A50629" w:rsidRPr="00F1660D">
        <w:rPr>
          <w:lang w:val="fr-FR"/>
        </w:rPr>
        <w:t xml:space="preserve"> des </w:t>
      </w:r>
      <w:r w:rsidRPr="00F1660D">
        <w:rPr>
          <w:lang w:val="fr-FR"/>
        </w:rPr>
        <w:t>solutions de remplacement plus sûres], [la mise en place] [d’une] [des solutions chimiques] [une] chimie verte[s] [et durables] [en matière de conception</w:t>
      </w:r>
      <w:r w:rsidR="00A50629" w:rsidRPr="00F1660D">
        <w:rPr>
          <w:lang w:val="fr-FR"/>
        </w:rPr>
        <w:t xml:space="preserve"> des </w:t>
      </w:r>
      <w:r w:rsidRPr="00F1660D">
        <w:rPr>
          <w:lang w:val="fr-FR"/>
        </w:rPr>
        <w:t>produits,</w:t>
      </w:r>
      <w:r w:rsidR="00A50629" w:rsidRPr="00F1660D">
        <w:rPr>
          <w:lang w:val="fr-FR"/>
        </w:rPr>
        <w:t xml:space="preserve"> la </w:t>
      </w:r>
      <w:r w:rsidRPr="00F1660D">
        <w:rPr>
          <w:lang w:val="fr-FR"/>
        </w:rPr>
        <w:t>fabrication de produits non toxiques, durables, réutilisables et recyclables,</w:t>
      </w:r>
      <w:r w:rsidR="00A50629" w:rsidRPr="00F1660D">
        <w:rPr>
          <w:lang w:val="fr-FR"/>
        </w:rPr>
        <w:t xml:space="preserve"> des </w:t>
      </w:r>
      <w:r w:rsidRPr="00F1660D">
        <w:rPr>
          <w:lang w:val="fr-FR"/>
        </w:rPr>
        <w:t>activités de dépollution et d’indemnisation</w:t>
      </w:r>
      <w:r w:rsidR="00A50629" w:rsidRPr="00F1660D">
        <w:rPr>
          <w:lang w:val="fr-FR"/>
        </w:rPr>
        <w:t xml:space="preserve"> des </w:t>
      </w:r>
      <w:r w:rsidRPr="00F1660D">
        <w:rPr>
          <w:lang w:val="fr-FR"/>
        </w:rPr>
        <w:t>dommages dus à</w:t>
      </w:r>
      <w:r w:rsidR="00A50629" w:rsidRPr="00F1660D">
        <w:rPr>
          <w:lang w:val="fr-FR"/>
        </w:rPr>
        <w:t xml:space="preserve"> la </w:t>
      </w:r>
      <w:r w:rsidRPr="00F1660D">
        <w:rPr>
          <w:lang w:val="fr-FR"/>
        </w:rPr>
        <w:t>pollution] et l’échange d’informations [, en vue de fabriquer</w:t>
      </w:r>
      <w:r w:rsidR="00A50629" w:rsidRPr="00F1660D">
        <w:rPr>
          <w:lang w:val="fr-FR"/>
        </w:rPr>
        <w:t xml:space="preserve"> des </w:t>
      </w:r>
      <w:r w:rsidRPr="00F1660D">
        <w:rPr>
          <w:lang w:val="fr-FR"/>
        </w:rPr>
        <w:t>produits non toxiques, durables et réutilisables,</w:t>
      </w:r>
      <w:r w:rsidR="00A50629" w:rsidRPr="00F1660D">
        <w:rPr>
          <w:lang w:val="fr-FR"/>
        </w:rPr>
        <w:t xml:space="preserve"> la </w:t>
      </w:r>
      <w:r w:rsidRPr="00F1660D">
        <w:rPr>
          <w:lang w:val="fr-FR"/>
        </w:rPr>
        <w:t>fourniture d’informations complètes sur</w:t>
      </w:r>
      <w:r w:rsidR="00A50629" w:rsidRPr="00F1660D">
        <w:rPr>
          <w:lang w:val="fr-FR"/>
        </w:rPr>
        <w:t xml:space="preserve"> la </w:t>
      </w:r>
      <w:r w:rsidRPr="00F1660D">
        <w:rPr>
          <w:lang w:val="fr-FR"/>
        </w:rPr>
        <w:t>toxicité et l’utilisation de l’ensemble</w:t>
      </w:r>
      <w:r w:rsidR="00A50629" w:rsidRPr="00F1660D">
        <w:rPr>
          <w:lang w:val="fr-FR"/>
        </w:rPr>
        <w:t xml:space="preserve"> des </w:t>
      </w:r>
      <w:r w:rsidRPr="00F1660D">
        <w:rPr>
          <w:lang w:val="fr-FR"/>
        </w:rPr>
        <w:t>produits chimiques,</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nanomatériaux,</w:t>
      </w:r>
      <w:r w:rsidR="00A50629" w:rsidRPr="00F1660D">
        <w:rPr>
          <w:lang w:val="fr-FR"/>
        </w:rPr>
        <w:t xml:space="preserve"> la </w:t>
      </w:r>
      <w:r w:rsidRPr="00F1660D">
        <w:rPr>
          <w:lang w:val="fr-FR"/>
        </w:rPr>
        <w:t>réalisation d’un objectif zéro rejets de produits chimiques et de déchets durant</w:t>
      </w:r>
      <w:r w:rsidR="00A50629" w:rsidRPr="00F1660D">
        <w:rPr>
          <w:lang w:val="fr-FR"/>
        </w:rPr>
        <w:t xml:space="preserve"> la </w:t>
      </w:r>
      <w:r w:rsidRPr="00F1660D">
        <w:rPr>
          <w:lang w:val="fr-FR"/>
        </w:rPr>
        <w:t>production,</w:t>
      </w:r>
      <w:r w:rsidR="00A50629" w:rsidRPr="00F1660D">
        <w:rPr>
          <w:lang w:val="fr-FR"/>
        </w:rPr>
        <w:t xml:space="preserve"> la </w:t>
      </w:r>
      <w:r w:rsidRPr="00F1660D">
        <w:rPr>
          <w:lang w:val="fr-FR"/>
        </w:rPr>
        <w:t>prise en compte de</w:t>
      </w:r>
      <w:r w:rsidR="00A50629" w:rsidRPr="00F1660D">
        <w:rPr>
          <w:lang w:val="fr-FR"/>
        </w:rPr>
        <w:t xml:space="preserve"> la </w:t>
      </w:r>
      <w:r w:rsidRPr="00F1660D">
        <w:rPr>
          <w:lang w:val="fr-FR"/>
        </w:rPr>
        <w:t>totalité</w:t>
      </w:r>
      <w:r w:rsidR="00A50629" w:rsidRPr="00F1660D">
        <w:rPr>
          <w:lang w:val="fr-FR"/>
        </w:rPr>
        <w:t xml:space="preserve"> des </w:t>
      </w:r>
      <w:r w:rsidRPr="00F1660D">
        <w:rPr>
          <w:lang w:val="fr-FR"/>
        </w:rPr>
        <w:t>coûts engendrés par</w:t>
      </w:r>
      <w:r w:rsidR="00A50629" w:rsidRPr="00F1660D">
        <w:rPr>
          <w:lang w:val="fr-FR"/>
        </w:rPr>
        <w:t xml:space="preserve"> la </w:t>
      </w:r>
      <w:r w:rsidRPr="00F1660D">
        <w:rPr>
          <w:lang w:val="fr-FR"/>
        </w:rPr>
        <w:t>production de produits chimiques,</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déchets et</w:t>
      </w:r>
      <w:r w:rsidR="00A50629" w:rsidRPr="00F1660D">
        <w:rPr>
          <w:lang w:val="fr-FR"/>
        </w:rPr>
        <w:t xml:space="preserve"> les </w:t>
      </w:r>
      <w:r w:rsidRPr="00F1660D">
        <w:rPr>
          <w:lang w:val="fr-FR"/>
        </w:rPr>
        <w:t>infrastructures de recyclage, et</w:t>
      </w:r>
      <w:r w:rsidR="00A50629" w:rsidRPr="00F1660D">
        <w:rPr>
          <w:lang w:val="fr-FR"/>
        </w:rPr>
        <w:t xml:space="preserve"> le </w:t>
      </w:r>
      <w:r w:rsidRPr="00F1660D">
        <w:rPr>
          <w:lang w:val="fr-FR"/>
        </w:rPr>
        <w:t>respect</w:t>
      </w:r>
      <w:r w:rsidR="00A50629" w:rsidRPr="00F1660D">
        <w:rPr>
          <w:lang w:val="fr-FR"/>
        </w:rPr>
        <w:t xml:space="preserve"> des </w:t>
      </w:r>
      <w:r w:rsidRPr="00F1660D">
        <w:rPr>
          <w:lang w:val="fr-FR"/>
        </w:rPr>
        <w:t>Principes directeurs relatifs aux entreprises et aux droits de l’homme</w:t>
      </w:r>
      <w:r w:rsidR="00A50629" w:rsidRPr="00F1660D">
        <w:rPr>
          <w:lang w:val="fr-FR"/>
        </w:rPr>
        <w:t xml:space="preserve"> des </w:t>
      </w:r>
      <w:r w:rsidRPr="00F1660D">
        <w:rPr>
          <w:lang w:val="fr-FR"/>
        </w:rPr>
        <w:t>Nations Unies].</w:t>
      </w:r>
    </w:p>
    <w:p w14:paraId="20EBF6AD" w14:textId="11D6CD7E" w:rsidR="001420CF" w:rsidRPr="00F1660D" w:rsidRDefault="001420CF" w:rsidP="001420CF">
      <w:pPr>
        <w:pStyle w:val="NormalNonumber"/>
        <w:ind w:left="1814" w:hanging="567"/>
        <w:rPr>
          <w:lang w:val="fr-FR"/>
        </w:rPr>
      </w:pPr>
      <w:r w:rsidRPr="00F1660D">
        <w:rPr>
          <w:lang w:val="fr-FR"/>
        </w:rPr>
        <w:t>ii)</w:t>
      </w:r>
      <w:r w:rsidRPr="00F1660D">
        <w:rPr>
          <w:lang w:val="fr-FR"/>
        </w:rPr>
        <w:tab/>
        <w:t>Tous</w:t>
      </w:r>
      <w:r w:rsidR="00A50629" w:rsidRPr="00F1660D">
        <w:rPr>
          <w:lang w:val="fr-FR"/>
        </w:rPr>
        <w:t xml:space="preserve"> les </w:t>
      </w:r>
      <w:r w:rsidRPr="00F1660D">
        <w:rPr>
          <w:lang w:val="fr-FR"/>
        </w:rPr>
        <w:t>secteurs de l’industrie devraient participer à l’élaboration</w:t>
      </w:r>
      <w:r w:rsidR="00A50629" w:rsidRPr="00F1660D">
        <w:rPr>
          <w:lang w:val="fr-FR"/>
        </w:rPr>
        <w:t xml:space="preserve"> des </w:t>
      </w:r>
      <w:r w:rsidRPr="00F1660D">
        <w:rPr>
          <w:lang w:val="fr-FR"/>
        </w:rPr>
        <w:t>politiques,</w:t>
      </w:r>
      <w:r w:rsidR="00A50629" w:rsidRPr="00F1660D">
        <w:rPr>
          <w:lang w:val="fr-FR"/>
        </w:rPr>
        <w:t xml:space="preserve"> des </w:t>
      </w:r>
      <w:r w:rsidRPr="00F1660D">
        <w:rPr>
          <w:lang w:val="fr-FR"/>
        </w:rPr>
        <w:t>projets et</w:t>
      </w:r>
      <w:r w:rsidR="00A50629" w:rsidRPr="00F1660D">
        <w:rPr>
          <w:lang w:val="fr-FR"/>
        </w:rPr>
        <w:t xml:space="preserve"> des </w:t>
      </w:r>
      <w:r w:rsidRPr="00F1660D">
        <w:rPr>
          <w:lang w:val="fr-FR"/>
        </w:rPr>
        <w:t>partenariats sur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[sauf en cas de conflit d’intérêts, ainsi qu’à leur mise en œuvre] [ainsi qu’à</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obligations légales, sauf en cas de conflit d’intérêts]. Une bonne gestion</w:t>
      </w:r>
      <w:r w:rsidR="00A50629" w:rsidRPr="00F1660D">
        <w:rPr>
          <w:lang w:val="fr-FR"/>
        </w:rPr>
        <w:t xml:space="preserve"> des </w:t>
      </w:r>
      <w:r w:rsidRPr="00F1660D">
        <w:rPr>
          <w:lang w:val="fr-FR"/>
        </w:rPr>
        <w:t>produits chimiques devrait englober l’ensemble du cycle de vie, notamment [la recherche et l’innovation,]</w:t>
      </w:r>
      <w:r w:rsidR="00A50629" w:rsidRPr="00F1660D">
        <w:rPr>
          <w:lang w:val="fr-FR"/>
        </w:rPr>
        <w:t xml:space="preserve"> les </w:t>
      </w:r>
      <w:r w:rsidRPr="00F1660D">
        <w:rPr>
          <w:lang w:val="fr-FR"/>
        </w:rPr>
        <w:t>producteurs primaires,</w:t>
      </w:r>
      <w:r w:rsidR="00A50629" w:rsidRPr="00F1660D">
        <w:rPr>
          <w:lang w:val="fr-FR"/>
        </w:rPr>
        <w:t xml:space="preserve"> le </w:t>
      </w:r>
      <w:r w:rsidRPr="00F1660D">
        <w:rPr>
          <w:lang w:val="fr-FR"/>
        </w:rPr>
        <w:t>secteur de</w:t>
      </w:r>
      <w:r w:rsidR="00A50629" w:rsidRPr="00F1660D">
        <w:rPr>
          <w:lang w:val="fr-FR"/>
        </w:rPr>
        <w:t xml:space="preserve"> la </w:t>
      </w:r>
      <w:r w:rsidRPr="00F1660D">
        <w:rPr>
          <w:lang w:val="fr-FR"/>
        </w:rPr>
        <w:t>production en aval,</w:t>
      </w:r>
      <w:r w:rsidR="00A50629" w:rsidRPr="00F1660D">
        <w:rPr>
          <w:lang w:val="fr-FR"/>
        </w:rPr>
        <w:t xml:space="preserve"> les </w:t>
      </w:r>
      <w:r w:rsidRPr="00F1660D">
        <w:rPr>
          <w:lang w:val="fr-FR"/>
        </w:rPr>
        <w:t>distributeurs [,] [et]</w:t>
      </w:r>
      <w:r w:rsidR="00A50629" w:rsidRPr="00F1660D">
        <w:rPr>
          <w:lang w:val="fr-FR"/>
        </w:rPr>
        <w:t xml:space="preserve"> les </w:t>
      </w:r>
      <w:r w:rsidRPr="00F1660D">
        <w:rPr>
          <w:lang w:val="fr-FR"/>
        </w:rPr>
        <w:t>fournisseurs, [les recycleurs,</w:t>
      </w:r>
      <w:r w:rsidR="00A50629" w:rsidRPr="00F1660D">
        <w:rPr>
          <w:lang w:val="fr-FR"/>
        </w:rPr>
        <w:t xml:space="preserve"> les </w:t>
      </w:r>
      <w:r w:rsidRPr="00F1660D">
        <w:rPr>
          <w:lang w:val="fr-FR"/>
        </w:rPr>
        <w:t>responsables du traitement</w:t>
      </w:r>
      <w:r w:rsidR="00A50629" w:rsidRPr="00F1660D">
        <w:rPr>
          <w:lang w:val="fr-FR"/>
        </w:rPr>
        <w:t xml:space="preserve"> des </w:t>
      </w:r>
      <w:r w:rsidRPr="00F1660D">
        <w:rPr>
          <w:lang w:val="fr-FR"/>
        </w:rPr>
        <w:t xml:space="preserve">déchets, </w:t>
      </w:r>
      <w:r w:rsidR="00A50629" w:rsidRPr="00F1660D">
        <w:rPr>
          <w:lang w:val="fr-FR"/>
        </w:rPr>
        <w:t>les </w:t>
      </w:r>
      <w:r w:rsidRPr="00F1660D">
        <w:rPr>
          <w:lang w:val="fr-FR"/>
        </w:rPr>
        <w:t>importateurs</w:t>
      </w:r>
      <w:r w:rsidR="00736699" w:rsidRPr="00F1660D">
        <w:rPr>
          <w:lang w:val="fr-FR"/>
        </w:rPr>
        <w:t xml:space="preserve"> et les exportateurs</w:t>
      </w:r>
      <w:r w:rsidRPr="00F1660D">
        <w:rPr>
          <w:lang w:val="fr-FR"/>
        </w:rPr>
        <w:t>], en faisant fond sur</w:t>
      </w:r>
      <w:r w:rsidR="00A50629" w:rsidRPr="00F1660D">
        <w:rPr>
          <w:lang w:val="fr-FR"/>
        </w:rPr>
        <w:t xml:space="preserve"> les </w:t>
      </w:r>
      <w:r w:rsidRPr="00F1660D">
        <w:rPr>
          <w:lang w:val="fr-FR"/>
        </w:rPr>
        <w:t>initiatives existantes,</w:t>
      </w:r>
      <w:r w:rsidR="00A50629" w:rsidRPr="00F1660D">
        <w:rPr>
          <w:lang w:val="fr-FR"/>
        </w:rPr>
        <w:t xml:space="preserve"> le </w:t>
      </w:r>
      <w:r w:rsidRPr="00F1660D">
        <w:rPr>
          <w:lang w:val="fr-FR"/>
        </w:rPr>
        <w:t>cas échéant. Le recours à</w:t>
      </w:r>
      <w:r w:rsidR="00A50629" w:rsidRPr="00F1660D">
        <w:rPr>
          <w:lang w:val="fr-FR"/>
        </w:rPr>
        <w:t xml:space="preserve"> des </w:t>
      </w:r>
      <w:r w:rsidRPr="00F1660D">
        <w:rPr>
          <w:lang w:val="fr-FR"/>
        </w:rPr>
        <w:t>stratégies tant intersectorielles que propres à chaque secteur pourrait servir à mobiliser</w:t>
      </w:r>
      <w:r w:rsidR="00A50629" w:rsidRPr="00F1660D">
        <w:rPr>
          <w:lang w:val="fr-FR"/>
        </w:rPr>
        <w:t xml:space="preserve"> les </w:t>
      </w:r>
      <w:r w:rsidRPr="00F1660D">
        <w:rPr>
          <w:lang w:val="fr-FR"/>
        </w:rPr>
        <w:t>producteurs et</w:t>
      </w:r>
      <w:r w:rsidR="00A50629" w:rsidRPr="00F1660D">
        <w:rPr>
          <w:lang w:val="fr-FR"/>
        </w:rPr>
        <w:t xml:space="preserve"> les </w:t>
      </w:r>
      <w:r w:rsidRPr="00F1660D">
        <w:rPr>
          <w:lang w:val="fr-FR"/>
        </w:rPr>
        <w:t xml:space="preserve">utilisateurs. </w:t>
      </w:r>
    </w:p>
    <w:p w14:paraId="17631EB2" w14:textId="4AC0A5F9" w:rsidR="001420CF" w:rsidRPr="00F1660D" w:rsidRDefault="001420CF" w:rsidP="001420CF">
      <w:pPr>
        <w:pStyle w:val="NormalNonumber"/>
        <w:rPr>
          <w:lang w:val="fr-FR"/>
        </w:rPr>
      </w:pPr>
      <w:r w:rsidRPr="00F1660D">
        <w:rPr>
          <w:lang w:val="fr-FR"/>
        </w:rPr>
        <w:t>[VARIANTE 1. iv) Tous</w:t>
      </w:r>
      <w:r w:rsidR="00A50629" w:rsidRPr="00F1660D">
        <w:rPr>
          <w:lang w:val="fr-FR"/>
        </w:rPr>
        <w:t xml:space="preserve"> les </w:t>
      </w:r>
      <w:r w:rsidRPr="00F1660D">
        <w:rPr>
          <w:lang w:val="fr-FR"/>
        </w:rPr>
        <w:t>secteurs industriels [,</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petites et moyennes entreprises,] devraient participer à l’élaboration et à</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 xml:space="preserve">éléments suivants : </w:t>
      </w:r>
    </w:p>
    <w:p w14:paraId="509D4FF4" w14:textId="5BF9B896" w:rsidR="001420CF" w:rsidRPr="00F1660D" w:rsidRDefault="001420CF" w:rsidP="001420CF">
      <w:pPr>
        <w:pStyle w:val="NormalNonumber"/>
        <w:ind w:left="2381" w:hanging="1134"/>
        <w:rPr>
          <w:lang w:val="fr-FR"/>
        </w:rPr>
      </w:pPr>
      <w:r w:rsidRPr="00F1660D">
        <w:rPr>
          <w:lang w:val="fr-FR"/>
        </w:rPr>
        <w:tab/>
        <w:t>a.</w:t>
      </w:r>
      <w:r w:rsidRPr="00F1660D">
        <w:rPr>
          <w:lang w:val="fr-FR"/>
        </w:rPr>
        <w:tab/>
        <w:t>Les obligations légales et</w:t>
      </w:r>
      <w:r w:rsidR="00A50629" w:rsidRPr="00F1660D">
        <w:rPr>
          <w:lang w:val="fr-FR"/>
        </w:rPr>
        <w:t xml:space="preserve"> les </w:t>
      </w:r>
      <w:r w:rsidRPr="00F1660D">
        <w:rPr>
          <w:lang w:val="fr-FR"/>
        </w:rPr>
        <w:t xml:space="preserve">politiques ; </w:t>
      </w:r>
    </w:p>
    <w:p w14:paraId="3E1133CF" w14:textId="76497123" w:rsidR="001420CF" w:rsidRPr="00F1660D" w:rsidRDefault="001420CF" w:rsidP="001420CF">
      <w:pPr>
        <w:pStyle w:val="NormalNonumber"/>
        <w:ind w:left="2381" w:hanging="1134"/>
        <w:rPr>
          <w:lang w:val="fr-FR"/>
        </w:rPr>
      </w:pPr>
      <w:r w:rsidRPr="00F1660D">
        <w:rPr>
          <w:lang w:val="fr-FR"/>
        </w:rPr>
        <w:tab/>
        <w:t>b.</w:t>
      </w:r>
      <w:r w:rsidRPr="00F1660D">
        <w:rPr>
          <w:lang w:val="fr-FR"/>
        </w:rPr>
        <w:tab/>
        <w:t>[Les règles d’étiquetage et</w:t>
      </w:r>
      <w:r w:rsidR="00A50629" w:rsidRPr="00F1660D">
        <w:rPr>
          <w:lang w:val="fr-FR"/>
        </w:rPr>
        <w:t xml:space="preserve"> les </w:t>
      </w:r>
      <w:r w:rsidRPr="00F1660D">
        <w:rPr>
          <w:lang w:val="fr-FR"/>
        </w:rPr>
        <w:t>normes,</w:t>
      </w:r>
      <w:r w:rsidR="00A50629" w:rsidRPr="00F1660D">
        <w:rPr>
          <w:lang w:val="fr-FR"/>
        </w:rPr>
        <w:t xml:space="preserve"> y </w:t>
      </w:r>
      <w:r w:rsidRPr="00F1660D">
        <w:rPr>
          <w:lang w:val="fr-FR"/>
        </w:rPr>
        <w:t>compris leur harmonisation et l’acceptation mutuelle</w:t>
      </w:r>
      <w:r w:rsidR="00A50629" w:rsidRPr="00F1660D">
        <w:rPr>
          <w:lang w:val="fr-FR"/>
        </w:rPr>
        <w:t xml:space="preserve"> des </w:t>
      </w:r>
      <w:r w:rsidRPr="00F1660D">
        <w:rPr>
          <w:lang w:val="fr-FR"/>
        </w:rPr>
        <w:t>données ;]</w:t>
      </w:r>
    </w:p>
    <w:p w14:paraId="34FD62D1" w14:textId="568C6043" w:rsidR="001420CF" w:rsidRPr="00F1660D" w:rsidRDefault="001420CF" w:rsidP="001420CF">
      <w:pPr>
        <w:pStyle w:val="NormalNonumber"/>
        <w:ind w:left="2381" w:hanging="1134"/>
        <w:rPr>
          <w:lang w:val="fr-FR"/>
        </w:rPr>
      </w:pPr>
      <w:r w:rsidRPr="00F1660D">
        <w:rPr>
          <w:lang w:val="fr-FR"/>
        </w:rPr>
        <w:tab/>
        <w:t>c.</w:t>
      </w:r>
      <w:r w:rsidRPr="00F1660D">
        <w:rPr>
          <w:lang w:val="fr-FR"/>
        </w:rPr>
        <w:tab/>
        <w:t>Les projets et</w:t>
      </w:r>
      <w:r w:rsidR="00A50629" w:rsidRPr="00F1660D">
        <w:rPr>
          <w:lang w:val="fr-FR"/>
        </w:rPr>
        <w:t xml:space="preserve"> les </w:t>
      </w:r>
      <w:r w:rsidRPr="00F1660D">
        <w:rPr>
          <w:lang w:val="fr-FR"/>
        </w:rPr>
        <w:t>partenariats sur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w:t>
      </w:r>
    </w:p>
    <w:p w14:paraId="77C4C4DD" w14:textId="0FDDE42E" w:rsidR="001420CF" w:rsidRPr="00F1660D" w:rsidRDefault="001420CF" w:rsidP="001420CF">
      <w:pPr>
        <w:pStyle w:val="NormalNonumber"/>
        <w:ind w:left="2381" w:hanging="1134"/>
        <w:rPr>
          <w:lang w:val="fr-FR"/>
        </w:rPr>
      </w:pPr>
      <w:r w:rsidRPr="00F1660D">
        <w:rPr>
          <w:lang w:val="fr-FR"/>
        </w:rPr>
        <w:tab/>
        <w:t>d.</w:t>
      </w:r>
      <w:r w:rsidRPr="00F1660D">
        <w:rPr>
          <w:lang w:val="fr-FR"/>
        </w:rPr>
        <w:tab/>
        <w:t>Une bonne gestion</w:t>
      </w:r>
      <w:r w:rsidR="00A50629" w:rsidRPr="00F1660D">
        <w:rPr>
          <w:lang w:val="fr-FR"/>
        </w:rPr>
        <w:t xml:space="preserve"> des </w:t>
      </w:r>
      <w:r w:rsidRPr="00F1660D">
        <w:rPr>
          <w:lang w:val="fr-FR"/>
        </w:rPr>
        <w:t>produits chimiques devrait englober l’ensemble du cycle de vie, notamment</w:t>
      </w:r>
      <w:r w:rsidR="00A50629" w:rsidRPr="00F1660D">
        <w:rPr>
          <w:lang w:val="fr-FR"/>
        </w:rPr>
        <w:t xml:space="preserve"> les </w:t>
      </w:r>
      <w:r w:rsidRPr="00F1660D">
        <w:rPr>
          <w:lang w:val="fr-FR"/>
        </w:rPr>
        <w:t>producteurs primaires,</w:t>
      </w:r>
      <w:r w:rsidR="00A50629" w:rsidRPr="00F1660D">
        <w:rPr>
          <w:lang w:val="fr-FR"/>
        </w:rPr>
        <w:t xml:space="preserve"> le </w:t>
      </w:r>
      <w:r w:rsidRPr="00F1660D">
        <w:rPr>
          <w:lang w:val="fr-FR"/>
        </w:rPr>
        <w:t>secteur de</w:t>
      </w:r>
      <w:r w:rsidR="00A50629" w:rsidRPr="00F1660D">
        <w:rPr>
          <w:lang w:val="fr-FR"/>
        </w:rPr>
        <w:t xml:space="preserve"> la </w:t>
      </w:r>
      <w:r w:rsidRPr="00F1660D">
        <w:rPr>
          <w:lang w:val="fr-FR"/>
        </w:rPr>
        <w:t>production en aval,</w:t>
      </w:r>
      <w:r w:rsidR="00A50629" w:rsidRPr="00F1660D">
        <w:rPr>
          <w:lang w:val="fr-FR"/>
        </w:rPr>
        <w:t xml:space="preserve"> les </w:t>
      </w:r>
      <w:r w:rsidRPr="00F1660D">
        <w:rPr>
          <w:lang w:val="fr-FR"/>
        </w:rPr>
        <w:t>distributeurs et</w:t>
      </w:r>
      <w:r w:rsidR="00A50629" w:rsidRPr="00F1660D">
        <w:rPr>
          <w:lang w:val="fr-FR"/>
        </w:rPr>
        <w:t xml:space="preserve"> les </w:t>
      </w:r>
      <w:r w:rsidRPr="00F1660D">
        <w:rPr>
          <w:lang w:val="fr-FR"/>
        </w:rPr>
        <w:t>fournisseurs, en faisant fond sur</w:t>
      </w:r>
      <w:r w:rsidR="00A50629" w:rsidRPr="00F1660D">
        <w:rPr>
          <w:lang w:val="fr-FR"/>
        </w:rPr>
        <w:t xml:space="preserve"> les </w:t>
      </w:r>
      <w:r w:rsidRPr="00F1660D">
        <w:rPr>
          <w:lang w:val="fr-FR"/>
        </w:rPr>
        <w:t>initiatives existantes,</w:t>
      </w:r>
      <w:r w:rsidR="00A50629" w:rsidRPr="00F1660D">
        <w:rPr>
          <w:lang w:val="fr-FR"/>
        </w:rPr>
        <w:t xml:space="preserve"> le </w:t>
      </w:r>
      <w:r w:rsidRPr="00F1660D">
        <w:rPr>
          <w:lang w:val="fr-FR"/>
        </w:rPr>
        <w:t>cas échéant. Il serait possible de recourir à</w:t>
      </w:r>
      <w:r w:rsidR="00A50629" w:rsidRPr="00F1660D">
        <w:rPr>
          <w:lang w:val="fr-FR"/>
        </w:rPr>
        <w:t xml:space="preserve"> des </w:t>
      </w:r>
      <w:r w:rsidRPr="00F1660D">
        <w:rPr>
          <w:lang w:val="fr-FR"/>
        </w:rPr>
        <w:t>stratégies tant intersectorielles que propres à chaque secteur pour mobiliser</w:t>
      </w:r>
      <w:r w:rsidR="00A50629" w:rsidRPr="00F1660D">
        <w:rPr>
          <w:lang w:val="fr-FR"/>
        </w:rPr>
        <w:t xml:space="preserve"> les </w:t>
      </w:r>
      <w:r w:rsidRPr="00F1660D">
        <w:rPr>
          <w:lang w:val="fr-FR"/>
        </w:rPr>
        <w:t>producteurs et</w:t>
      </w:r>
      <w:r w:rsidR="00A50629" w:rsidRPr="00F1660D">
        <w:rPr>
          <w:lang w:val="fr-FR"/>
        </w:rPr>
        <w:t xml:space="preserve"> les </w:t>
      </w:r>
      <w:r w:rsidRPr="00F1660D">
        <w:rPr>
          <w:lang w:val="fr-FR"/>
        </w:rPr>
        <w:t>utilisateurs.]</w:t>
      </w:r>
    </w:p>
    <w:p w14:paraId="52C1436D" w14:textId="0D9F822C" w:rsidR="001420CF" w:rsidRPr="00F1660D" w:rsidRDefault="001420CF" w:rsidP="001420CF">
      <w:pPr>
        <w:tabs>
          <w:tab w:val="left" w:pos="624"/>
        </w:tabs>
        <w:spacing w:after="120"/>
        <w:ind w:left="1247"/>
      </w:pPr>
      <w:r w:rsidRPr="00F1660D">
        <w:t>[</w:t>
      </w:r>
      <w:proofErr w:type="gramStart"/>
      <w:r w:rsidRPr="00F1660D">
        <w:t>v</w:t>
      </w:r>
      <w:proofErr w:type="gramEnd"/>
      <w:r w:rsidRPr="00F1660D">
        <w:t>) Tous</w:t>
      </w:r>
      <w:r w:rsidR="00A50629" w:rsidRPr="00F1660D">
        <w:t xml:space="preserve"> les </w:t>
      </w:r>
      <w:r w:rsidRPr="00F1660D">
        <w:t>secteurs industriels,</w:t>
      </w:r>
      <w:r w:rsidR="00A50629" w:rsidRPr="00F1660D">
        <w:t xml:space="preserve"> y </w:t>
      </w:r>
      <w:r w:rsidRPr="00F1660D">
        <w:t>compris</w:t>
      </w:r>
      <w:r w:rsidR="00A50629" w:rsidRPr="00F1660D">
        <w:t xml:space="preserve"> les </w:t>
      </w:r>
      <w:r w:rsidRPr="00F1660D">
        <w:t>petites et moyennes entreprises et</w:t>
      </w:r>
      <w:r w:rsidR="00A50629" w:rsidRPr="00F1660D">
        <w:t xml:space="preserve"> le </w:t>
      </w:r>
      <w:r w:rsidRPr="00F1660D">
        <w:t>secteur de</w:t>
      </w:r>
      <w:r w:rsidR="00A50629" w:rsidRPr="00F1660D">
        <w:t xml:space="preserve"> la </w:t>
      </w:r>
      <w:r w:rsidRPr="00F1660D">
        <w:t>production en aval, devraient participer et être représentés aux réunions, groupes de travail, associations et partenariats de l’Approche stratégique.]</w:t>
      </w:r>
    </w:p>
    <w:p w14:paraId="5B44913A" w14:textId="7E2F3A65" w:rsidR="001420CF" w:rsidRPr="00F1660D" w:rsidRDefault="001420CF" w:rsidP="001420CF">
      <w:pPr>
        <w:tabs>
          <w:tab w:val="left" w:pos="624"/>
        </w:tabs>
        <w:spacing w:after="120"/>
        <w:ind w:left="1247"/>
      </w:pPr>
      <w:r w:rsidRPr="00F1660D">
        <w:t>[</w:t>
      </w:r>
      <w:proofErr w:type="gramStart"/>
      <w:r w:rsidRPr="00F1660D">
        <w:t>vi</w:t>
      </w:r>
      <w:proofErr w:type="gramEnd"/>
      <w:r w:rsidRPr="00F1660D">
        <w:t>)</w:t>
      </w:r>
      <w:r w:rsidR="00A50629" w:rsidRPr="00F1660D">
        <w:t xml:space="preserve"> Les </w:t>
      </w:r>
      <w:r w:rsidRPr="00F1660D">
        <w:t>associations professionnelles de tous</w:t>
      </w:r>
      <w:r w:rsidR="00A50629" w:rsidRPr="00F1660D">
        <w:t xml:space="preserve"> les </w:t>
      </w:r>
      <w:r w:rsidRPr="00F1660D">
        <w:t>secteurs industriels devraient faire participer leurs membres à l’Approche stratégique.]</w:t>
      </w:r>
    </w:p>
    <w:p w14:paraId="708435BC" w14:textId="44B9D651" w:rsidR="001420CF" w:rsidRPr="00F1660D" w:rsidRDefault="001420CF" w:rsidP="001420CF">
      <w:pPr>
        <w:pStyle w:val="Normalnumber"/>
        <w:keepNext/>
        <w:keepLines/>
        <w:numPr>
          <w:ilvl w:val="0"/>
          <w:numId w:val="0"/>
        </w:numPr>
        <w:ind w:left="1247"/>
        <w:rPr>
          <w:b/>
          <w:iCs/>
          <w:lang w:val="fr-FR"/>
        </w:rPr>
      </w:pPr>
      <w:r w:rsidRPr="00F1660D">
        <w:rPr>
          <w:b/>
          <w:bCs/>
          <w:lang w:val="fr-FR"/>
        </w:rPr>
        <w:t>Engagement</w:t>
      </w:r>
      <w:r w:rsidR="00A50629" w:rsidRPr="00F1660D">
        <w:rPr>
          <w:b/>
          <w:bCs/>
          <w:lang w:val="fr-FR"/>
        </w:rPr>
        <w:t xml:space="preserve"> des </w:t>
      </w:r>
      <w:r w:rsidRPr="00F1660D">
        <w:rPr>
          <w:b/>
          <w:bCs/>
          <w:lang w:val="fr-FR"/>
        </w:rPr>
        <w:t>milieux universitaires</w:t>
      </w:r>
    </w:p>
    <w:p w14:paraId="1B0E5B12" w14:textId="42CD0247" w:rsidR="001420CF" w:rsidRPr="00F1660D" w:rsidRDefault="001420CF" w:rsidP="001420CF">
      <w:pPr>
        <w:pStyle w:val="ListParagraph"/>
        <w:numPr>
          <w:ilvl w:val="0"/>
          <w:numId w:val="7"/>
        </w:numPr>
        <w:tabs>
          <w:tab w:val="clear" w:pos="1247"/>
          <w:tab w:val="clear" w:pos="1814"/>
          <w:tab w:val="clear" w:pos="2381"/>
          <w:tab w:val="clear" w:pos="2948"/>
          <w:tab w:val="clear" w:pos="3515"/>
        </w:tabs>
        <w:autoSpaceDE w:val="0"/>
        <w:autoSpaceDN w:val="0"/>
        <w:adjustRightInd w:val="0"/>
        <w:spacing w:after="240"/>
        <w:ind w:left="1809" w:hanging="533"/>
      </w:pPr>
      <w:r w:rsidRPr="00F1660D">
        <w:t>Les milieux universitaires devraient [pouvoir] contribuer [au renforcement</w:t>
      </w:r>
      <w:r w:rsidR="00A50629" w:rsidRPr="00F1660D">
        <w:t xml:space="preserve"> des </w:t>
      </w:r>
      <w:r w:rsidRPr="00F1660D">
        <w:t>capacités] [et appuyer cette démarche,] [ainsi que] [et] collaborer à</w:t>
      </w:r>
      <w:r w:rsidR="00A50629" w:rsidRPr="00F1660D">
        <w:t xml:space="preserve"> la </w:t>
      </w:r>
      <w:r w:rsidRPr="00F1660D">
        <w:t>production de connaissances, données et informations pertinentes sur [les risques liés au] [le] contrôle</w:t>
      </w:r>
      <w:r w:rsidR="00A50629" w:rsidRPr="00F1660D">
        <w:t xml:space="preserve"> des </w:t>
      </w:r>
      <w:r w:rsidRPr="00F1660D">
        <w:t>produits chimiques et</w:t>
      </w:r>
      <w:r w:rsidR="00A50629" w:rsidRPr="00F1660D">
        <w:t xml:space="preserve"> des </w:t>
      </w:r>
      <w:r w:rsidRPr="00F1660D">
        <w:t>déchets,</w:t>
      </w:r>
      <w:r w:rsidR="00A50629" w:rsidRPr="00F1660D">
        <w:t xml:space="preserve"> y </w:t>
      </w:r>
      <w:r w:rsidRPr="00F1660D">
        <w:t>compris s’agissant [de circonscrire les] [des] sujets de préoccupation qui exigent une action [</w:t>
      </w:r>
      <w:r w:rsidRPr="00F1660D">
        <w:rPr>
          <w:strike/>
        </w:rPr>
        <w:t>mondiale</w:t>
      </w:r>
      <w:r w:rsidRPr="00F1660D">
        <w:t>] [et</w:t>
      </w:r>
      <w:r w:rsidR="00A50629" w:rsidRPr="00F1660D">
        <w:t xml:space="preserve"> des </w:t>
      </w:r>
      <w:r w:rsidRPr="00F1660D">
        <w:t>solutions de remplacement plus sûres], [et faire part de leurs conclusions aux décideurs], en proposant</w:t>
      </w:r>
      <w:r w:rsidR="00A50629" w:rsidRPr="00F1660D">
        <w:t xml:space="preserve"> des </w:t>
      </w:r>
      <w:r w:rsidRPr="00F1660D">
        <w:t>activités de recherche sur</w:t>
      </w:r>
      <w:r w:rsidR="00A50629" w:rsidRPr="00F1660D">
        <w:t xml:space="preserve"> des </w:t>
      </w:r>
      <w:r w:rsidRPr="00F1660D">
        <w:t>solutions de remplacement plus sûres et</w:t>
      </w:r>
      <w:r w:rsidR="00A50629" w:rsidRPr="00F1660D">
        <w:t xml:space="preserve"> des </w:t>
      </w:r>
      <w:r w:rsidRPr="00F1660D">
        <w:t>solutions chimiques vertes et durables].</w:t>
      </w:r>
    </w:p>
    <w:p w14:paraId="10C87910" w14:textId="14712FDA" w:rsidR="001420CF" w:rsidRPr="00F1660D" w:rsidRDefault="001420CF" w:rsidP="001420CF">
      <w:pPr>
        <w:pStyle w:val="NormalNonumber"/>
        <w:rPr>
          <w:lang w:val="fr-FR"/>
        </w:rPr>
      </w:pPr>
      <w:r w:rsidRPr="00F1660D">
        <w:rPr>
          <w:lang w:val="fr-FR"/>
        </w:rPr>
        <w:t>[Les milieux universitaires devraient participer à l’élaboration et à</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obligations légales,</w:t>
      </w:r>
      <w:r w:rsidR="00A50629" w:rsidRPr="00F1660D">
        <w:rPr>
          <w:lang w:val="fr-FR"/>
        </w:rPr>
        <w:t xml:space="preserve"> des </w:t>
      </w:r>
      <w:r w:rsidRPr="00F1660D">
        <w:rPr>
          <w:lang w:val="fr-FR"/>
        </w:rPr>
        <w:t>politiques,</w:t>
      </w:r>
      <w:r w:rsidR="00A50629" w:rsidRPr="00F1660D">
        <w:rPr>
          <w:lang w:val="fr-FR"/>
        </w:rPr>
        <w:t xml:space="preserve"> des </w:t>
      </w:r>
      <w:r w:rsidRPr="00F1660D">
        <w:rPr>
          <w:lang w:val="fr-FR"/>
        </w:rPr>
        <w:t>projets et</w:t>
      </w:r>
      <w:r w:rsidR="00A50629" w:rsidRPr="00F1660D">
        <w:rPr>
          <w:lang w:val="fr-FR"/>
        </w:rPr>
        <w:t xml:space="preserve"> des </w:t>
      </w:r>
      <w:r w:rsidRPr="00F1660D">
        <w:rPr>
          <w:lang w:val="fr-FR"/>
        </w:rPr>
        <w:t>partenariats sur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p>
    <w:p w14:paraId="75D92523" w14:textId="701416A4" w:rsidR="001420CF" w:rsidRPr="00F1660D" w:rsidRDefault="001420CF" w:rsidP="001420CF">
      <w:pPr>
        <w:pStyle w:val="NormalNonumber"/>
        <w:rPr>
          <w:lang w:val="fr-FR"/>
        </w:rPr>
      </w:pPr>
      <w:r w:rsidRPr="00F1660D">
        <w:rPr>
          <w:lang w:val="fr-FR"/>
        </w:rPr>
        <w:t>[5. bis Il faut éviter</w:t>
      </w:r>
      <w:r w:rsidR="00A50629" w:rsidRPr="00F1660D">
        <w:rPr>
          <w:lang w:val="fr-FR"/>
        </w:rPr>
        <w:t xml:space="preserve"> la </w:t>
      </w:r>
      <w:r w:rsidRPr="00F1660D">
        <w:rPr>
          <w:lang w:val="fr-FR"/>
        </w:rPr>
        <w:t>fragmentation et renforcer l’interface science-politique à tous</w:t>
      </w:r>
      <w:r w:rsidR="00A50629" w:rsidRPr="00F1660D">
        <w:rPr>
          <w:lang w:val="fr-FR"/>
        </w:rPr>
        <w:t xml:space="preserve"> les </w:t>
      </w:r>
      <w:r w:rsidRPr="00F1660D">
        <w:rPr>
          <w:lang w:val="fr-FR"/>
        </w:rPr>
        <w:t>niveaux, afin d’appuyer et de promouvoir</w:t>
      </w:r>
      <w:r w:rsidR="00A50629" w:rsidRPr="00F1660D">
        <w:rPr>
          <w:lang w:val="fr-FR"/>
        </w:rPr>
        <w:t xml:space="preserve"> des </w:t>
      </w:r>
      <w:r w:rsidRPr="00F1660D">
        <w:rPr>
          <w:lang w:val="fr-FR"/>
        </w:rPr>
        <w:t>politiques et</w:t>
      </w:r>
      <w:r w:rsidR="00A50629" w:rsidRPr="00F1660D">
        <w:rPr>
          <w:lang w:val="fr-FR"/>
        </w:rPr>
        <w:t xml:space="preserve"> des </w:t>
      </w:r>
      <w:r w:rsidRPr="00F1660D">
        <w:rPr>
          <w:lang w:val="fr-FR"/>
        </w:rPr>
        <w:t>mesures locales, nationales et mondiales fondées sur</w:t>
      </w:r>
      <w:r w:rsidR="00A50629" w:rsidRPr="00F1660D">
        <w:rPr>
          <w:lang w:val="fr-FR"/>
        </w:rPr>
        <w:t xml:space="preserve"> des </w:t>
      </w:r>
      <w:r w:rsidRPr="00F1660D">
        <w:rPr>
          <w:lang w:val="fr-FR"/>
        </w:rPr>
        <w:t>données scientifiques en matière de gestion rationnelle à long terme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ainsi que</w:t>
      </w:r>
      <w:r w:rsidR="00A50629" w:rsidRPr="00F1660D">
        <w:rPr>
          <w:lang w:val="fr-FR"/>
        </w:rPr>
        <w:t xml:space="preserve"> le </w:t>
      </w:r>
      <w:r w:rsidRPr="00F1660D">
        <w:rPr>
          <w:lang w:val="fr-FR"/>
        </w:rPr>
        <w:t>recours à</w:t>
      </w:r>
      <w:r w:rsidR="00A50629" w:rsidRPr="00F1660D">
        <w:rPr>
          <w:lang w:val="fr-FR"/>
        </w:rPr>
        <w:t xml:space="preserve"> des </w:t>
      </w:r>
      <w:r w:rsidRPr="00F1660D">
        <w:rPr>
          <w:lang w:val="fr-FR"/>
        </w:rPr>
        <w:t xml:space="preserve">données scientifiques dans </w:t>
      </w:r>
      <w:r w:rsidR="00736699" w:rsidRPr="00F1660D">
        <w:rPr>
          <w:lang w:val="fr-FR"/>
        </w:rPr>
        <w:t xml:space="preserve">le suivi des progrès, </w:t>
      </w:r>
      <w:r w:rsidR="006D70AB" w:rsidRPr="00F1660D">
        <w:rPr>
          <w:lang w:val="fr-FR"/>
        </w:rPr>
        <w:t xml:space="preserve">dans </w:t>
      </w:r>
      <w:r w:rsidRPr="00F1660D">
        <w:rPr>
          <w:lang w:val="fr-FR"/>
        </w:rPr>
        <w:t>l’établissement</w:t>
      </w:r>
      <w:r w:rsidR="00A50629" w:rsidRPr="00F1660D">
        <w:rPr>
          <w:lang w:val="fr-FR"/>
        </w:rPr>
        <w:t xml:space="preserve"> des </w:t>
      </w:r>
      <w:r w:rsidRPr="00F1660D">
        <w:rPr>
          <w:lang w:val="fr-FR"/>
        </w:rPr>
        <w:t>priorités et l’élaboration</w:t>
      </w:r>
      <w:r w:rsidR="00A50629" w:rsidRPr="00F1660D">
        <w:rPr>
          <w:lang w:val="fr-FR"/>
        </w:rPr>
        <w:t xml:space="preserve"> des </w:t>
      </w:r>
      <w:r w:rsidRPr="00F1660D">
        <w:rPr>
          <w:lang w:val="fr-FR"/>
        </w:rPr>
        <w:t>politiques tout</w:t>
      </w:r>
      <w:r w:rsidR="00A50629" w:rsidRPr="00F1660D">
        <w:rPr>
          <w:lang w:val="fr-FR"/>
        </w:rPr>
        <w:t xml:space="preserve"> au </w:t>
      </w:r>
      <w:r w:rsidRPr="00F1660D">
        <w:rPr>
          <w:lang w:val="fr-FR"/>
        </w:rPr>
        <w:t>long du cycle de vie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en tenant compte</w:t>
      </w:r>
      <w:r w:rsidR="00A50629" w:rsidRPr="00F1660D">
        <w:rPr>
          <w:lang w:val="fr-FR"/>
        </w:rPr>
        <w:t xml:space="preserve"> des </w:t>
      </w:r>
      <w:r w:rsidRPr="00F1660D">
        <w:rPr>
          <w:lang w:val="fr-FR"/>
        </w:rPr>
        <w:t>lacunes</w:t>
      </w:r>
      <w:r w:rsidR="00A50629" w:rsidRPr="00F1660D">
        <w:rPr>
          <w:lang w:val="fr-FR"/>
        </w:rPr>
        <w:t xml:space="preserve"> des </w:t>
      </w:r>
      <w:r w:rsidRPr="00F1660D">
        <w:rPr>
          <w:lang w:val="fr-FR"/>
        </w:rPr>
        <w:t>données scientifiques, notamment dans</w:t>
      </w:r>
      <w:r w:rsidR="00A50629" w:rsidRPr="00F1660D">
        <w:rPr>
          <w:lang w:val="fr-FR"/>
        </w:rPr>
        <w:t xml:space="preserve"> les </w:t>
      </w:r>
      <w:r w:rsidRPr="00F1660D">
        <w:rPr>
          <w:lang w:val="fr-FR"/>
        </w:rPr>
        <w:t>pays en développement.</w:t>
      </w:r>
    </w:p>
    <w:p w14:paraId="2672B71D" w14:textId="71081D26" w:rsidR="001420CF" w:rsidRPr="00F1660D" w:rsidRDefault="001420CF" w:rsidP="001420CF">
      <w:pPr>
        <w:pStyle w:val="NormalNonumber"/>
        <w:rPr>
          <w:lang w:val="fr-FR"/>
        </w:rPr>
      </w:pPr>
      <w:r w:rsidRPr="00F1660D">
        <w:rPr>
          <w:lang w:val="fr-FR"/>
        </w:rPr>
        <w:t>Toutes</w:t>
      </w:r>
      <w:r w:rsidR="00A50629" w:rsidRPr="00F1660D">
        <w:rPr>
          <w:lang w:val="fr-FR"/>
        </w:rPr>
        <w:t xml:space="preserve"> les </w:t>
      </w:r>
      <w:r w:rsidRPr="00F1660D">
        <w:rPr>
          <w:lang w:val="fr-FR"/>
        </w:rPr>
        <w:t>parties prenantes devraient accroître leur participation</w:t>
      </w:r>
      <w:r w:rsidR="00A50629" w:rsidRPr="00F1660D">
        <w:rPr>
          <w:lang w:val="fr-FR"/>
        </w:rPr>
        <w:t xml:space="preserve"> au </w:t>
      </w:r>
      <w:r w:rsidRPr="00F1660D">
        <w:rPr>
          <w:lang w:val="fr-FR"/>
        </w:rPr>
        <w:t>renforcement, selon qu’il convient, de l’utilisation</w:t>
      </w:r>
      <w:r w:rsidR="00A50629" w:rsidRPr="00F1660D">
        <w:rPr>
          <w:lang w:val="fr-FR"/>
        </w:rPr>
        <w:t xml:space="preserve"> des </w:t>
      </w:r>
      <w:r w:rsidRPr="00F1660D">
        <w:rPr>
          <w:lang w:val="fr-FR"/>
        </w:rPr>
        <w:t>données scientifiques pour élaborer</w:t>
      </w:r>
      <w:r w:rsidR="00A50629" w:rsidRPr="00F1660D">
        <w:rPr>
          <w:lang w:val="fr-FR"/>
        </w:rPr>
        <w:t xml:space="preserve"> des </w:t>
      </w:r>
      <w:r w:rsidRPr="00F1660D">
        <w:rPr>
          <w:lang w:val="fr-FR"/>
        </w:rPr>
        <w:t>politiques et mesures en matière de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A50629" w:rsidRPr="00F1660D">
        <w:rPr>
          <w:lang w:val="fr-FR"/>
        </w:rPr>
        <w:t xml:space="preserve"> Les </w:t>
      </w:r>
      <w:r w:rsidRPr="00F1660D">
        <w:rPr>
          <w:lang w:val="fr-FR"/>
        </w:rPr>
        <w:t>plateformes pertinentes pour l’interface science-politique devraient bénéficier d’un appui,</w:t>
      </w:r>
      <w:r w:rsidR="00A50629" w:rsidRPr="00F1660D">
        <w:rPr>
          <w:lang w:val="fr-FR"/>
        </w:rPr>
        <w:t xml:space="preserve"> y </w:t>
      </w:r>
      <w:r w:rsidRPr="00F1660D">
        <w:rPr>
          <w:lang w:val="fr-FR"/>
        </w:rPr>
        <w:t>compris par</w:t>
      </w:r>
      <w:r w:rsidR="00A50629" w:rsidRPr="00F1660D">
        <w:rPr>
          <w:lang w:val="fr-FR"/>
        </w:rPr>
        <w:t xml:space="preserve"> la </w:t>
      </w:r>
      <w:r w:rsidRPr="00F1660D">
        <w:rPr>
          <w:lang w:val="fr-FR"/>
        </w:rPr>
        <w:t>contribution</w:t>
      </w:r>
      <w:r w:rsidR="00A50629" w:rsidRPr="00F1660D">
        <w:rPr>
          <w:lang w:val="fr-FR"/>
        </w:rPr>
        <w:t xml:space="preserve"> des </w:t>
      </w:r>
      <w:r w:rsidRPr="00F1660D">
        <w:rPr>
          <w:lang w:val="fr-FR"/>
        </w:rPr>
        <w:t>milieux universitaires.</w:t>
      </w:r>
    </w:p>
    <w:p w14:paraId="19E78FB5" w14:textId="6045AFF9" w:rsidR="001420CF" w:rsidRPr="00F1660D" w:rsidRDefault="001420CF" w:rsidP="001420CF">
      <w:pPr>
        <w:pStyle w:val="NormalNonumber"/>
        <w:rPr>
          <w:lang w:val="fr-FR"/>
        </w:rPr>
      </w:pPr>
      <w:r w:rsidRPr="00F1660D">
        <w:rPr>
          <w:lang w:val="fr-FR"/>
        </w:rPr>
        <w:t>Les rapports sur</w:t>
      </w:r>
      <w:r w:rsidR="00A50629" w:rsidRPr="00F1660D">
        <w:rPr>
          <w:lang w:val="fr-FR"/>
        </w:rPr>
        <w:t xml:space="preserve"> les </w:t>
      </w:r>
      <w:r w:rsidRPr="00F1660D">
        <w:rPr>
          <w:lang w:val="fr-FR"/>
        </w:rPr>
        <w:t>perspectives mondiales en matière de produits chimiques et</w:t>
      </w:r>
      <w:r w:rsidR="00A50629" w:rsidRPr="00F1660D">
        <w:rPr>
          <w:lang w:val="fr-FR"/>
        </w:rPr>
        <w:t xml:space="preserve"> les </w:t>
      </w:r>
      <w:r w:rsidRPr="00F1660D">
        <w:rPr>
          <w:lang w:val="fr-FR"/>
        </w:rPr>
        <w:t>perspectives mondiales en matière de gestion</w:t>
      </w:r>
      <w:r w:rsidR="00A50629" w:rsidRPr="00F1660D">
        <w:rPr>
          <w:lang w:val="fr-FR"/>
        </w:rPr>
        <w:t xml:space="preserve"> des </w:t>
      </w:r>
      <w:r w:rsidRPr="00F1660D">
        <w:rPr>
          <w:lang w:val="fr-FR"/>
        </w:rPr>
        <w:t>déchets, ainsi que sur</w:t>
      </w:r>
      <w:r w:rsidR="00A50629" w:rsidRPr="00F1660D">
        <w:rPr>
          <w:lang w:val="fr-FR"/>
        </w:rPr>
        <w:t xml:space="preserve"> les </w:t>
      </w:r>
      <w:r w:rsidRPr="00F1660D">
        <w:rPr>
          <w:lang w:val="fr-FR"/>
        </w:rPr>
        <w:t>perspectives régionales en matière de gestion</w:t>
      </w:r>
      <w:r w:rsidR="00A50629" w:rsidRPr="00F1660D">
        <w:rPr>
          <w:lang w:val="fr-FR"/>
        </w:rPr>
        <w:t xml:space="preserve"> des </w:t>
      </w:r>
      <w:r w:rsidRPr="00F1660D">
        <w:rPr>
          <w:lang w:val="fr-FR"/>
        </w:rPr>
        <w:t>déchets, offrent un bon point de départ pour mieux tenir compte</w:t>
      </w:r>
      <w:r w:rsidR="00A50629" w:rsidRPr="00F1660D">
        <w:rPr>
          <w:lang w:val="fr-FR"/>
        </w:rPr>
        <w:t xml:space="preserve"> des </w:t>
      </w:r>
      <w:r w:rsidRPr="00F1660D">
        <w:rPr>
          <w:lang w:val="fr-FR"/>
        </w:rPr>
        <w:t>données scientifiques dans</w:t>
      </w:r>
      <w:r w:rsidR="00A50629" w:rsidRPr="00F1660D">
        <w:rPr>
          <w:lang w:val="fr-FR"/>
        </w:rPr>
        <w:t xml:space="preserve"> les </w:t>
      </w:r>
      <w:r w:rsidRPr="00F1660D">
        <w:rPr>
          <w:lang w:val="fr-FR"/>
        </w:rPr>
        <w:t>processus de prise de décisions et agir plus efficacement en faveur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Toutes</w:t>
      </w:r>
      <w:r w:rsidR="00A50629" w:rsidRPr="00F1660D">
        <w:rPr>
          <w:lang w:val="fr-FR"/>
        </w:rPr>
        <w:t xml:space="preserve"> les </w:t>
      </w:r>
      <w:r w:rsidRPr="00F1660D">
        <w:rPr>
          <w:lang w:val="fr-FR"/>
        </w:rPr>
        <w:t>parties prenantes devraient tenir compte</w:t>
      </w:r>
      <w:r w:rsidR="00A50629" w:rsidRPr="00F1660D">
        <w:rPr>
          <w:lang w:val="fr-FR"/>
        </w:rPr>
        <w:t xml:space="preserve"> des </w:t>
      </w:r>
      <w:r w:rsidRPr="00F1660D">
        <w:rPr>
          <w:lang w:val="fr-FR"/>
        </w:rPr>
        <w:t>conclusions et recommandations de ces rapports et prendre</w:t>
      </w:r>
      <w:r w:rsidR="00A50629" w:rsidRPr="00F1660D">
        <w:rPr>
          <w:lang w:val="fr-FR"/>
        </w:rPr>
        <w:t xml:space="preserve"> des </w:t>
      </w:r>
      <w:r w:rsidRPr="00F1660D">
        <w:rPr>
          <w:lang w:val="fr-FR"/>
        </w:rPr>
        <w:t>mesures en conséquence.</w:t>
      </w:r>
    </w:p>
    <w:p w14:paraId="6380C0C2" w14:textId="5DEB3F23" w:rsidR="001420CF" w:rsidRPr="00F1660D" w:rsidRDefault="001420CF" w:rsidP="001420CF">
      <w:pPr>
        <w:pStyle w:val="NormalNonumber"/>
        <w:rPr>
          <w:lang w:val="fr-FR"/>
        </w:rPr>
      </w:pPr>
      <w:r w:rsidRPr="00F1660D">
        <w:rPr>
          <w:lang w:val="fr-FR"/>
        </w:rPr>
        <w:t>En particulier,</w:t>
      </w:r>
      <w:r w:rsidR="00A50629" w:rsidRPr="00F1660D">
        <w:rPr>
          <w:lang w:val="fr-FR"/>
        </w:rPr>
        <w:t xml:space="preserve"> les </w:t>
      </w:r>
      <w:r w:rsidRPr="00F1660D">
        <w:rPr>
          <w:lang w:val="fr-FR"/>
        </w:rPr>
        <w:t>gouvernements devraient prendre dûment en considération l’examen</w:t>
      </w:r>
      <w:r w:rsidR="00A50629" w:rsidRPr="00F1660D">
        <w:rPr>
          <w:lang w:val="fr-FR"/>
        </w:rPr>
        <w:t xml:space="preserve"> des </w:t>
      </w:r>
      <w:r w:rsidRPr="00F1660D">
        <w:rPr>
          <w:lang w:val="fr-FR"/>
        </w:rPr>
        <w:t>options possibles pour renforcer l’interface science-politique</w:t>
      </w:r>
      <w:r w:rsidR="00A50629" w:rsidRPr="00F1660D">
        <w:rPr>
          <w:lang w:val="fr-FR"/>
        </w:rPr>
        <w:t xml:space="preserve"> au </w:t>
      </w:r>
      <w:r w:rsidRPr="00F1660D">
        <w:rPr>
          <w:lang w:val="fr-FR"/>
        </w:rPr>
        <w:t>niveau international pour favoriser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lequel doit être réalisé d’ici</w:t>
      </w:r>
      <w:r w:rsidR="00A50629" w:rsidRPr="00F1660D">
        <w:rPr>
          <w:lang w:val="fr-FR"/>
        </w:rPr>
        <w:t xml:space="preserve"> le </w:t>
      </w:r>
      <w:r w:rsidRPr="00F1660D">
        <w:rPr>
          <w:lang w:val="fr-FR"/>
        </w:rPr>
        <w:t>30 avril 2020</w:t>
      </w:r>
      <w:r w:rsidRPr="00F1660D">
        <w:rPr>
          <w:rStyle w:val="FootnoteReference"/>
          <w:lang w:val="fr-FR"/>
        </w:rPr>
        <w:footnoteReference w:id="4"/>
      </w:r>
      <w:r w:rsidRPr="00F1660D">
        <w:rPr>
          <w:lang w:val="fr-FR"/>
        </w:rPr>
        <w:t xml:space="preserve"> par</w:t>
      </w:r>
      <w:r w:rsidR="00A50629" w:rsidRPr="00F1660D">
        <w:rPr>
          <w:lang w:val="fr-FR"/>
        </w:rPr>
        <w:t xml:space="preserve"> la </w:t>
      </w:r>
      <w:r w:rsidRPr="00F1660D">
        <w:rPr>
          <w:lang w:val="fr-FR"/>
        </w:rPr>
        <w:t>Directrice exécutive du PNUE, à</w:t>
      </w:r>
      <w:r w:rsidR="00A50629" w:rsidRPr="00F1660D">
        <w:rPr>
          <w:lang w:val="fr-FR"/>
        </w:rPr>
        <w:t xml:space="preserve"> la </w:t>
      </w:r>
      <w:r w:rsidRPr="00F1660D">
        <w:rPr>
          <w:lang w:val="fr-FR"/>
        </w:rPr>
        <w:t>demande de l’Assemblée</w:t>
      </w:r>
      <w:r w:rsidR="00A50629" w:rsidRPr="00F1660D">
        <w:rPr>
          <w:lang w:val="fr-FR"/>
        </w:rPr>
        <w:t xml:space="preserve"> des </w:t>
      </w:r>
      <w:r w:rsidRPr="00F1660D">
        <w:rPr>
          <w:lang w:val="fr-FR"/>
        </w:rPr>
        <w:t>Nations Unies pour l’environnement, en tenant compte</w:t>
      </w:r>
      <w:r w:rsidR="00A50629" w:rsidRPr="00F1660D">
        <w:rPr>
          <w:lang w:val="fr-FR"/>
        </w:rPr>
        <w:t xml:space="preserve"> des </w:t>
      </w:r>
      <w:r w:rsidRPr="00F1660D">
        <w:rPr>
          <w:lang w:val="fr-FR"/>
        </w:rPr>
        <w:t>mécanismes déjà en place,</w:t>
      </w:r>
      <w:r w:rsidR="00A50629" w:rsidRPr="00F1660D">
        <w:rPr>
          <w:lang w:val="fr-FR"/>
        </w:rPr>
        <w:t xml:space="preserve"> y </w:t>
      </w:r>
      <w:r w:rsidRPr="00F1660D">
        <w:rPr>
          <w:lang w:val="fr-FR"/>
        </w:rPr>
        <w:t>compris dans</w:t>
      </w:r>
      <w:r w:rsidR="00A50629" w:rsidRPr="00F1660D">
        <w:rPr>
          <w:lang w:val="fr-FR"/>
        </w:rPr>
        <w:t xml:space="preserve"> le </w:t>
      </w:r>
      <w:r w:rsidRPr="00F1660D">
        <w:rPr>
          <w:lang w:val="fr-FR"/>
        </w:rPr>
        <w:t>cadre du PNUE, et</w:t>
      </w:r>
      <w:r w:rsidR="00A50629" w:rsidRPr="00F1660D">
        <w:rPr>
          <w:lang w:val="fr-FR"/>
        </w:rPr>
        <w:t xml:space="preserve"> des </w:t>
      </w:r>
      <w:r w:rsidRPr="00F1660D">
        <w:rPr>
          <w:lang w:val="fr-FR"/>
        </w:rPr>
        <w:t>exemples pertinent dans d’autres domaines, afin de maximiser</w:t>
      </w:r>
      <w:r w:rsidR="00A50629" w:rsidRPr="00F1660D">
        <w:rPr>
          <w:lang w:val="fr-FR"/>
        </w:rPr>
        <w:t xml:space="preserve"> le </w:t>
      </w:r>
      <w:r w:rsidRPr="00F1660D">
        <w:rPr>
          <w:lang w:val="fr-FR"/>
        </w:rPr>
        <w:t>rapport coût-efficacité, de tirer</w:t>
      </w:r>
      <w:r w:rsidR="00A50629" w:rsidRPr="00F1660D">
        <w:rPr>
          <w:lang w:val="fr-FR"/>
        </w:rPr>
        <w:t xml:space="preserve"> le </w:t>
      </w:r>
      <w:r w:rsidRPr="00F1660D">
        <w:rPr>
          <w:lang w:val="fr-FR"/>
        </w:rPr>
        <w:t>meilleur parti</w:t>
      </w:r>
      <w:r w:rsidR="00A50629" w:rsidRPr="00F1660D">
        <w:rPr>
          <w:lang w:val="fr-FR"/>
        </w:rPr>
        <w:t xml:space="preserve"> des </w:t>
      </w:r>
      <w:r w:rsidRPr="00F1660D">
        <w:rPr>
          <w:lang w:val="fr-FR"/>
        </w:rPr>
        <w:t>nouvelles technologies, de suivre</w:t>
      </w:r>
      <w:r w:rsidR="00A50629" w:rsidRPr="00F1660D">
        <w:rPr>
          <w:lang w:val="fr-FR"/>
        </w:rPr>
        <w:t xml:space="preserve"> les </w:t>
      </w:r>
      <w:r w:rsidRPr="00F1660D">
        <w:rPr>
          <w:lang w:val="fr-FR"/>
        </w:rPr>
        <w:t>progrès et d’améliorer</w:t>
      </w:r>
      <w:r w:rsidR="00A50629" w:rsidRPr="00F1660D">
        <w:rPr>
          <w:lang w:val="fr-FR"/>
        </w:rPr>
        <w:t xml:space="preserve"> la </w:t>
      </w:r>
      <w:r w:rsidRPr="00F1660D">
        <w:rPr>
          <w:lang w:val="fr-FR"/>
        </w:rPr>
        <w:t>mise en œuvre</w:t>
      </w:r>
      <w:r w:rsidR="00A50629" w:rsidRPr="00F1660D">
        <w:rPr>
          <w:lang w:val="fr-FR"/>
        </w:rPr>
        <w:t xml:space="preserve"> des </w:t>
      </w:r>
      <w:r w:rsidRPr="00F1660D">
        <w:rPr>
          <w:lang w:val="fr-FR"/>
        </w:rPr>
        <w:t>accords multilatéraux sur l’environnement compétents</w:t>
      </w:r>
      <w:r w:rsidR="00A50629" w:rsidRPr="00F1660D">
        <w:rPr>
          <w:lang w:val="fr-FR"/>
        </w:rPr>
        <w:t xml:space="preserve"> au </w:t>
      </w:r>
      <w:r w:rsidRPr="00F1660D">
        <w:rPr>
          <w:lang w:val="fr-FR"/>
        </w:rPr>
        <w:t>niveau national.]</w:t>
      </w:r>
    </w:p>
    <w:p w14:paraId="5D6FC08B" w14:textId="61266C52" w:rsidR="001420CF" w:rsidRPr="00F1660D" w:rsidRDefault="001420CF" w:rsidP="001420CF">
      <w:pPr>
        <w:pStyle w:val="NormalNonumber"/>
        <w:rPr>
          <w:lang w:val="fr-FR"/>
        </w:rPr>
      </w:pPr>
      <w:r w:rsidRPr="00F1660D">
        <w:rPr>
          <w:lang w:val="fr-FR"/>
        </w:rPr>
        <w:t>[Il faut suivre</w:t>
      </w:r>
      <w:r w:rsidR="00A50629" w:rsidRPr="00F1660D">
        <w:rPr>
          <w:lang w:val="fr-FR"/>
        </w:rPr>
        <w:t xml:space="preserve"> les </w:t>
      </w:r>
      <w:r w:rsidRPr="00F1660D">
        <w:rPr>
          <w:lang w:val="fr-FR"/>
        </w:rPr>
        <w:t>tendances observées dans</w:t>
      </w:r>
      <w:r w:rsidR="00A50629" w:rsidRPr="00F1660D">
        <w:rPr>
          <w:lang w:val="fr-FR"/>
        </w:rPr>
        <w:t xml:space="preserve"> la </w:t>
      </w:r>
      <w:r w:rsidRPr="00F1660D">
        <w:rPr>
          <w:lang w:val="fr-FR"/>
        </w:rPr>
        <w:t>conception,</w:t>
      </w:r>
      <w:r w:rsidR="00A50629" w:rsidRPr="00F1660D">
        <w:rPr>
          <w:lang w:val="fr-FR"/>
        </w:rPr>
        <w:t xml:space="preserve"> la </w:t>
      </w:r>
      <w:r w:rsidRPr="00F1660D">
        <w:rPr>
          <w:lang w:val="fr-FR"/>
        </w:rPr>
        <w:t>production, l’utilisation et</w:t>
      </w:r>
      <w:r w:rsidR="00A50629" w:rsidRPr="00F1660D">
        <w:rPr>
          <w:lang w:val="fr-FR"/>
        </w:rPr>
        <w:t xml:space="preserve"> le </w:t>
      </w:r>
      <w:r w:rsidRPr="00F1660D">
        <w:rPr>
          <w:lang w:val="fr-FR"/>
        </w:rPr>
        <w:t>rejet</w:t>
      </w:r>
      <w:r w:rsidR="00A50629" w:rsidRPr="00F1660D">
        <w:rPr>
          <w:lang w:val="fr-FR"/>
        </w:rPr>
        <w:t xml:space="preserve"> des </w:t>
      </w:r>
      <w:r w:rsidRPr="00F1660D">
        <w:rPr>
          <w:lang w:val="fr-FR"/>
        </w:rPr>
        <w:t>produits chimiques et</w:t>
      </w:r>
      <w:r w:rsidR="00A50629" w:rsidRPr="00F1660D">
        <w:rPr>
          <w:lang w:val="fr-FR"/>
        </w:rPr>
        <w:t xml:space="preserve"> la </w:t>
      </w:r>
      <w:r w:rsidRPr="00F1660D">
        <w:rPr>
          <w:lang w:val="fr-FR"/>
        </w:rPr>
        <w:t>production et</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déchets afin de recenser</w:t>
      </w:r>
      <w:r w:rsidR="00A50629" w:rsidRPr="00F1660D">
        <w:rPr>
          <w:lang w:val="fr-FR"/>
        </w:rPr>
        <w:t xml:space="preserve"> les </w:t>
      </w:r>
      <w:r w:rsidRPr="00F1660D">
        <w:rPr>
          <w:lang w:val="fr-FR"/>
        </w:rPr>
        <w:t>problèmes dans</w:t>
      </w:r>
      <w:r w:rsidR="00A50629" w:rsidRPr="00F1660D">
        <w:rPr>
          <w:lang w:val="fr-FR"/>
        </w:rPr>
        <w:t xml:space="preserve"> les </w:t>
      </w:r>
      <w:r w:rsidRPr="00F1660D">
        <w:rPr>
          <w:lang w:val="fr-FR"/>
        </w:rPr>
        <w:t>rapports futurs sur</w:t>
      </w:r>
      <w:r w:rsidR="00A50629" w:rsidRPr="00F1660D">
        <w:rPr>
          <w:lang w:val="fr-FR"/>
        </w:rPr>
        <w:t xml:space="preserve"> les </w:t>
      </w:r>
      <w:r w:rsidRPr="00F1660D">
        <w:rPr>
          <w:lang w:val="fr-FR"/>
        </w:rPr>
        <w:t>perspectives mondiales en matière de produits chimiques et</w:t>
      </w:r>
      <w:r w:rsidR="00A50629" w:rsidRPr="00F1660D">
        <w:rPr>
          <w:lang w:val="fr-FR"/>
        </w:rPr>
        <w:t xml:space="preserve"> les </w:t>
      </w:r>
      <w:r w:rsidRPr="00F1660D">
        <w:rPr>
          <w:lang w:val="fr-FR"/>
        </w:rPr>
        <w:t>perspectives mondiales de</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déchets, et de promouvoir</w:t>
      </w:r>
      <w:r w:rsidR="00A50629" w:rsidRPr="00F1660D">
        <w:rPr>
          <w:lang w:val="fr-FR"/>
        </w:rPr>
        <w:t xml:space="preserve"> des </w:t>
      </w:r>
      <w:r w:rsidRPr="00F1660D">
        <w:rPr>
          <w:lang w:val="fr-FR"/>
        </w:rPr>
        <w:t>politiques et</w:t>
      </w:r>
      <w:r w:rsidR="00A50629" w:rsidRPr="00F1660D">
        <w:rPr>
          <w:lang w:val="fr-FR"/>
        </w:rPr>
        <w:t xml:space="preserve"> des </w:t>
      </w:r>
      <w:r w:rsidRPr="00F1660D">
        <w:rPr>
          <w:lang w:val="fr-FR"/>
        </w:rPr>
        <w:t>mesures visant leur gestion rationnelle.</w:t>
      </w:r>
    </w:p>
    <w:p w14:paraId="233A8E2F" w14:textId="47E58C51" w:rsidR="001420CF" w:rsidRPr="00F1660D" w:rsidRDefault="001420CF" w:rsidP="00F45B61">
      <w:pPr>
        <w:pStyle w:val="NormalNonumber"/>
        <w:keepNext/>
        <w:keepLines/>
        <w:rPr>
          <w:lang w:val="fr-FR"/>
        </w:rPr>
      </w:pPr>
      <w:r w:rsidRPr="00F1660D">
        <w:rPr>
          <w:lang w:val="fr-FR"/>
        </w:rPr>
        <w:t>Toutes</w:t>
      </w:r>
      <w:r w:rsidR="00A50629" w:rsidRPr="00F1660D">
        <w:rPr>
          <w:lang w:val="fr-FR"/>
        </w:rPr>
        <w:t xml:space="preserve"> les </w:t>
      </w:r>
      <w:r w:rsidRPr="00F1660D">
        <w:rPr>
          <w:lang w:val="fr-FR"/>
        </w:rPr>
        <w:t>parties prenantes devraient traiter</w:t>
      </w:r>
      <w:r w:rsidR="00A50629" w:rsidRPr="00F1660D">
        <w:rPr>
          <w:lang w:val="fr-FR"/>
        </w:rPr>
        <w:t xml:space="preserve"> les </w:t>
      </w:r>
      <w:r w:rsidRPr="00F1660D">
        <w:rPr>
          <w:lang w:val="fr-FR"/>
        </w:rPr>
        <w:t>questions pertinentes qui, selon</w:t>
      </w:r>
      <w:r w:rsidR="00A50629" w:rsidRPr="00F1660D">
        <w:rPr>
          <w:lang w:val="fr-FR"/>
        </w:rPr>
        <w:t xml:space="preserve"> des </w:t>
      </w:r>
      <w:r w:rsidRPr="00F1660D">
        <w:rPr>
          <w:lang w:val="fr-FR"/>
        </w:rPr>
        <w:t>données obtenues récemment, présentent un risque pour</w:t>
      </w:r>
      <w:r w:rsidR="00A50629" w:rsidRPr="00F1660D">
        <w:rPr>
          <w:lang w:val="fr-FR"/>
        </w:rPr>
        <w:t xml:space="preserve"> la </w:t>
      </w:r>
      <w:r w:rsidRPr="00F1660D">
        <w:rPr>
          <w:lang w:val="fr-FR"/>
        </w:rPr>
        <w:t>santé humaine et l’environnement et sont recensées par l’Approche stratégique et</w:t>
      </w:r>
      <w:r w:rsidR="00A50629" w:rsidRPr="00F1660D">
        <w:rPr>
          <w:lang w:val="fr-FR"/>
        </w:rPr>
        <w:t xml:space="preserve"> les </w:t>
      </w:r>
      <w:r w:rsidRPr="00F1660D">
        <w:rPr>
          <w:lang w:val="fr-FR"/>
        </w:rPr>
        <w:t>rapports sur</w:t>
      </w:r>
      <w:r w:rsidR="00A50629" w:rsidRPr="00F1660D">
        <w:rPr>
          <w:lang w:val="fr-FR"/>
        </w:rPr>
        <w:t xml:space="preserve"> les </w:t>
      </w:r>
      <w:r w:rsidRPr="00F1660D">
        <w:rPr>
          <w:lang w:val="fr-FR"/>
        </w:rPr>
        <w:t>perspectives mondiales en matière de produits chimiques ou par suite du suivi</w:t>
      </w:r>
      <w:r w:rsidR="00A50629" w:rsidRPr="00F1660D">
        <w:rPr>
          <w:lang w:val="fr-FR"/>
        </w:rPr>
        <w:t xml:space="preserve"> des </w:t>
      </w:r>
      <w:r w:rsidRPr="00F1660D">
        <w:rPr>
          <w:lang w:val="fr-FR"/>
        </w:rPr>
        <w:t>tendances observées dans</w:t>
      </w:r>
      <w:r w:rsidR="00A50629" w:rsidRPr="00F1660D">
        <w:rPr>
          <w:lang w:val="fr-FR"/>
        </w:rPr>
        <w:t xml:space="preserve"> la </w:t>
      </w:r>
      <w:r w:rsidRPr="00F1660D">
        <w:rPr>
          <w:lang w:val="fr-FR"/>
        </w:rPr>
        <w:t>conception,</w:t>
      </w:r>
      <w:r w:rsidR="00A50629" w:rsidRPr="00F1660D">
        <w:rPr>
          <w:lang w:val="fr-FR"/>
        </w:rPr>
        <w:t xml:space="preserve"> la </w:t>
      </w:r>
      <w:r w:rsidRPr="00F1660D">
        <w:rPr>
          <w:lang w:val="fr-FR"/>
        </w:rPr>
        <w:t>production, l’utilisation et</w:t>
      </w:r>
      <w:r w:rsidR="00A50629" w:rsidRPr="00F1660D">
        <w:rPr>
          <w:lang w:val="fr-FR"/>
        </w:rPr>
        <w:t xml:space="preserve"> le </w:t>
      </w:r>
      <w:r w:rsidRPr="00F1660D">
        <w:rPr>
          <w:lang w:val="fr-FR"/>
        </w:rPr>
        <w:t>rejet</w:t>
      </w:r>
      <w:r w:rsidR="00A50629" w:rsidRPr="00F1660D">
        <w:rPr>
          <w:lang w:val="fr-FR"/>
        </w:rPr>
        <w:t xml:space="preserve"> des </w:t>
      </w:r>
      <w:r w:rsidRPr="00F1660D">
        <w:rPr>
          <w:lang w:val="fr-FR"/>
        </w:rPr>
        <w:t>produits chimiques et</w:t>
      </w:r>
      <w:r w:rsidR="00A50629" w:rsidRPr="00F1660D">
        <w:rPr>
          <w:lang w:val="fr-FR"/>
        </w:rPr>
        <w:t xml:space="preserve"> la </w:t>
      </w:r>
      <w:r w:rsidRPr="00F1660D">
        <w:rPr>
          <w:lang w:val="fr-FR"/>
        </w:rPr>
        <w:t>production et</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déchets, en prenant dûment en considération</w:t>
      </w:r>
      <w:r w:rsidR="00A50629" w:rsidRPr="00F1660D">
        <w:rPr>
          <w:lang w:val="fr-FR"/>
        </w:rPr>
        <w:t xml:space="preserve"> le </w:t>
      </w:r>
      <w:r w:rsidRPr="00F1660D">
        <w:rPr>
          <w:lang w:val="fr-FR"/>
        </w:rPr>
        <w:t>rapport que</w:t>
      </w:r>
      <w:r w:rsidR="00A50629" w:rsidRPr="00F1660D">
        <w:rPr>
          <w:lang w:val="fr-FR"/>
        </w:rPr>
        <w:t xml:space="preserve"> la </w:t>
      </w:r>
      <w:r w:rsidRPr="00F1660D">
        <w:rPr>
          <w:lang w:val="fr-FR"/>
        </w:rPr>
        <w:t>Directrice exécutive du PNUE a été chargée d’élaborer d’ici</w:t>
      </w:r>
      <w:r w:rsidR="00A50629" w:rsidRPr="00F1660D">
        <w:rPr>
          <w:lang w:val="fr-FR"/>
        </w:rPr>
        <w:t xml:space="preserve"> le </w:t>
      </w:r>
      <w:r w:rsidRPr="00F1660D">
        <w:rPr>
          <w:lang w:val="fr-FR"/>
        </w:rPr>
        <w:t>30 avril 2020 sur ces questions.</w:t>
      </w:r>
    </w:p>
    <w:p w14:paraId="186D53F4" w14:textId="1A093F04" w:rsidR="001420CF" w:rsidRPr="00F1660D" w:rsidRDefault="001420CF" w:rsidP="001420CF">
      <w:pPr>
        <w:pStyle w:val="NormalNonumber"/>
        <w:rPr>
          <w:lang w:val="fr-FR"/>
        </w:rPr>
      </w:pPr>
      <w:r w:rsidRPr="00F1660D">
        <w:rPr>
          <w:lang w:val="fr-FR"/>
        </w:rPr>
        <w:t>En particulier,</w:t>
      </w:r>
      <w:r w:rsidR="00A50629" w:rsidRPr="00F1660D">
        <w:rPr>
          <w:lang w:val="fr-FR"/>
        </w:rPr>
        <w:t xml:space="preserve"> les </w:t>
      </w:r>
      <w:r w:rsidRPr="00F1660D">
        <w:rPr>
          <w:lang w:val="fr-FR"/>
        </w:rPr>
        <w:t>gouvernements devraient se pencher sur</w:t>
      </w:r>
      <w:r w:rsidR="00A50629" w:rsidRPr="00F1660D">
        <w:rPr>
          <w:lang w:val="fr-FR"/>
        </w:rPr>
        <w:t xml:space="preserve"> les </w:t>
      </w:r>
      <w:r w:rsidRPr="00F1660D">
        <w:rPr>
          <w:lang w:val="fr-FR"/>
        </w:rPr>
        <w:t>moyens pour donner suite à</w:t>
      </w:r>
      <w:r w:rsidR="00A50629" w:rsidRPr="00F1660D">
        <w:rPr>
          <w:lang w:val="fr-FR"/>
        </w:rPr>
        <w:t xml:space="preserve"> la </w:t>
      </w:r>
      <w:r w:rsidRPr="00F1660D">
        <w:rPr>
          <w:lang w:val="fr-FR"/>
        </w:rPr>
        <w:t>demande d’une analyse</w:t>
      </w:r>
      <w:r w:rsidR="00A50629" w:rsidRPr="00F1660D">
        <w:rPr>
          <w:lang w:val="fr-FR"/>
        </w:rPr>
        <w:t xml:space="preserve"> des </w:t>
      </w:r>
      <w:r w:rsidRPr="00F1660D">
        <w:rPr>
          <w:lang w:val="fr-FR"/>
        </w:rPr>
        <w:t>cadres réglementaires et politiques existants et de leur capacité à traiter ces questions, en vue de réaliser l’objectif fixé pour 2020 de parvenir à une 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A50629" w:rsidRPr="00F1660D">
        <w:rPr>
          <w:lang w:val="fr-FR"/>
        </w:rPr>
        <w:t xml:space="preserve"> y </w:t>
      </w:r>
      <w:r w:rsidRPr="00F1660D">
        <w:rPr>
          <w:lang w:val="fr-FR"/>
        </w:rPr>
        <w:t>compris</w:t>
      </w:r>
      <w:r w:rsidR="00A50629" w:rsidRPr="00F1660D">
        <w:rPr>
          <w:lang w:val="fr-FR"/>
        </w:rPr>
        <w:t xml:space="preserve"> le </w:t>
      </w:r>
      <w:r w:rsidRPr="00F1660D">
        <w:rPr>
          <w:lang w:val="fr-FR"/>
        </w:rPr>
        <w:t>plomb et</w:t>
      </w:r>
      <w:r w:rsidR="00A50629" w:rsidRPr="00F1660D">
        <w:rPr>
          <w:lang w:val="fr-FR"/>
        </w:rPr>
        <w:t xml:space="preserve"> le </w:t>
      </w:r>
      <w:r w:rsidRPr="00F1660D">
        <w:rPr>
          <w:lang w:val="fr-FR"/>
        </w:rPr>
        <w:t>cadmium, comme indiqué dans</w:t>
      </w:r>
      <w:r w:rsidR="00A50629" w:rsidRPr="00F1660D">
        <w:rPr>
          <w:lang w:val="fr-FR"/>
        </w:rPr>
        <w:t xml:space="preserve"> le </w:t>
      </w:r>
      <w:r w:rsidRPr="00F1660D">
        <w:rPr>
          <w:lang w:val="fr-FR"/>
        </w:rPr>
        <w:t>rapport mentionné dans</w:t>
      </w:r>
      <w:r w:rsidR="00A50629" w:rsidRPr="00F1660D">
        <w:rPr>
          <w:lang w:val="fr-FR"/>
        </w:rPr>
        <w:t xml:space="preserve"> la </w:t>
      </w:r>
      <w:r w:rsidRPr="00F1660D">
        <w:rPr>
          <w:lang w:val="fr-FR"/>
        </w:rPr>
        <w:t>recommandation précédente.</w:t>
      </w:r>
    </w:p>
    <w:p w14:paraId="353A77EE" w14:textId="1089F993" w:rsidR="001420CF" w:rsidRPr="00F1660D" w:rsidRDefault="001420CF" w:rsidP="001420CF">
      <w:pPr>
        <w:pStyle w:val="NormalNonumber"/>
        <w:rPr>
          <w:lang w:val="fr-FR"/>
        </w:rPr>
      </w:pPr>
      <w:r w:rsidRPr="00F1660D">
        <w:rPr>
          <w:lang w:val="fr-FR"/>
        </w:rPr>
        <w:t>Parmi</w:t>
      </w:r>
      <w:r w:rsidR="00A50629" w:rsidRPr="00F1660D">
        <w:rPr>
          <w:lang w:val="fr-FR"/>
        </w:rPr>
        <w:t xml:space="preserve"> les </w:t>
      </w:r>
      <w:r w:rsidRPr="00F1660D">
        <w:rPr>
          <w:lang w:val="fr-FR"/>
        </w:rPr>
        <w:t>sujets potentiels de préoccupation d’ordre mondial, on trouve</w:t>
      </w:r>
      <w:r w:rsidR="00A50629" w:rsidRPr="00F1660D">
        <w:rPr>
          <w:lang w:val="fr-FR"/>
        </w:rPr>
        <w:t xml:space="preserve"> des </w:t>
      </w:r>
      <w:r w:rsidRPr="00F1660D">
        <w:rPr>
          <w:lang w:val="fr-FR"/>
        </w:rPr>
        <w:t>substances,</w:t>
      </w:r>
      <w:r w:rsidR="00A50629" w:rsidRPr="00F1660D">
        <w:rPr>
          <w:lang w:val="fr-FR"/>
        </w:rPr>
        <w:t xml:space="preserve"> des </w:t>
      </w:r>
      <w:r w:rsidRPr="00F1660D">
        <w:rPr>
          <w:lang w:val="fr-FR"/>
        </w:rPr>
        <w:t>groupes de substances,</w:t>
      </w:r>
      <w:r w:rsidR="00A50629" w:rsidRPr="00F1660D">
        <w:rPr>
          <w:lang w:val="fr-FR"/>
        </w:rPr>
        <w:t xml:space="preserve"> des </w:t>
      </w:r>
      <w:r w:rsidRPr="00F1660D">
        <w:rPr>
          <w:lang w:val="fr-FR"/>
        </w:rPr>
        <w:t>mélanges,</w:t>
      </w:r>
      <w:r w:rsidR="00A50629" w:rsidRPr="00F1660D">
        <w:rPr>
          <w:lang w:val="fr-FR"/>
        </w:rPr>
        <w:t xml:space="preserve"> des </w:t>
      </w:r>
      <w:r w:rsidRPr="00F1660D">
        <w:rPr>
          <w:lang w:val="fr-FR"/>
        </w:rPr>
        <w:t>matériaux et</w:t>
      </w:r>
      <w:r w:rsidR="00A50629" w:rsidRPr="00F1660D">
        <w:rPr>
          <w:lang w:val="fr-FR"/>
        </w:rPr>
        <w:t xml:space="preserve"> des </w:t>
      </w:r>
      <w:r w:rsidRPr="00F1660D">
        <w:rPr>
          <w:lang w:val="fr-FR"/>
        </w:rPr>
        <w:t>produits, quel que soit</w:t>
      </w:r>
      <w:r w:rsidR="00A50629" w:rsidRPr="00F1660D">
        <w:rPr>
          <w:lang w:val="fr-FR"/>
        </w:rPr>
        <w:t xml:space="preserve"> le </w:t>
      </w:r>
      <w:r w:rsidRPr="00F1660D">
        <w:rPr>
          <w:lang w:val="fr-FR"/>
        </w:rPr>
        <w:t>stade considéré du cycle de vie (du stade de</w:t>
      </w:r>
      <w:r w:rsidR="00A50629" w:rsidRPr="00F1660D">
        <w:rPr>
          <w:lang w:val="fr-FR"/>
        </w:rPr>
        <w:t xml:space="preserve"> la </w:t>
      </w:r>
      <w:r w:rsidRPr="00F1660D">
        <w:rPr>
          <w:lang w:val="fr-FR"/>
        </w:rPr>
        <w:t>conception</w:t>
      </w:r>
      <w:r w:rsidR="00A50629" w:rsidRPr="00F1660D">
        <w:rPr>
          <w:lang w:val="fr-FR"/>
        </w:rPr>
        <w:t xml:space="preserve"> au </w:t>
      </w:r>
      <w:r w:rsidRPr="00F1660D">
        <w:rPr>
          <w:lang w:val="fr-FR"/>
        </w:rPr>
        <w:t>stade de déchet). La 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devrait adopter</w:t>
      </w:r>
      <w:r w:rsidR="00A50629" w:rsidRPr="00F1660D">
        <w:rPr>
          <w:lang w:val="fr-FR"/>
        </w:rPr>
        <w:t xml:space="preserve"> des </w:t>
      </w:r>
      <w:r w:rsidRPr="00F1660D">
        <w:rPr>
          <w:lang w:val="fr-FR"/>
        </w:rPr>
        <w:t>critères pour circonscrire</w:t>
      </w:r>
      <w:r w:rsidR="00A50629" w:rsidRPr="00F1660D">
        <w:rPr>
          <w:lang w:val="fr-FR"/>
        </w:rPr>
        <w:t xml:space="preserve"> les </w:t>
      </w:r>
      <w:r w:rsidRPr="00F1660D">
        <w:rPr>
          <w:lang w:val="fr-FR"/>
        </w:rPr>
        <w:t>sujets de préoccupation d’ordre mondial, en s’appuyant sur</w:t>
      </w:r>
      <w:r w:rsidR="00A50629" w:rsidRPr="00F1660D">
        <w:rPr>
          <w:lang w:val="fr-FR"/>
        </w:rPr>
        <w:t xml:space="preserve"> les </w:t>
      </w:r>
      <w:r w:rsidRPr="00F1660D">
        <w:rPr>
          <w:lang w:val="fr-FR"/>
        </w:rPr>
        <w:t>critères définis dans sa résolution II/4 et en tenant compte</w:t>
      </w:r>
      <w:r w:rsidR="00A50629" w:rsidRPr="00F1660D">
        <w:rPr>
          <w:lang w:val="fr-FR"/>
        </w:rPr>
        <w:t xml:space="preserve"> des </w:t>
      </w:r>
      <w:r w:rsidRPr="00F1660D">
        <w:rPr>
          <w:lang w:val="fr-FR"/>
        </w:rPr>
        <w:t>conclusions</w:t>
      </w:r>
      <w:r w:rsidR="00A50629" w:rsidRPr="00F1660D">
        <w:rPr>
          <w:lang w:val="fr-FR"/>
        </w:rPr>
        <w:t xml:space="preserve"> des </w:t>
      </w:r>
      <w:r w:rsidRPr="00F1660D">
        <w:rPr>
          <w:lang w:val="fr-FR"/>
        </w:rPr>
        <w:t>rapports sur</w:t>
      </w:r>
      <w:r w:rsidR="00A50629" w:rsidRPr="00F1660D">
        <w:rPr>
          <w:lang w:val="fr-FR"/>
        </w:rPr>
        <w:t xml:space="preserve"> les </w:t>
      </w:r>
      <w:r w:rsidRPr="00F1660D">
        <w:rPr>
          <w:lang w:val="fr-FR"/>
        </w:rPr>
        <w:t>perspectives mondiales en matière de produits chimiques et</w:t>
      </w:r>
      <w:r w:rsidR="00A50629" w:rsidRPr="00F1660D">
        <w:rPr>
          <w:lang w:val="fr-FR"/>
        </w:rPr>
        <w:t xml:space="preserve"> les </w:t>
      </w:r>
      <w:r w:rsidRPr="00F1660D">
        <w:rPr>
          <w:lang w:val="fr-FR"/>
        </w:rPr>
        <w:t>perspectives mondiales en matière de gestion</w:t>
      </w:r>
      <w:r w:rsidR="00A50629" w:rsidRPr="00F1660D">
        <w:rPr>
          <w:lang w:val="fr-FR"/>
        </w:rPr>
        <w:t xml:space="preserve"> des </w:t>
      </w:r>
      <w:r w:rsidRPr="00F1660D">
        <w:rPr>
          <w:lang w:val="fr-FR"/>
        </w:rPr>
        <w:t>déchets et</w:t>
      </w:r>
      <w:r w:rsidR="00A50629" w:rsidRPr="00F1660D">
        <w:rPr>
          <w:lang w:val="fr-FR"/>
        </w:rPr>
        <w:t xml:space="preserve"> des </w:t>
      </w:r>
      <w:r w:rsidRPr="00F1660D">
        <w:rPr>
          <w:lang w:val="fr-FR"/>
        </w:rPr>
        <w:t>rapports connexes de</w:t>
      </w:r>
      <w:r w:rsidR="00A50629" w:rsidRPr="00F1660D">
        <w:rPr>
          <w:lang w:val="fr-FR"/>
        </w:rPr>
        <w:t xml:space="preserve"> la </w:t>
      </w:r>
      <w:r w:rsidRPr="00F1660D">
        <w:rPr>
          <w:lang w:val="fr-FR"/>
        </w:rPr>
        <w:t>Directrice exécutive du PNUE sur ces questions.</w:t>
      </w:r>
      <w:r w:rsidR="00A50629" w:rsidRPr="00F1660D">
        <w:rPr>
          <w:lang w:val="fr-FR"/>
        </w:rPr>
        <w:t xml:space="preserve"> Les </w:t>
      </w:r>
      <w:r w:rsidRPr="00F1660D">
        <w:rPr>
          <w:lang w:val="fr-FR"/>
        </w:rPr>
        <w:t>critères relatifs à</w:t>
      </w:r>
      <w:r w:rsidR="00A50629" w:rsidRPr="00F1660D">
        <w:rPr>
          <w:lang w:val="fr-FR"/>
        </w:rPr>
        <w:t xml:space="preserve"> la </w:t>
      </w:r>
      <w:r w:rsidRPr="00F1660D">
        <w:rPr>
          <w:lang w:val="fr-FR"/>
        </w:rPr>
        <w:t>manière de donner suite aux recommandations scientifiques pourront également être pris en compte.]</w:t>
      </w:r>
    </w:p>
    <w:p w14:paraId="1F17B975" w14:textId="77777777" w:rsidR="001420CF" w:rsidRPr="00F1660D" w:rsidRDefault="001420CF" w:rsidP="001420CF">
      <w:pPr>
        <w:pStyle w:val="CH3"/>
        <w:rPr>
          <w:lang w:val="fr-FR"/>
        </w:rPr>
      </w:pPr>
      <w:r w:rsidRPr="00F1660D">
        <w:rPr>
          <w:lang w:val="fr-FR"/>
        </w:rPr>
        <w:tab/>
        <w:t>6.</w:t>
      </w:r>
      <w:r w:rsidRPr="00F1660D">
        <w:rPr>
          <w:lang w:val="fr-FR"/>
        </w:rPr>
        <w:tab/>
        <w:t>Organes subsidiaires spécialisés et groupes spéciaux d’experts</w:t>
      </w:r>
    </w:p>
    <w:p w14:paraId="6C3288BB" w14:textId="53F00F69" w:rsidR="001420CF" w:rsidRPr="00F1660D" w:rsidRDefault="001420CF" w:rsidP="001420CF">
      <w:pPr>
        <w:pStyle w:val="NormalNonumber"/>
        <w:rPr>
          <w:lang w:val="fr-FR"/>
        </w:rPr>
      </w:pPr>
      <w:r w:rsidRPr="00F1660D">
        <w:rPr>
          <w:lang w:val="fr-FR"/>
        </w:rPr>
        <w:t>La Conférence internationale devrait pouvoir établir</w:t>
      </w:r>
      <w:r w:rsidR="00A50629" w:rsidRPr="00F1660D">
        <w:rPr>
          <w:lang w:val="fr-FR"/>
        </w:rPr>
        <w:t xml:space="preserve"> des </w:t>
      </w:r>
      <w:r w:rsidRPr="00F1660D">
        <w:rPr>
          <w:lang w:val="fr-FR"/>
        </w:rPr>
        <w:t>organes subsidiaires spécialisés et</w:t>
      </w:r>
      <w:r w:rsidR="00A50629" w:rsidRPr="00F1660D">
        <w:rPr>
          <w:lang w:val="fr-FR"/>
        </w:rPr>
        <w:t xml:space="preserve"> des </w:t>
      </w:r>
      <w:r w:rsidRPr="00F1660D">
        <w:rPr>
          <w:lang w:val="fr-FR"/>
        </w:rPr>
        <w:t>groupes spéciaux d’experts, limités dans</w:t>
      </w:r>
      <w:r w:rsidR="00A50629" w:rsidRPr="00F1660D">
        <w:rPr>
          <w:lang w:val="fr-FR"/>
        </w:rPr>
        <w:t xml:space="preserve"> le </w:t>
      </w:r>
      <w:r w:rsidRPr="00F1660D">
        <w:rPr>
          <w:lang w:val="fr-FR"/>
        </w:rPr>
        <w:t>temps et chargés d’étudier</w:t>
      </w:r>
      <w:r w:rsidR="00A50629" w:rsidRPr="00F1660D">
        <w:rPr>
          <w:lang w:val="fr-FR"/>
        </w:rPr>
        <w:t xml:space="preserve"> les </w:t>
      </w:r>
      <w:r w:rsidRPr="00F1660D">
        <w:rPr>
          <w:lang w:val="fr-FR"/>
        </w:rPr>
        <w:t>questions scientifiques, techniques et/ou de politique générale qui ne sont pas encore traitées [par] [dans</w:t>
      </w:r>
      <w:r w:rsidR="00A50629" w:rsidRPr="00F1660D">
        <w:rPr>
          <w:lang w:val="fr-FR"/>
        </w:rPr>
        <w:t xml:space="preserve"> le </w:t>
      </w:r>
      <w:r w:rsidRPr="00F1660D">
        <w:rPr>
          <w:lang w:val="fr-FR"/>
        </w:rPr>
        <w:t>cadre] [des] [d’] instances existantes, et de fournir</w:t>
      </w:r>
      <w:r w:rsidR="00A50629" w:rsidRPr="00F1660D">
        <w:rPr>
          <w:lang w:val="fr-FR"/>
        </w:rPr>
        <w:t xml:space="preserve"> des </w:t>
      </w:r>
      <w:r w:rsidRPr="00F1660D">
        <w:rPr>
          <w:lang w:val="fr-FR"/>
        </w:rPr>
        <w:t xml:space="preserve">conseils sur ces questions. </w:t>
      </w:r>
    </w:p>
    <w:p w14:paraId="69B455DB" w14:textId="08F2FE40" w:rsidR="001420CF" w:rsidRPr="00F1660D" w:rsidRDefault="001420CF" w:rsidP="001420CF">
      <w:pPr>
        <w:pStyle w:val="NormalNonumber"/>
        <w:rPr>
          <w:lang w:val="fr-FR"/>
        </w:rPr>
      </w:pPr>
      <w:r w:rsidRPr="00F1660D">
        <w:rPr>
          <w:lang w:val="fr-FR"/>
        </w:rPr>
        <w:t>Ces groupes devraient [être ouverts à tous,] refléter un équilibre géographique, être transparents, souples et crédibles sur</w:t>
      </w:r>
      <w:r w:rsidR="00A50629" w:rsidRPr="00F1660D">
        <w:rPr>
          <w:lang w:val="fr-FR"/>
        </w:rPr>
        <w:t xml:space="preserve"> le </w:t>
      </w:r>
      <w:r w:rsidRPr="00F1660D">
        <w:rPr>
          <w:lang w:val="fr-FR"/>
        </w:rPr>
        <w:t>plan académique [et appliquer</w:t>
      </w:r>
      <w:r w:rsidR="00A50629" w:rsidRPr="00F1660D">
        <w:rPr>
          <w:lang w:val="fr-FR"/>
        </w:rPr>
        <w:t xml:space="preserve"> des </w:t>
      </w:r>
      <w:r w:rsidRPr="00F1660D">
        <w:rPr>
          <w:lang w:val="fr-FR"/>
        </w:rPr>
        <w:t>politiques strictes en matière de conflit d’intérêts] ; ils devraient promouvoir</w:t>
      </w:r>
      <w:r w:rsidR="00A50629" w:rsidRPr="00F1660D">
        <w:rPr>
          <w:lang w:val="fr-FR"/>
        </w:rPr>
        <w:t xml:space="preserve"> le </w:t>
      </w:r>
      <w:r w:rsidRPr="00F1660D">
        <w:rPr>
          <w:lang w:val="fr-FR"/>
        </w:rPr>
        <w:t>dialogue entre</w:t>
      </w:r>
      <w:r w:rsidR="00A50629" w:rsidRPr="00F1660D">
        <w:rPr>
          <w:lang w:val="fr-FR"/>
        </w:rPr>
        <w:t xml:space="preserve"> les </w:t>
      </w:r>
      <w:r w:rsidRPr="00F1660D">
        <w:rPr>
          <w:lang w:val="fr-FR"/>
        </w:rPr>
        <w:t>disciplines, ainsi qu’entre</w:t>
      </w:r>
      <w:r w:rsidR="00A50629" w:rsidRPr="00F1660D">
        <w:rPr>
          <w:lang w:val="fr-FR"/>
        </w:rPr>
        <w:t xml:space="preserve"> la </w:t>
      </w:r>
      <w:r w:rsidRPr="00F1660D">
        <w:rPr>
          <w:lang w:val="fr-FR"/>
        </w:rPr>
        <w:t>science et</w:t>
      </w:r>
      <w:r w:rsidR="00A50629" w:rsidRPr="00F1660D">
        <w:rPr>
          <w:lang w:val="fr-FR"/>
        </w:rPr>
        <w:t xml:space="preserve"> la </w:t>
      </w:r>
      <w:r w:rsidRPr="00F1660D">
        <w:rPr>
          <w:lang w:val="fr-FR"/>
        </w:rPr>
        <w:t>politique ; renforcer</w:t>
      </w:r>
      <w:r w:rsidR="00A50629" w:rsidRPr="00F1660D">
        <w:rPr>
          <w:lang w:val="fr-FR"/>
        </w:rPr>
        <w:t xml:space="preserve"> les </w:t>
      </w:r>
      <w:r w:rsidRPr="00F1660D">
        <w:rPr>
          <w:lang w:val="fr-FR"/>
        </w:rPr>
        <w:t>activités de sensibilisation ; et satisfaire à</w:t>
      </w:r>
      <w:r w:rsidR="00A50629" w:rsidRPr="00F1660D">
        <w:rPr>
          <w:lang w:val="fr-FR"/>
        </w:rPr>
        <w:t xml:space="preserve"> des </w:t>
      </w:r>
      <w:r w:rsidRPr="00F1660D">
        <w:rPr>
          <w:lang w:val="fr-FR"/>
        </w:rPr>
        <w:t>normes strictes, dont un examen critique par</w:t>
      </w:r>
      <w:r w:rsidR="00A50629" w:rsidRPr="00F1660D">
        <w:rPr>
          <w:lang w:val="fr-FR"/>
        </w:rPr>
        <w:t xml:space="preserve"> les </w:t>
      </w:r>
      <w:r w:rsidRPr="00F1660D">
        <w:rPr>
          <w:lang w:val="fr-FR"/>
        </w:rPr>
        <w:t>pairs, que</w:t>
      </w:r>
      <w:r w:rsidR="00A50629" w:rsidRPr="00F1660D">
        <w:rPr>
          <w:lang w:val="fr-FR"/>
        </w:rPr>
        <w:t xml:space="preserve"> la </w:t>
      </w:r>
      <w:r w:rsidRPr="00F1660D">
        <w:rPr>
          <w:lang w:val="fr-FR"/>
        </w:rPr>
        <w:t>Conférence internationale devrait approuver.</w:t>
      </w:r>
      <w:r w:rsidR="00A50629" w:rsidRPr="00F1660D">
        <w:rPr>
          <w:lang w:val="fr-FR"/>
        </w:rPr>
        <w:t xml:space="preserve"> Les </w:t>
      </w:r>
      <w:r w:rsidRPr="00F1660D">
        <w:rPr>
          <w:lang w:val="fr-FR"/>
        </w:rPr>
        <w:t>fonctions qui pourraient leur être aussi assignées seraient notamment</w:t>
      </w:r>
      <w:r w:rsidR="00A50629" w:rsidRPr="00F1660D">
        <w:rPr>
          <w:lang w:val="fr-FR"/>
        </w:rPr>
        <w:t xml:space="preserve"> les </w:t>
      </w:r>
      <w:r w:rsidRPr="00F1660D">
        <w:rPr>
          <w:lang w:val="fr-FR"/>
        </w:rPr>
        <w:t>suivantes :</w:t>
      </w:r>
    </w:p>
    <w:p w14:paraId="464EB05D" w14:textId="2566F8E8" w:rsidR="001420CF" w:rsidRPr="00F1660D" w:rsidRDefault="001420CF" w:rsidP="001420CF">
      <w:pPr>
        <w:pStyle w:val="NormalNonumber"/>
        <w:ind w:left="2381" w:hanging="1134"/>
        <w:rPr>
          <w:lang w:val="fr-FR"/>
        </w:rPr>
      </w:pPr>
      <w:r w:rsidRPr="00F1660D">
        <w:rPr>
          <w:lang w:val="fr-FR"/>
        </w:rPr>
        <w:tab/>
        <w:t>i)</w:t>
      </w:r>
      <w:r w:rsidRPr="00F1660D">
        <w:rPr>
          <w:lang w:val="fr-FR"/>
        </w:rPr>
        <w:tab/>
        <w:t>[Identifier, hiérarchiser et formuler</w:t>
      </w:r>
      <w:r w:rsidR="00A50629" w:rsidRPr="00F1660D">
        <w:rPr>
          <w:lang w:val="fr-FR"/>
        </w:rPr>
        <w:t xml:space="preserve"> des </w:t>
      </w:r>
      <w:r w:rsidRPr="00F1660D">
        <w:rPr>
          <w:lang w:val="fr-FR"/>
        </w:rPr>
        <w:t>recommandations pour traiter</w:t>
      </w:r>
      <w:r w:rsidR="00A50629" w:rsidRPr="00F1660D">
        <w:rPr>
          <w:lang w:val="fr-FR"/>
        </w:rPr>
        <w:t xml:space="preserve"> les </w:t>
      </w:r>
      <w:r w:rsidRPr="00F1660D">
        <w:rPr>
          <w:lang w:val="fr-FR"/>
        </w:rPr>
        <w:t>sujets de préoccupation [d’ordre mondial] concernant</w:t>
      </w:r>
      <w:r w:rsidR="00A50629" w:rsidRPr="00F1660D">
        <w:rPr>
          <w:lang w:val="fr-FR"/>
        </w:rPr>
        <w:t xml:space="preserve"> les </w:t>
      </w:r>
      <w:r w:rsidRPr="00F1660D">
        <w:rPr>
          <w:lang w:val="fr-FR"/>
        </w:rPr>
        <w:t>produits chimiques et</w:t>
      </w:r>
      <w:r w:rsidR="00A50629" w:rsidRPr="00F1660D">
        <w:rPr>
          <w:lang w:val="fr-FR"/>
        </w:rPr>
        <w:t xml:space="preserve"> les </w:t>
      </w:r>
      <w:r w:rsidRPr="00F1660D">
        <w:rPr>
          <w:lang w:val="fr-FR"/>
        </w:rPr>
        <w:t>déchets] ;</w:t>
      </w:r>
    </w:p>
    <w:p w14:paraId="53D0B8A6" w14:textId="30E311DB" w:rsidR="001420CF" w:rsidRPr="00F1660D" w:rsidRDefault="001420CF" w:rsidP="001420CF">
      <w:pPr>
        <w:pStyle w:val="NormalNonumber"/>
        <w:ind w:left="2381" w:hanging="1134"/>
        <w:rPr>
          <w:lang w:val="fr-FR"/>
        </w:rPr>
      </w:pPr>
      <w:r w:rsidRPr="00F1660D">
        <w:rPr>
          <w:lang w:val="fr-FR"/>
        </w:rPr>
        <w:tab/>
        <w:t>ii)</w:t>
      </w:r>
      <w:r w:rsidRPr="00F1660D">
        <w:rPr>
          <w:lang w:val="fr-FR"/>
        </w:rPr>
        <w:tab/>
        <w:t>Faciliter</w:t>
      </w:r>
      <w:r w:rsidR="00A50629" w:rsidRPr="00F1660D">
        <w:rPr>
          <w:lang w:val="fr-FR"/>
        </w:rPr>
        <w:t xml:space="preserve"> la </w:t>
      </w:r>
      <w:r w:rsidRPr="00F1660D">
        <w:rPr>
          <w:lang w:val="fr-FR"/>
        </w:rPr>
        <w:t>mise en œuvre dans</w:t>
      </w:r>
      <w:r w:rsidR="00A50629" w:rsidRPr="00F1660D">
        <w:rPr>
          <w:lang w:val="fr-FR"/>
        </w:rPr>
        <w:t xml:space="preserve"> les </w:t>
      </w:r>
      <w:r w:rsidRPr="00F1660D">
        <w:rPr>
          <w:lang w:val="fr-FR"/>
        </w:rPr>
        <w:t>pays en développement, par exemple, par l’intermédiaire de systèmes de réglementation de base ;</w:t>
      </w:r>
    </w:p>
    <w:p w14:paraId="0948A27B" w14:textId="3FC52E93" w:rsidR="001420CF" w:rsidRPr="00F1660D" w:rsidRDefault="001420CF" w:rsidP="001420CF">
      <w:pPr>
        <w:pStyle w:val="NormalNonumber"/>
        <w:ind w:left="2381" w:hanging="1134"/>
        <w:rPr>
          <w:lang w:val="fr-FR"/>
        </w:rPr>
      </w:pPr>
      <w:r w:rsidRPr="00F1660D">
        <w:rPr>
          <w:lang w:val="fr-FR"/>
        </w:rPr>
        <w:tab/>
        <w:t>iii)</w:t>
      </w:r>
      <w:r w:rsidRPr="00F1660D">
        <w:rPr>
          <w:lang w:val="fr-FR"/>
        </w:rPr>
        <w:tab/>
        <w:t>Évaluer</w:t>
      </w:r>
      <w:r w:rsidR="00A50629" w:rsidRPr="00F1660D">
        <w:rPr>
          <w:lang w:val="fr-FR"/>
        </w:rPr>
        <w:t xml:space="preserve"> la </w:t>
      </w:r>
      <w:r w:rsidRPr="00F1660D">
        <w:rPr>
          <w:lang w:val="fr-FR"/>
        </w:rPr>
        <w:t>portée,</w:t>
      </w:r>
      <w:r w:rsidR="00A50629" w:rsidRPr="00F1660D">
        <w:rPr>
          <w:lang w:val="fr-FR"/>
        </w:rPr>
        <w:t xml:space="preserve"> les </w:t>
      </w:r>
      <w:r w:rsidRPr="00F1660D">
        <w:rPr>
          <w:lang w:val="fr-FR"/>
        </w:rPr>
        <w:t>sources et</w:t>
      </w:r>
      <w:r w:rsidR="00A50629" w:rsidRPr="00F1660D">
        <w:rPr>
          <w:lang w:val="fr-FR"/>
        </w:rPr>
        <w:t xml:space="preserve"> les </w:t>
      </w:r>
      <w:r w:rsidRPr="00F1660D">
        <w:rPr>
          <w:lang w:val="fr-FR"/>
        </w:rPr>
        <w:t>coûts sanitaires et environnementaux</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 procéder à l’analyse et</w:t>
      </w:r>
      <w:r w:rsidR="00A50629" w:rsidRPr="00F1660D">
        <w:rPr>
          <w:lang w:val="fr-FR"/>
        </w:rPr>
        <w:t xml:space="preserve"> la </w:t>
      </w:r>
      <w:r w:rsidRPr="00F1660D">
        <w:rPr>
          <w:lang w:val="fr-FR"/>
        </w:rPr>
        <w:t>mise</w:t>
      </w:r>
      <w:r w:rsidR="00A50629" w:rsidRPr="00F1660D">
        <w:rPr>
          <w:lang w:val="fr-FR"/>
        </w:rPr>
        <w:t xml:space="preserve"> au </w:t>
      </w:r>
      <w:r w:rsidRPr="00F1660D">
        <w:rPr>
          <w:lang w:val="fr-FR"/>
        </w:rPr>
        <w:t>point de mesures d’intervention ;</w:t>
      </w:r>
    </w:p>
    <w:p w14:paraId="428E0AEC" w14:textId="2AEB8150" w:rsidR="001420CF" w:rsidRPr="00F1660D" w:rsidRDefault="001420CF" w:rsidP="001420CF">
      <w:pPr>
        <w:pStyle w:val="NormalNonumber"/>
        <w:ind w:left="2381" w:hanging="1134"/>
        <w:rPr>
          <w:lang w:val="fr-FR"/>
        </w:rPr>
      </w:pPr>
      <w:r w:rsidRPr="00F1660D">
        <w:rPr>
          <w:lang w:val="fr-FR"/>
        </w:rPr>
        <w:tab/>
        <w:t>iv)</w:t>
      </w:r>
      <w:r w:rsidRPr="00F1660D">
        <w:rPr>
          <w:lang w:val="fr-FR"/>
        </w:rPr>
        <w:tab/>
        <w:t>Faciliter l’innovation et</w:t>
      </w:r>
      <w:r w:rsidR="00A50629" w:rsidRPr="00F1660D">
        <w:rPr>
          <w:lang w:val="fr-FR"/>
        </w:rPr>
        <w:t xml:space="preserve"> la </w:t>
      </w:r>
      <w:r w:rsidRPr="00F1660D">
        <w:rPr>
          <w:lang w:val="fr-FR"/>
        </w:rPr>
        <w:t>formulation de recommandations qui maximisent</w:t>
      </w:r>
      <w:r w:rsidR="00A50629" w:rsidRPr="00F1660D">
        <w:rPr>
          <w:lang w:val="fr-FR"/>
        </w:rPr>
        <w:t xml:space="preserve"> les </w:t>
      </w:r>
      <w:r w:rsidRPr="00F1660D">
        <w:rPr>
          <w:lang w:val="fr-FR"/>
        </w:rPr>
        <w:t>avantages offerts par</w:t>
      </w:r>
      <w:r w:rsidR="00A50629" w:rsidRPr="00F1660D">
        <w:rPr>
          <w:lang w:val="fr-FR"/>
        </w:rPr>
        <w:t xml:space="preserve"> des </w:t>
      </w:r>
      <w:r w:rsidRPr="00F1660D">
        <w:rPr>
          <w:lang w:val="fr-FR"/>
        </w:rPr>
        <w:t>solutions de remplacement durables et plus sûres ;</w:t>
      </w:r>
    </w:p>
    <w:p w14:paraId="5E45C916" w14:textId="3D062143" w:rsidR="001420CF" w:rsidRPr="00F1660D" w:rsidRDefault="001420CF" w:rsidP="001420CF">
      <w:pPr>
        <w:pStyle w:val="NormalNonumber"/>
        <w:ind w:left="2381" w:hanging="1134"/>
        <w:rPr>
          <w:lang w:val="fr-FR"/>
        </w:rPr>
      </w:pPr>
      <w:r w:rsidRPr="00F1660D">
        <w:rPr>
          <w:lang w:val="fr-FR"/>
        </w:rPr>
        <w:tab/>
        <w:t>v)</w:t>
      </w:r>
      <w:r w:rsidRPr="00F1660D">
        <w:rPr>
          <w:lang w:val="fr-FR"/>
        </w:rPr>
        <w:tab/>
        <w:t>Élaborer</w:t>
      </w:r>
      <w:r w:rsidR="00A50629" w:rsidRPr="00F1660D">
        <w:rPr>
          <w:lang w:val="fr-FR"/>
        </w:rPr>
        <w:t xml:space="preserve"> des </w:t>
      </w:r>
      <w:r w:rsidRPr="00F1660D">
        <w:rPr>
          <w:lang w:val="fr-FR"/>
        </w:rPr>
        <w:t>indicateurs pour appuyer l’examen effectif</w:t>
      </w:r>
      <w:r w:rsidR="00A50629" w:rsidRPr="00F1660D">
        <w:rPr>
          <w:lang w:val="fr-FR"/>
        </w:rPr>
        <w:t xml:space="preserve"> des </w:t>
      </w:r>
      <w:r w:rsidRPr="00F1660D">
        <w:rPr>
          <w:lang w:val="fr-FR"/>
        </w:rPr>
        <w:t>objectifs,</w:t>
      </w:r>
      <w:r w:rsidR="00A50629" w:rsidRPr="00F1660D">
        <w:rPr>
          <w:lang w:val="fr-FR"/>
        </w:rPr>
        <w:t xml:space="preserve"> des </w:t>
      </w:r>
      <w:r w:rsidRPr="00F1660D">
        <w:rPr>
          <w:lang w:val="fr-FR"/>
        </w:rPr>
        <w:t>cibles et</w:t>
      </w:r>
      <w:r w:rsidR="00A50629" w:rsidRPr="00F1660D">
        <w:rPr>
          <w:lang w:val="fr-FR"/>
        </w:rPr>
        <w:t xml:space="preserve"> des </w:t>
      </w:r>
      <w:r w:rsidRPr="00F1660D">
        <w:rPr>
          <w:lang w:val="fr-FR"/>
        </w:rPr>
        <w:t>jalons et</w:t>
      </w:r>
      <w:r w:rsidR="00A50629" w:rsidRPr="00F1660D">
        <w:rPr>
          <w:lang w:val="fr-FR"/>
        </w:rPr>
        <w:t xml:space="preserve"> le </w:t>
      </w:r>
      <w:r w:rsidRPr="00F1660D">
        <w:rPr>
          <w:lang w:val="fr-FR"/>
        </w:rPr>
        <w:t>fonctionnement efficace de l’instrument.</w:t>
      </w:r>
    </w:p>
    <w:p w14:paraId="36404A87" w14:textId="6F80E03B" w:rsidR="001420CF" w:rsidRPr="00F1660D" w:rsidRDefault="001420CF" w:rsidP="001420CF">
      <w:pPr>
        <w:pStyle w:val="CH3"/>
        <w:rPr>
          <w:lang w:val="fr-FR"/>
        </w:rPr>
      </w:pPr>
      <w:r w:rsidRPr="00F1660D">
        <w:rPr>
          <w:lang w:val="fr-FR"/>
        </w:rPr>
        <w:tab/>
        <w:t>7.</w:t>
      </w:r>
      <w:r w:rsidRPr="00F1660D">
        <w:rPr>
          <w:lang w:val="fr-FR"/>
        </w:rPr>
        <w:tab/>
        <w:t>Autres mécanismes d’appui à</w:t>
      </w:r>
      <w:r w:rsidR="00A50629" w:rsidRPr="00F1660D">
        <w:rPr>
          <w:lang w:val="fr-FR"/>
        </w:rPr>
        <w:t xml:space="preserve"> la </w:t>
      </w:r>
      <w:r w:rsidRPr="00F1660D">
        <w:rPr>
          <w:lang w:val="fr-FR"/>
        </w:rPr>
        <w:t>mise en œuvre</w:t>
      </w:r>
    </w:p>
    <w:p w14:paraId="5B77E858" w14:textId="77777777" w:rsidR="001420CF" w:rsidRPr="00F1660D" w:rsidRDefault="001420CF" w:rsidP="001420CF">
      <w:pPr>
        <w:pStyle w:val="CH1"/>
        <w:rPr>
          <w:lang w:val="fr-FR"/>
        </w:rPr>
      </w:pPr>
      <w:r w:rsidRPr="00F1660D">
        <w:rPr>
          <w:lang w:val="fr-FR"/>
        </w:rPr>
        <w:tab/>
      </w:r>
      <w:r w:rsidRPr="00F1660D">
        <w:rPr>
          <w:lang w:val="fr-FR"/>
        </w:rPr>
        <w:tab/>
        <w:t>Considérations financières</w:t>
      </w:r>
    </w:p>
    <w:p w14:paraId="221966DD" w14:textId="1FAD1506" w:rsidR="001420CF" w:rsidRPr="00F1660D" w:rsidRDefault="001420CF" w:rsidP="001420CF">
      <w:pPr>
        <w:pStyle w:val="CH3"/>
        <w:rPr>
          <w:lang w:val="fr-FR"/>
        </w:rPr>
      </w:pPr>
      <w:r w:rsidRPr="00F1660D">
        <w:rPr>
          <w:lang w:val="fr-FR"/>
        </w:rPr>
        <w:tab/>
        <w:t>1.</w:t>
      </w:r>
      <w:r w:rsidRPr="00F1660D">
        <w:rPr>
          <w:lang w:val="fr-FR"/>
        </w:rPr>
        <w:tab/>
        <w:t>Approche intégrée pour</w:t>
      </w:r>
      <w:r w:rsidR="00A50629" w:rsidRPr="00F1660D">
        <w:rPr>
          <w:lang w:val="fr-FR"/>
        </w:rPr>
        <w:t xml:space="preserve"> le </w:t>
      </w:r>
      <w:r w:rsidRPr="00F1660D">
        <w:rPr>
          <w:lang w:val="fr-FR"/>
        </w:rPr>
        <w:t>financement</w:t>
      </w:r>
    </w:p>
    <w:p w14:paraId="438BFF88" w14:textId="7F2155E4" w:rsidR="001420CF" w:rsidRPr="00F1660D" w:rsidRDefault="001420CF" w:rsidP="001420CF">
      <w:pPr>
        <w:pStyle w:val="Normalnumber"/>
        <w:numPr>
          <w:ilvl w:val="0"/>
          <w:numId w:val="8"/>
        </w:numPr>
        <w:rPr>
          <w:lang w:val="fr-FR"/>
        </w:rPr>
      </w:pPr>
      <w:r w:rsidRPr="00F1660D">
        <w:rPr>
          <w:lang w:val="fr-FR"/>
        </w:rPr>
        <w:t>La mise en œuvre d’une approche intégrée pour</w:t>
      </w:r>
      <w:r w:rsidR="00A50629" w:rsidRPr="00F1660D">
        <w:rPr>
          <w:lang w:val="fr-FR"/>
        </w:rPr>
        <w:t xml:space="preserve"> le </w:t>
      </w:r>
      <w:r w:rsidRPr="00F1660D">
        <w:rPr>
          <w:lang w:val="fr-FR"/>
        </w:rPr>
        <w:t>financement en faveur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qui a été conçue et approuvée en tant que contribution à long terme au-delà de 2020, reste essentielle [pour atteindre</w:t>
      </w:r>
      <w:r w:rsidR="00A50629" w:rsidRPr="00F1660D">
        <w:rPr>
          <w:lang w:val="fr-FR"/>
        </w:rPr>
        <w:t xml:space="preserve"> les </w:t>
      </w:r>
      <w:r w:rsidRPr="00F1660D">
        <w:rPr>
          <w:lang w:val="fr-FR"/>
        </w:rPr>
        <w:t>objectifs et cibles du Programme de développement durable à l’horizon 2030].</w:t>
      </w:r>
    </w:p>
    <w:p w14:paraId="6CD6D6AD" w14:textId="76CF1693" w:rsidR="001420CF" w:rsidRPr="00F1660D" w:rsidRDefault="001420CF" w:rsidP="001420CF">
      <w:pPr>
        <w:pStyle w:val="Normalnumber"/>
        <w:numPr>
          <w:ilvl w:val="0"/>
          <w:numId w:val="8"/>
        </w:numPr>
        <w:rPr>
          <w:lang w:val="fr-FR"/>
        </w:rPr>
      </w:pPr>
      <w:r w:rsidRPr="00F1660D">
        <w:rPr>
          <w:lang w:val="fr-FR"/>
        </w:rPr>
        <w:t>Les trois volets de l’approche intégrée pour</w:t>
      </w:r>
      <w:r w:rsidR="00A50629" w:rsidRPr="00F1660D">
        <w:rPr>
          <w:lang w:val="fr-FR"/>
        </w:rPr>
        <w:t xml:space="preserve"> le </w:t>
      </w:r>
      <w:r w:rsidRPr="00F1660D">
        <w:rPr>
          <w:lang w:val="fr-FR"/>
        </w:rPr>
        <w:t>financement, l’intégration,</w:t>
      </w:r>
      <w:r w:rsidR="00A50629" w:rsidRPr="00F1660D">
        <w:rPr>
          <w:lang w:val="fr-FR"/>
        </w:rPr>
        <w:t xml:space="preserve"> la </w:t>
      </w:r>
      <w:r w:rsidRPr="00F1660D">
        <w:rPr>
          <w:lang w:val="fr-FR"/>
        </w:rPr>
        <w:t>participation</w:t>
      </w:r>
      <w:r w:rsidR="00A50629" w:rsidRPr="00F1660D">
        <w:rPr>
          <w:lang w:val="fr-FR"/>
        </w:rPr>
        <w:t xml:space="preserve"> </w:t>
      </w:r>
      <w:r w:rsidR="00CF6E6E" w:rsidRPr="00F1660D">
        <w:rPr>
          <w:lang w:val="fr-FR"/>
        </w:rPr>
        <w:t xml:space="preserve">du secteur privé </w:t>
      </w:r>
      <w:r w:rsidRPr="00F1660D">
        <w:rPr>
          <w:lang w:val="fr-FR"/>
        </w:rPr>
        <w:t>et</w:t>
      </w:r>
      <w:r w:rsidR="00A50629" w:rsidRPr="00F1660D">
        <w:rPr>
          <w:lang w:val="fr-FR"/>
        </w:rPr>
        <w:t xml:space="preserve"> le </w:t>
      </w:r>
      <w:r w:rsidRPr="00F1660D">
        <w:rPr>
          <w:lang w:val="fr-FR"/>
        </w:rPr>
        <w:t>financement extérieur ciblé, revêtent une importance égale et se renforcent mutuellement.</w:t>
      </w:r>
    </w:p>
    <w:p w14:paraId="08F695A0" w14:textId="2E0CCF65" w:rsidR="001420CF" w:rsidRPr="00F1660D" w:rsidRDefault="001420CF" w:rsidP="001420CF">
      <w:pPr>
        <w:pStyle w:val="Normalnumber"/>
        <w:numPr>
          <w:ilvl w:val="0"/>
          <w:numId w:val="8"/>
        </w:numPr>
        <w:rPr>
          <w:lang w:val="fr-FR"/>
        </w:rPr>
      </w:pPr>
      <w:r w:rsidRPr="00F1660D">
        <w:rPr>
          <w:lang w:val="fr-FR"/>
        </w:rPr>
        <w:t>Les parties prenantes prendront</w:t>
      </w:r>
      <w:r w:rsidR="00A50629" w:rsidRPr="00F1660D">
        <w:rPr>
          <w:lang w:val="fr-FR"/>
        </w:rPr>
        <w:t xml:space="preserve"> des </w:t>
      </w:r>
      <w:r w:rsidRPr="00F1660D">
        <w:rPr>
          <w:lang w:val="fr-FR"/>
        </w:rPr>
        <w:t>mesures pour mettre en œuvre une approche intégrée pour</w:t>
      </w:r>
      <w:r w:rsidR="00A50629" w:rsidRPr="00F1660D">
        <w:rPr>
          <w:lang w:val="fr-FR"/>
        </w:rPr>
        <w:t xml:space="preserve"> le </w:t>
      </w:r>
      <w:r w:rsidRPr="00F1660D">
        <w:rPr>
          <w:lang w:val="fr-FR"/>
        </w:rPr>
        <w:t>financement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r w:rsidR="00A50629" w:rsidRPr="00F1660D">
        <w:rPr>
          <w:lang w:val="fr-FR"/>
        </w:rPr>
        <w:t xml:space="preserve"> y </w:t>
      </w:r>
      <w:r w:rsidRPr="00F1660D">
        <w:rPr>
          <w:lang w:val="fr-FR"/>
        </w:rPr>
        <w:t>compris, en particulier,</w:t>
      </w:r>
      <w:r w:rsidR="00A50629" w:rsidRPr="00F1660D">
        <w:rPr>
          <w:lang w:val="fr-FR"/>
        </w:rPr>
        <w:t xml:space="preserve"> la </w:t>
      </w:r>
      <w:r w:rsidRPr="00F1660D">
        <w:rPr>
          <w:lang w:val="fr-FR"/>
        </w:rPr>
        <w:t>réalisation de progrès tangibles concernant</w:t>
      </w:r>
      <w:r w:rsidR="00A50629" w:rsidRPr="00F1660D">
        <w:rPr>
          <w:lang w:val="fr-FR"/>
        </w:rPr>
        <w:t xml:space="preserve"> les </w:t>
      </w:r>
      <w:r w:rsidRPr="00F1660D">
        <w:rPr>
          <w:lang w:val="fr-FR"/>
        </w:rPr>
        <w:t>trois éléments ci-après :</w:t>
      </w:r>
    </w:p>
    <w:p w14:paraId="76D6C874" w14:textId="77777777" w:rsidR="001420CF" w:rsidRPr="00F1660D" w:rsidRDefault="001420CF" w:rsidP="001420CF">
      <w:pPr>
        <w:pStyle w:val="CH4"/>
        <w:rPr>
          <w:b w:val="0"/>
          <w:bCs/>
          <w:lang w:val="fr-FR"/>
        </w:rPr>
      </w:pPr>
      <w:r w:rsidRPr="00F1660D">
        <w:rPr>
          <w:bCs/>
          <w:lang w:val="fr-FR"/>
        </w:rPr>
        <w:tab/>
        <w:t>a)</w:t>
      </w:r>
      <w:r w:rsidRPr="00F1660D">
        <w:rPr>
          <w:bCs/>
          <w:lang w:val="fr-FR"/>
        </w:rPr>
        <w:tab/>
        <w:t>Intégration systématique</w:t>
      </w:r>
      <w:r w:rsidRPr="00F1660D">
        <w:rPr>
          <w:lang w:val="fr-FR"/>
        </w:rPr>
        <w:t xml:space="preserve"> </w:t>
      </w:r>
    </w:p>
    <w:p w14:paraId="28D50639" w14:textId="7B357B4B" w:rsidR="001420CF" w:rsidRPr="00F1660D" w:rsidRDefault="001420CF" w:rsidP="001420CF">
      <w:pPr>
        <w:pStyle w:val="Normalnumber"/>
        <w:numPr>
          <w:ilvl w:val="0"/>
          <w:numId w:val="8"/>
        </w:numPr>
        <w:rPr>
          <w:lang w:val="fr-FR"/>
        </w:rPr>
      </w:pPr>
      <w:r w:rsidRPr="00F1660D">
        <w:rPr>
          <w:lang w:val="fr-FR"/>
        </w:rPr>
        <w:t>Les gouvernements devraient prendre</w:t>
      </w:r>
      <w:r w:rsidR="00A50629" w:rsidRPr="00F1660D">
        <w:rPr>
          <w:lang w:val="fr-FR"/>
        </w:rPr>
        <w:t xml:space="preserve"> des </w:t>
      </w:r>
      <w:r w:rsidRPr="00F1660D">
        <w:rPr>
          <w:lang w:val="fr-FR"/>
        </w:rPr>
        <w:t>mesures en faveur d’une plus grande intégration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dans</w:t>
      </w:r>
      <w:r w:rsidR="00A50629" w:rsidRPr="00F1660D">
        <w:rPr>
          <w:lang w:val="fr-FR"/>
        </w:rPr>
        <w:t xml:space="preserve"> les </w:t>
      </w:r>
      <w:r w:rsidRPr="00F1660D">
        <w:rPr>
          <w:lang w:val="fr-FR"/>
        </w:rPr>
        <w:t>plans nationaux de développement,</w:t>
      </w:r>
      <w:r w:rsidR="00A50629" w:rsidRPr="00F1660D">
        <w:rPr>
          <w:lang w:val="fr-FR"/>
        </w:rPr>
        <w:t xml:space="preserve"> les </w:t>
      </w:r>
      <w:r w:rsidRPr="00F1660D">
        <w:rPr>
          <w:lang w:val="fr-FR"/>
        </w:rPr>
        <w:t>budgets intérieurs et</w:t>
      </w:r>
      <w:r w:rsidR="00A50629" w:rsidRPr="00F1660D">
        <w:rPr>
          <w:lang w:val="fr-FR"/>
        </w:rPr>
        <w:t xml:space="preserve"> les </w:t>
      </w:r>
      <w:r w:rsidRPr="00F1660D">
        <w:rPr>
          <w:lang w:val="fr-FR"/>
        </w:rPr>
        <w:t>politiques</w:t>
      </w:r>
      <w:r w:rsidR="00A50629" w:rsidRPr="00F1660D">
        <w:rPr>
          <w:lang w:val="fr-FR"/>
        </w:rPr>
        <w:t xml:space="preserve"> des </w:t>
      </w:r>
      <w:r w:rsidRPr="00F1660D">
        <w:rPr>
          <w:lang w:val="fr-FR"/>
        </w:rPr>
        <w:t>secteurs intéressés. S’agissant</w:t>
      </w:r>
      <w:r w:rsidR="00A50629" w:rsidRPr="00F1660D">
        <w:rPr>
          <w:lang w:val="fr-FR"/>
        </w:rPr>
        <w:t xml:space="preserve"> des </w:t>
      </w:r>
      <w:r w:rsidRPr="00F1660D">
        <w:rPr>
          <w:lang w:val="fr-FR"/>
        </w:rPr>
        <w:t>pays en développement et</w:t>
      </w:r>
      <w:r w:rsidR="00A50629" w:rsidRPr="00F1660D">
        <w:rPr>
          <w:lang w:val="fr-FR"/>
        </w:rPr>
        <w:t xml:space="preserve"> des </w:t>
      </w:r>
      <w:r w:rsidRPr="00F1660D">
        <w:rPr>
          <w:lang w:val="fr-FR"/>
        </w:rPr>
        <w:t>pays à économie en transition, l’intégration systématique de leurs priorités nationales relatives aux produits chimiques et aux déchets dans</w:t>
      </w:r>
      <w:r w:rsidR="00A50629" w:rsidRPr="00F1660D">
        <w:rPr>
          <w:lang w:val="fr-FR"/>
        </w:rPr>
        <w:t xml:space="preserve"> les </w:t>
      </w:r>
      <w:r w:rsidRPr="00F1660D">
        <w:rPr>
          <w:lang w:val="fr-FR"/>
        </w:rPr>
        <w:t>processus de planification du développement financés</w:t>
      </w:r>
      <w:r w:rsidR="00A50629" w:rsidRPr="00F1660D">
        <w:rPr>
          <w:lang w:val="fr-FR"/>
        </w:rPr>
        <w:t xml:space="preserve"> au </w:t>
      </w:r>
      <w:r w:rsidRPr="00F1660D">
        <w:rPr>
          <w:lang w:val="fr-FR"/>
        </w:rPr>
        <w:t>titre de l’aide publique</w:t>
      </w:r>
      <w:r w:rsidR="00A50629" w:rsidRPr="00F1660D">
        <w:rPr>
          <w:lang w:val="fr-FR"/>
        </w:rPr>
        <w:t xml:space="preserve"> au </w:t>
      </w:r>
      <w:r w:rsidRPr="00F1660D">
        <w:rPr>
          <w:lang w:val="fr-FR"/>
        </w:rPr>
        <w:t>développement [pourrait renforcer] renforcera [devrait renforcer] leur accès à un financement [important] pour lesdites priorités.</w:t>
      </w:r>
    </w:p>
    <w:p w14:paraId="0F5C8AC2" w14:textId="77777777" w:rsidR="001420CF" w:rsidRPr="00F1660D" w:rsidRDefault="001420CF" w:rsidP="001420CF">
      <w:pPr>
        <w:pStyle w:val="CH4"/>
        <w:rPr>
          <w:lang w:val="fr-FR"/>
        </w:rPr>
      </w:pPr>
      <w:r w:rsidRPr="00F1660D">
        <w:rPr>
          <w:lang w:val="fr-FR"/>
        </w:rPr>
        <w:tab/>
        <w:t>b)</w:t>
      </w:r>
      <w:r w:rsidRPr="00F1660D">
        <w:rPr>
          <w:lang w:val="fr-FR"/>
        </w:rPr>
        <w:tab/>
        <w:t>Participation du secteur privé</w:t>
      </w:r>
    </w:p>
    <w:p w14:paraId="6C43E3FB" w14:textId="3D3888E0" w:rsidR="001420CF" w:rsidRPr="00F1660D" w:rsidRDefault="001420CF" w:rsidP="001420CF">
      <w:pPr>
        <w:pStyle w:val="Normalnumber"/>
        <w:numPr>
          <w:ilvl w:val="0"/>
          <w:numId w:val="8"/>
        </w:numPr>
        <w:rPr>
          <w:lang w:val="fr-FR"/>
        </w:rPr>
      </w:pPr>
      <w:r w:rsidRPr="00F1660D">
        <w:rPr>
          <w:lang w:val="fr-FR"/>
        </w:rPr>
        <w:t>[Les entités du secteur privé dans l’ensemble [de leur filière d’investissement et]</w:t>
      </w:r>
      <w:r w:rsidR="00A50629" w:rsidRPr="00F1660D">
        <w:rPr>
          <w:lang w:val="fr-FR"/>
        </w:rPr>
        <w:t xml:space="preserve"> des </w:t>
      </w:r>
      <w:r w:rsidRPr="00F1660D">
        <w:rPr>
          <w:lang w:val="fr-FR"/>
        </w:rPr>
        <w:t>chaînes de valeur [et</w:t>
      </w:r>
      <w:r w:rsidR="00A50629" w:rsidRPr="00F1660D">
        <w:rPr>
          <w:lang w:val="fr-FR"/>
        </w:rPr>
        <w:t xml:space="preserve"> le </w:t>
      </w:r>
      <w:r w:rsidRPr="00F1660D">
        <w:rPr>
          <w:lang w:val="fr-FR"/>
        </w:rPr>
        <w:t>secteur financier] devraient accroître leurs contributions à</w:t>
      </w:r>
      <w:r w:rsidR="00A50629" w:rsidRPr="00F1660D">
        <w:rPr>
          <w:lang w:val="fr-FR"/>
        </w:rPr>
        <w:t xml:space="preserve"> la </w:t>
      </w:r>
      <w:r w:rsidRPr="00F1660D">
        <w:rPr>
          <w:lang w:val="fr-FR"/>
        </w:rPr>
        <w:t>mise en œuvre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[en recourant à tout un éventail de méthodes et partenariats. Le secteur privé devrait également mener davantage de travaux pour étendre</w:t>
      </w:r>
      <w:r w:rsidR="00A50629" w:rsidRPr="00F1660D">
        <w:rPr>
          <w:lang w:val="fr-FR"/>
        </w:rPr>
        <w:t xml:space="preserve"> la </w:t>
      </w:r>
      <w:r w:rsidRPr="00F1660D">
        <w:rPr>
          <w:lang w:val="fr-FR"/>
        </w:rPr>
        <w:t>responsabilité</w:t>
      </w:r>
      <w:r w:rsidR="00A50629" w:rsidRPr="00F1660D">
        <w:rPr>
          <w:lang w:val="fr-FR"/>
        </w:rPr>
        <w:t xml:space="preserve"> des </w:t>
      </w:r>
      <w:r w:rsidRPr="00F1660D">
        <w:rPr>
          <w:lang w:val="fr-FR"/>
        </w:rPr>
        <w:t>producteurs et</w:t>
      </w:r>
      <w:r w:rsidR="00A50629" w:rsidRPr="00F1660D">
        <w:rPr>
          <w:lang w:val="fr-FR"/>
        </w:rPr>
        <w:t xml:space="preserve"> les </w:t>
      </w:r>
      <w:r w:rsidRPr="00F1660D">
        <w:rPr>
          <w:lang w:val="fr-FR"/>
        </w:rPr>
        <w:t>partenariats public-privé] [, afin de couvrir</w:t>
      </w:r>
      <w:r w:rsidR="00A50629" w:rsidRPr="00F1660D">
        <w:rPr>
          <w:lang w:val="fr-FR"/>
        </w:rPr>
        <w:t xml:space="preserve"> les </w:t>
      </w:r>
      <w:r w:rsidRPr="00F1660D">
        <w:rPr>
          <w:lang w:val="fr-FR"/>
        </w:rPr>
        <w:t>coûts engendrés par leurs incidences sur l’environnement et</w:t>
      </w:r>
      <w:r w:rsidR="00A50629" w:rsidRPr="00F1660D">
        <w:rPr>
          <w:lang w:val="fr-FR"/>
        </w:rPr>
        <w:t xml:space="preserve"> la </w:t>
      </w:r>
      <w:r w:rsidRPr="00F1660D">
        <w:rPr>
          <w:lang w:val="fr-FR"/>
        </w:rPr>
        <w:t>santé. Ces contributions (par exemple par</w:t>
      </w:r>
      <w:r w:rsidR="00A50629" w:rsidRPr="00F1660D">
        <w:rPr>
          <w:lang w:val="fr-FR"/>
        </w:rPr>
        <w:t xml:space="preserve"> le </w:t>
      </w:r>
      <w:r w:rsidRPr="00F1660D">
        <w:rPr>
          <w:lang w:val="fr-FR"/>
        </w:rPr>
        <w:t>biais de taxes convenues préalablement), devraient chercher à financer, entre autres,</w:t>
      </w:r>
      <w:r w:rsidR="00A50629" w:rsidRPr="00F1660D">
        <w:rPr>
          <w:lang w:val="fr-FR"/>
        </w:rPr>
        <w:t xml:space="preserve"> les </w:t>
      </w:r>
      <w:r w:rsidRPr="00F1660D">
        <w:rPr>
          <w:lang w:val="fr-FR"/>
        </w:rPr>
        <w:t>activités de définition</w:t>
      </w:r>
      <w:r w:rsidR="00A50629" w:rsidRPr="00F1660D">
        <w:rPr>
          <w:lang w:val="fr-FR"/>
        </w:rPr>
        <w:t xml:space="preserve"> des </w:t>
      </w:r>
      <w:r w:rsidRPr="00F1660D">
        <w:rPr>
          <w:lang w:val="fr-FR"/>
        </w:rPr>
        <w:t>risques et de communication à leur sujet, l’évaluation complète</w:t>
      </w:r>
      <w:r w:rsidR="00A50629" w:rsidRPr="00F1660D">
        <w:rPr>
          <w:lang w:val="fr-FR"/>
        </w:rPr>
        <w:t xml:space="preserve"> des </w:t>
      </w:r>
      <w:r w:rsidRPr="00F1660D">
        <w:rPr>
          <w:lang w:val="fr-FR"/>
        </w:rPr>
        <w:t>risques et</w:t>
      </w:r>
      <w:r w:rsidR="00A50629" w:rsidRPr="00F1660D">
        <w:rPr>
          <w:lang w:val="fr-FR"/>
        </w:rPr>
        <w:t xml:space="preserve"> les </w:t>
      </w:r>
      <w:r w:rsidRPr="00F1660D">
        <w:rPr>
          <w:lang w:val="fr-FR"/>
        </w:rPr>
        <w:t>mesures d’atténuation connexes,</w:t>
      </w:r>
      <w:r w:rsidR="00A50629" w:rsidRPr="00F1660D">
        <w:rPr>
          <w:lang w:val="fr-FR"/>
        </w:rPr>
        <w:t xml:space="preserve"> le </w:t>
      </w:r>
      <w:r w:rsidRPr="00F1660D">
        <w:rPr>
          <w:lang w:val="fr-FR"/>
        </w:rPr>
        <w:t>renforcement</w:t>
      </w:r>
      <w:r w:rsidR="00A50629" w:rsidRPr="00F1660D">
        <w:rPr>
          <w:lang w:val="fr-FR"/>
        </w:rPr>
        <w:t xml:space="preserve"> des </w:t>
      </w:r>
      <w:r w:rsidRPr="00F1660D">
        <w:rPr>
          <w:lang w:val="fr-FR"/>
        </w:rPr>
        <w:t>capacités techniques de l’ensemble</w:t>
      </w:r>
      <w:r w:rsidR="00A50629" w:rsidRPr="00F1660D">
        <w:rPr>
          <w:lang w:val="fr-FR"/>
        </w:rPr>
        <w:t xml:space="preserve"> des </w:t>
      </w:r>
      <w:r w:rsidRPr="00F1660D">
        <w:rPr>
          <w:lang w:val="fr-FR"/>
        </w:rPr>
        <w:t>parties prenantes,</w:t>
      </w:r>
      <w:r w:rsidR="00A50629" w:rsidRPr="00F1660D">
        <w:rPr>
          <w:lang w:val="fr-FR"/>
        </w:rPr>
        <w:t xml:space="preserve"> la </w:t>
      </w:r>
      <w:r w:rsidRPr="00F1660D">
        <w:rPr>
          <w:lang w:val="fr-FR"/>
        </w:rPr>
        <w:t>mise en place de registres</w:t>
      </w:r>
      <w:r w:rsidR="00A50629" w:rsidRPr="00F1660D">
        <w:rPr>
          <w:lang w:val="fr-FR"/>
        </w:rPr>
        <w:t xml:space="preserve"> des </w:t>
      </w:r>
      <w:r w:rsidRPr="00F1660D">
        <w:rPr>
          <w:lang w:val="fr-FR"/>
        </w:rPr>
        <w:t>rejets et transferts de polluants,</w:t>
      </w:r>
      <w:r w:rsidR="00A50629" w:rsidRPr="00F1660D">
        <w:rPr>
          <w:lang w:val="fr-FR"/>
        </w:rPr>
        <w:t xml:space="preserve"> la </w:t>
      </w:r>
      <w:r w:rsidRPr="00F1660D">
        <w:rPr>
          <w:lang w:val="fr-FR"/>
        </w:rPr>
        <w:t>prévention de l’exposition,</w:t>
      </w:r>
      <w:r w:rsidR="00A50629" w:rsidRPr="00F1660D">
        <w:rPr>
          <w:lang w:val="fr-FR"/>
        </w:rPr>
        <w:t xml:space="preserve"> la </w:t>
      </w:r>
      <w:r w:rsidRPr="00F1660D">
        <w:rPr>
          <w:lang w:val="fr-FR"/>
        </w:rPr>
        <w:t>fourniture de soins aux communautés exposées et</w:t>
      </w:r>
      <w:r w:rsidR="00A50629" w:rsidRPr="00F1660D">
        <w:rPr>
          <w:lang w:val="fr-FR"/>
        </w:rPr>
        <w:t xml:space="preserve"> la </w:t>
      </w:r>
      <w:r w:rsidRPr="00F1660D">
        <w:rPr>
          <w:lang w:val="fr-FR"/>
        </w:rPr>
        <w:t>dépollution</w:t>
      </w:r>
      <w:r w:rsidR="00A50629" w:rsidRPr="00F1660D">
        <w:rPr>
          <w:lang w:val="fr-FR"/>
        </w:rPr>
        <w:t xml:space="preserve"> des </w:t>
      </w:r>
      <w:r w:rsidRPr="00F1660D">
        <w:rPr>
          <w:lang w:val="fr-FR"/>
        </w:rPr>
        <w:t>sites contaminés. Par ailleurs,</w:t>
      </w:r>
      <w:r w:rsidR="00A50629" w:rsidRPr="00F1660D">
        <w:rPr>
          <w:lang w:val="fr-FR"/>
        </w:rPr>
        <w:t xml:space="preserve"> les </w:t>
      </w:r>
      <w:r w:rsidRPr="00F1660D">
        <w:rPr>
          <w:lang w:val="fr-FR"/>
        </w:rPr>
        <w:t>entités du secteur privé devraient augmenter leurs contributions par</w:t>
      </w:r>
      <w:r w:rsidR="00A50629" w:rsidRPr="00F1660D">
        <w:rPr>
          <w:lang w:val="fr-FR"/>
        </w:rPr>
        <w:t xml:space="preserve"> le </w:t>
      </w:r>
      <w:r w:rsidRPr="00F1660D">
        <w:rPr>
          <w:lang w:val="fr-FR"/>
        </w:rPr>
        <w:t>biais d’une série d’approches et de partenariats. Le secteur privé doit se conformer à</w:t>
      </w:r>
      <w:r w:rsidR="00A50629" w:rsidRPr="00F1660D">
        <w:rPr>
          <w:lang w:val="fr-FR"/>
        </w:rPr>
        <w:t xml:space="preserve"> la </w:t>
      </w:r>
      <w:r w:rsidRPr="00F1660D">
        <w:rPr>
          <w:lang w:val="fr-FR"/>
        </w:rPr>
        <w:t>responsabilité élargie</w:t>
      </w:r>
      <w:r w:rsidR="00A50629" w:rsidRPr="00F1660D">
        <w:rPr>
          <w:lang w:val="fr-FR"/>
        </w:rPr>
        <w:t xml:space="preserve"> des </w:t>
      </w:r>
      <w:r w:rsidRPr="00F1660D">
        <w:rPr>
          <w:lang w:val="fr-FR"/>
        </w:rPr>
        <w:t>producteurs.]]</w:t>
      </w:r>
    </w:p>
    <w:p w14:paraId="038DF42C" w14:textId="502C4C16" w:rsidR="001420CF" w:rsidRPr="00F1660D" w:rsidRDefault="001420CF" w:rsidP="001420CF">
      <w:pPr>
        <w:pStyle w:val="NormalNonumber"/>
        <w:rPr>
          <w:lang w:val="fr-FR"/>
        </w:rPr>
      </w:pPr>
      <w:r w:rsidRPr="00F1660D">
        <w:rPr>
          <w:lang w:val="fr-FR"/>
        </w:rPr>
        <w:t>VARIANTE 1 [Les gouvernements devraient également prendre</w:t>
      </w:r>
      <w:r w:rsidR="00A50629" w:rsidRPr="00F1660D">
        <w:rPr>
          <w:lang w:val="fr-FR"/>
        </w:rPr>
        <w:t xml:space="preserve"> des </w:t>
      </w:r>
      <w:r w:rsidRPr="00F1660D">
        <w:rPr>
          <w:lang w:val="fr-FR"/>
        </w:rPr>
        <w:t>mesures en faveur d’une plus grande participation du secteur industriel à l’approche intégrée,</w:t>
      </w:r>
      <w:r w:rsidR="00A50629" w:rsidRPr="00F1660D">
        <w:rPr>
          <w:lang w:val="fr-FR"/>
        </w:rPr>
        <w:t xml:space="preserve"> y </w:t>
      </w:r>
      <w:r w:rsidRPr="00F1660D">
        <w:rPr>
          <w:lang w:val="fr-FR"/>
        </w:rPr>
        <w:t>compris l’élaboration d’une législation sur</w:t>
      </w:r>
      <w:r w:rsidR="00A50629" w:rsidRPr="00F1660D">
        <w:rPr>
          <w:lang w:val="fr-FR"/>
        </w:rPr>
        <w:t xml:space="preserve"> les </w:t>
      </w:r>
      <w:r w:rsidRPr="00F1660D">
        <w:rPr>
          <w:lang w:val="fr-FR"/>
        </w:rPr>
        <w:t>responsabilités du secteur industriel et de l’administration nationale,</w:t>
      </w:r>
      <w:r w:rsidR="00A50629" w:rsidRPr="00F1660D">
        <w:rPr>
          <w:lang w:val="fr-FR"/>
        </w:rPr>
        <w:t xml:space="preserve"> la </w:t>
      </w:r>
      <w:r w:rsidRPr="00F1660D">
        <w:rPr>
          <w:lang w:val="fr-FR"/>
        </w:rPr>
        <w:t>mise en place de mesures incitatives en faveur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et</w:t>
      </w:r>
      <w:r w:rsidR="00A50629" w:rsidRPr="00F1660D">
        <w:rPr>
          <w:lang w:val="fr-FR"/>
        </w:rPr>
        <w:t xml:space="preserve"> la </w:t>
      </w:r>
      <w:r w:rsidRPr="00F1660D">
        <w:rPr>
          <w:lang w:val="fr-FR"/>
        </w:rPr>
        <w:t>promotion de mesures lancées par</w:t>
      </w:r>
      <w:r w:rsidR="00A50629" w:rsidRPr="00F1660D">
        <w:rPr>
          <w:lang w:val="fr-FR"/>
        </w:rPr>
        <w:t xml:space="preserve"> le </w:t>
      </w:r>
      <w:r w:rsidRPr="00F1660D">
        <w:rPr>
          <w:lang w:val="fr-FR"/>
        </w:rPr>
        <w:t>secteur industriel afin d’internaliser</w:t>
      </w:r>
      <w:r w:rsidR="00A50629" w:rsidRPr="00F1660D">
        <w:rPr>
          <w:lang w:val="fr-FR"/>
        </w:rPr>
        <w:t xml:space="preserve"> les </w:t>
      </w:r>
      <w:r w:rsidRPr="00F1660D">
        <w:rPr>
          <w:lang w:val="fr-FR"/>
        </w:rPr>
        <w:t>coûts [, conformément</w:t>
      </w:r>
      <w:r w:rsidR="00A50629" w:rsidRPr="00F1660D">
        <w:rPr>
          <w:lang w:val="fr-FR"/>
        </w:rPr>
        <w:t xml:space="preserve"> au </w:t>
      </w:r>
      <w:r w:rsidRPr="00F1660D">
        <w:rPr>
          <w:lang w:val="fr-FR"/>
        </w:rPr>
        <w:t>principe du pollueur-payeur]. [Les entités du secteur privé dans l’ensemble de leur filière d’investissement [et de leur chaîne de valeur] [d’approvisionnement] devraient accroître leurs contributions à</w:t>
      </w:r>
      <w:r w:rsidR="00A50629" w:rsidRPr="00F1660D">
        <w:rPr>
          <w:lang w:val="fr-FR"/>
        </w:rPr>
        <w:t xml:space="preserve"> la </w:t>
      </w:r>
      <w:r w:rsidRPr="00F1660D">
        <w:rPr>
          <w:lang w:val="fr-FR"/>
        </w:rPr>
        <w:t>mise en œuvre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 xml:space="preserve">déchets en recourant à tout un éventail de méthodes et partenariats.] </w:t>
      </w:r>
    </w:p>
    <w:p w14:paraId="77DCE352" w14:textId="69371ED1" w:rsidR="001420CF" w:rsidRPr="00F1660D" w:rsidRDefault="001420CF" w:rsidP="001420CF">
      <w:pPr>
        <w:pStyle w:val="NormalNonumber"/>
        <w:rPr>
          <w:lang w:val="fr-FR"/>
        </w:rPr>
      </w:pPr>
      <w:r w:rsidRPr="00F1660D">
        <w:rPr>
          <w:lang w:val="fr-FR"/>
        </w:rPr>
        <w:t>VARIANTE 2 [La participation du secteur industriel à une approche intégrée génère</w:t>
      </w:r>
      <w:r w:rsidR="00A50629" w:rsidRPr="00F1660D">
        <w:rPr>
          <w:lang w:val="fr-FR"/>
        </w:rPr>
        <w:t xml:space="preserve"> des </w:t>
      </w:r>
      <w:r w:rsidRPr="00F1660D">
        <w:rPr>
          <w:lang w:val="fr-FR"/>
        </w:rPr>
        <w:t>ressources financières pour</w:t>
      </w:r>
      <w:r w:rsidR="00A50629" w:rsidRPr="00F1660D">
        <w:rPr>
          <w:lang w:val="fr-FR"/>
        </w:rPr>
        <w:t xml:space="preserve"> le </w:t>
      </w:r>
      <w:r w:rsidRPr="00F1660D">
        <w:rPr>
          <w:lang w:val="fr-FR"/>
        </w:rPr>
        <w:t>programme relatif aux produits chimiques et aux déchets lorsque, entre autres,</w:t>
      </w:r>
      <w:r w:rsidR="00A50629" w:rsidRPr="00F1660D">
        <w:rPr>
          <w:lang w:val="fr-FR"/>
        </w:rPr>
        <w:t xml:space="preserve"> le </w:t>
      </w:r>
      <w:r w:rsidRPr="00F1660D">
        <w:rPr>
          <w:lang w:val="fr-FR"/>
        </w:rPr>
        <w:t>secteur internalise</w:t>
      </w:r>
      <w:r w:rsidR="00A50629" w:rsidRPr="00F1660D">
        <w:rPr>
          <w:lang w:val="fr-FR"/>
        </w:rPr>
        <w:t xml:space="preserve"> les </w:t>
      </w:r>
      <w:r w:rsidRPr="00F1660D">
        <w:rPr>
          <w:lang w:val="fr-FR"/>
        </w:rPr>
        <w:t>coûts qu’entraîne</w:t>
      </w:r>
      <w:r w:rsidR="00A50629" w:rsidRPr="00F1660D">
        <w:rPr>
          <w:lang w:val="fr-FR"/>
        </w:rPr>
        <w:t xml:space="preserve"> le </w:t>
      </w:r>
      <w:r w:rsidRPr="00F1660D">
        <w:rPr>
          <w:lang w:val="fr-FR"/>
        </w:rPr>
        <w:t>respect</w:t>
      </w:r>
      <w:r w:rsidR="00A50629" w:rsidRPr="00F1660D">
        <w:rPr>
          <w:lang w:val="fr-FR"/>
        </w:rPr>
        <w:t xml:space="preserve"> des </w:t>
      </w:r>
      <w:r w:rsidRPr="00F1660D">
        <w:rPr>
          <w:lang w:val="fr-FR"/>
        </w:rPr>
        <w:t>règlementations sur</w:t>
      </w:r>
      <w:r w:rsidR="00A50629" w:rsidRPr="00F1660D">
        <w:rPr>
          <w:lang w:val="fr-FR"/>
        </w:rPr>
        <w:t xml:space="preserve"> les </w:t>
      </w:r>
      <w:r w:rsidRPr="00F1660D">
        <w:rPr>
          <w:lang w:val="fr-FR"/>
        </w:rPr>
        <w:t>produits chimiques et</w:t>
      </w:r>
      <w:r w:rsidR="00A50629" w:rsidRPr="00F1660D">
        <w:rPr>
          <w:lang w:val="fr-FR"/>
        </w:rPr>
        <w:t xml:space="preserve"> les </w:t>
      </w:r>
      <w:r w:rsidRPr="00F1660D">
        <w:rPr>
          <w:lang w:val="fr-FR"/>
        </w:rPr>
        <w:t>déchets ;</w:t>
      </w:r>
      <w:r w:rsidR="00A50629" w:rsidRPr="00F1660D">
        <w:rPr>
          <w:lang w:val="fr-FR"/>
        </w:rPr>
        <w:t xml:space="preserve"> les </w:t>
      </w:r>
      <w:r w:rsidRPr="00F1660D">
        <w:rPr>
          <w:lang w:val="fr-FR"/>
        </w:rPr>
        <w:t>instruments économiques sont utilisés pour récupérer et transférer</w:t>
      </w:r>
      <w:r w:rsidR="00A50629" w:rsidRPr="00F1660D">
        <w:rPr>
          <w:lang w:val="fr-FR"/>
        </w:rPr>
        <w:t xml:space="preserve"> les </w:t>
      </w:r>
      <w:r w:rsidRPr="00F1660D">
        <w:rPr>
          <w:lang w:val="fr-FR"/>
        </w:rPr>
        <w:t>coûts du secteur public</w:t>
      </w:r>
      <w:r w:rsidR="00A50629" w:rsidRPr="00F1660D">
        <w:rPr>
          <w:lang w:val="fr-FR"/>
        </w:rPr>
        <w:t xml:space="preserve"> au </w:t>
      </w:r>
      <w:r w:rsidRPr="00F1660D">
        <w:rPr>
          <w:lang w:val="fr-FR"/>
        </w:rPr>
        <w:t>secteur privé et</w:t>
      </w:r>
      <w:r w:rsidR="00A50629" w:rsidRPr="00F1660D">
        <w:rPr>
          <w:lang w:val="fr-FR"/>
        </w:rPr>
        <w:t xml:space="preserve"> le </w:t>
      </w:r>
      <w:r w:rsidRPr="00F1660D">
        <w:rPr>
          <w:lang w:val="fr-FR"/>
        </w:rPr>
        <w:t>secteur industriel opère un transfert</w:t>
      </w:r>
      <w:r w:rsidR="00A50629" w:rsidRPr="00F1660D">
        <w:rPr>
          <w:lang w:val="fr-FR"/>
        </w:rPr>
        <w:t xml:space="preserve"> des </w:t>
      </w:r>
      <w:r w:rsidRPr="00F1660D">
        <w:rPr>
          <w:lang w:val="fr-FR"/>
        </w:rPr>
        <w:t>technologies, paye</w:t>
      </w:r>
      <w:r w:rsidR="00A50629" w:rsidRPr="00F1660D">
        <w:rPr>
          <w:lang w:val="fr-FR"/>
        </w:rPr>
        <w:t xml:space="preserve"> des </w:t>
      </w:r>
      <w:r w:rsidRPr="00F1660D">
        <w:rPr>
          <w:lang w:val="fr-FR"/>
        </w:rPr>
        <w:t>impôts aux gouvernements et adopte</w:t>
      </w:r>
      <w:r w:rsidR="00A50629" w:rsidRPr="00F1660D">
        <w:rPr>
          <w:lang w:val="fr-FR"/>
        </w:rPr>
        <w:t xml:space="preserve"> des </w:t>
      </w:r>
      <w:r w:rsidRPr="00F1660D">
        <w:rPr>
          <w:lang w:val="fr-FR"/>
        </w:rPr>
        <w:t>mesures innovantes pour rendre</w:t>
      </w:r>
      <w:r w:rsidR="00A50629" w:rsidRPr="00F1660D">
        <w:rPr>
          <w:lang w:val="fr-FR"/>
        </w:rPr>
        <w:t xml:space="preserve"> les </w:t>
      </w:r>
      <w:r w:rsidRPr="00F1660D">
        <w:rPr>
          <w:lang w:val="fr-FR"/>
        </w:rPr>
        <w:t>produits chimiques et</w:t>
      </w:r>
      <w:r w:rsidR="00A50629" w:rsidRPr="00F1660D">
        <w:rPr>
          <w:lang w:val="fr-FR"/>
        </w:rPr>
        <w:t xml:space="preserve"> les </w:t>
      </w:r>
      <w:r w:rsidRPr="00F1660D">
        <w:rPr>
          <w:lang w:val="fr-FR"/>
        </w:rPr>
        <w:t>déchets plus « verts » tout</w:t>
      </w:r>
      <w:r w:rsidR="00A50629" w:rsidRPr="00F1660D">
        <w:rPr>
          <w:lang w:val="fr-FR"/>
        </w:rPr>
        <w:t xml:space="preserve"> au </w:t>
      </w:r>
      <w:r w:rsidRPr="00F1660D">
        <w:rPr>
          <w:lang w:val="fr-FR"/>
        </w:rPr>
        <w:t>long de leurs cycles de vie.]</w:t>
      </w:r>
    </w:p>
    <w:p w14:paraId="7009A87D" w14:textId="3A406424" w:rsidR="001420CF" w:rsidRPr="00F1660D" w:rsidRDefault="001420CF" w:rsidP="001420CF">
      <w:pPr>
        <w:pStyle w:val="Normalnumber"/>
        <w:numPr>
          <w:ilvl w:val="0"/>
          <w:numId w:val="8"/>
        </w:numPr>
        <w:rPr>
          <w:lang w:val="fr-FR"/>
        </w:rPr>
      </w:pPr>
      <w:r w:rsidRPr="00F1660D">
        <w:rPr>
          <w:lang w:val="fr-FR"/>
        </w:rPr>
        <w:t>[Le secteur financier est prié d’élaborer</w:t>
      </w:r>
      <w:r w:rsidR="00A50629" w:rsidRPr="00F1660D">
        <w:rPr>
          <w:lang w:val="fr-FR"/>
        </w:rPr>
        <w:t xml:space="preserve"> des </w:t>
      </w:r>
      <w:r w:rsidRPr="00F1660D">
        <w:rPr>
          <w:lang w:val="fr-FR"/>
        </w:rPr>
        <w:t>directives concernant l’investissement dans</w:t>
      </w:r>
      <w:r w:rsidR="00A50629" w:rsidRPr="00F1660D">
        <w:rPr>
          <w:lang w:val="fr-FR"/>
        </w:rPr>
        <w:t xml:space="preserve"> des </w:t>
      </w:r>
      <w:r w:rsidRPr="00F1660D">
        <w:rPr>
          <w:lang w:val="fr-FR"/>
        </w:rPr>
        <w:t>entreprises ayant instauré</w:t>
      </w:r>
      <w:r w:rsidR="00A50629" w:rsidRPr="00F1660D">
        <w:rPr>
          <w:lang w:val="fr-FR"/>
        </w:rPr>
        <w:t xml:space="preserve"> des </w:t>
      </w:r>
      <w:r w:rsidRPr="00F1660D">
        <w:rPr>
          <w:lang w:val="fr-FR"/>
        </w:rPr>
        <w:t>régimes de gestion</w:t>
      </w:r>
      <w:r w:rsidR="00A50629" w:rsidRPr="00F1660D">
        <w:rPr>
          <w:lang w:val="fr-FR"/>
        </w:rPr>
        <w:t xml:space="preserve"> des </w:t>
      </w:r>
      <w:r w:rsidRPr="00F1660D">
        <w:rPr>
          <w:lang w:val="fr-FR"/>
        </w:rPr>
        <w:t>produits chimiques, avec par exemple</w:t>
      </w:r>
      <w:r w:rsidR="00A50629" w:rsidRPr="00F1660D">
        <w:rPr>
          <w:lang w:val="fr-FR"/>
        </w:rPr>
        <w:t xml:space="preserve"> la </w:t>
      </w:r>
      <w:r w:rsidRPr="00F1660D">
        <w:rPr>
          <w:lang w:val="fr-FR"/>
        </w:rPr>
        <w:t>mise</w:t>
      </w:r>
      <w:r w:rsidR="00A50629" w:rsidRPr="00F1660D">
        <w:rPr>
          <w:lang w:val="fr-FR"/>
        </w:rPr>
        <w:t xml:space="preserve"> au </w:t>
      </w:r>
      <w:r w:rsidRPr="00F1660D">
        <w:rPr>
          <w:lang w:val="fr-FR"/>
        </w:rPr>
        <w:t>point de critères de prêt pour un modèle bancaire financièrement durable.]</w:t>
      </w:r>
    </w:p>
    <w:p w14:paraId="3D91AC3C" w14:textId="77777777" w:rsidR="001420CF" w:rsidRPr="00F1660D" w:rsidRDefault="001420CF" w:rsidP="001420CF">
      <w:pPr>
        <w:pStyle w:val="CH4"/>
        <w:rPr>
          <w:b w:val="0"/>
          <w:bCs/>
          <w:lang w:val="fr-FR"/>
        </w:rPr>
      </w:pPr>
      <w:r w:rsidRPr="00F1660D">
        <w:rPr>
          <w:bCs/>
          <w:lang w:val="fr-FR"/>
        </w:rPr>
        <w:tab/>
        <w:t>c)</w:t>
      </w:r>
      <w:r w:rsidRPr="00F1660D">
        <w:rPr>
          <w:bCs/>
          <w:lang w:val="fr-FR"/>
        </w:rPr>
        <w:tab/>
        <w:t>Financement extérieur ciblé</w:t>
      </w:r>
      <w:r w:rsidRPr="00F1660D">
        <w:rPr>
          <w:lang w:val="fr-FR"/>
        </w:rPr>
        <w:t xml:space="preserve"> </w:t>
      </w:r>
    </w:p>
    <w:p w14:paraId="18895822" w14:textId="234D5646" w:rsidR="001420CF" w:rsidRPr="00F1660D" w:rsidRDefault="001420CF" w:rsidP="001420CF">
      <w:pPr>
        <w:pStyle w:val="Normalnumber"/>
        <w:numPr>
          <w:ilvl w:val="0"/>
          <w:numId w:val="8"/>
        </w:numPr>
        <w:rPr>
          <w:lang w:val="fr-FR"/>
        </w:rPr>
      </w:pPr>
      <w:r w:rsidRPr="00F1660D">
        <w:rPr>
          <w:lang w:val="fr-FR"/>
        </w:rPr>
        <w:t>[Le financement extérieur vient compléter</w:t>
      </w:r>
      <w:r w:rsidR="00A50629" w:rsidRPr="00F1660D">
        <w:rPr>
          <w:lang w:val="fr-FR"/>
        </w:rPr>
        <w:t xml:space="preserve"> les </w:t>
      </w:r>
      <w:r w:rsidRPr="00F1660D">
        <w:rPr>
          <w:lang w:val="fr-FR"/>
        </w:rPr>
        <w:t>composantes d’intégration systématique et de participation de l’industrie.</w:t>
      </w:r>
      <w:r w:rsidR="00A50629" w:rsidRPr="00F1660D">
        <w:rPr>
          <w:lang w:val="fr-FR"/>
        </w:rPr>
        <w:t xml:space="preserve"> Les </w:t>
      </w:r>
      <w:r w:rsidRPr="00F1660D">
        <w:rPr>
          <w:lang w:val="fr-FR"/>
        </w:rPr>
        <w:t>parties prenantes devraient obtenir</w:t>
      </w:r>
      <w:r w:rsidR="00A50629" w:rsidRPr="00F1660D">
        <w:rPr>
          <w:lang w:val="fr-FR"/>
        </w:rPr>
        <w:t xml:space="preserve"> des </w:t>
      </w:r>
      <w:r w:rsidRPr="00F1660D">
        <w:rPr>
          <w:lang w:val="fr-FR"/>
        </w:rPr>
        <w:t>fonds, dont une aide</w:t>
      </w:r>
      <w:r w:rsidR="00A50629" w:rsidRPr="00F1660D">
        <w:rPr>
          <w:lang w:val="fr-FR"/>
        </w:rPr>
        <w:t xml:space="preserve"> au </w:t>
      </w:r>
      <w:r w:rsidRPr="00F1660D">
        <w:rPr>
          <w:lang w:val="fr-FR"/>
        </w:rPr>
        <w:t>développement, de sources novatrices de donateurs, ce qui peut être facilité par l’intégration systématique</w:t>
      </w:r>
      <w:r w:rsidR="00A50629" w:rsidRPr="00F1660D">
        <w:rPr>
          <w:lang w:val="fr-FR"/>
        </w:rPr>
        <w:t xml:space="preserve"> au </w:t>
      </w:r>
      <w:r w:rsidRPr="00F1660D">
        <w:rPr>
          <w:lang w:val="fr-FR"/>
        </w:rPr>
        <w:t>niveau national.]</w:t>
      </w:r>
    </w:p>
    <w:p w14:paraId="6806DE20" w14:textId="77777777" w:rsidR="001420CF" w:rsidRPr="00F1660D" w:rsidRDefault="001420CF" w:rsidP="001420CF">
      <w:pPr>
        <w:pStyle w:val="NormalNonumber"/>
        <w:rPr>
          <w:lang w:val="fr-FR"/>
        </w:rPr>
      </w:pPr>
      <w:r w:rsidRPr="00F1660D">
        <w:rPr>
          <w:lang w:val="fr-FR"/>
        </w:rPr>
        <w:t>VARIANTE PAR. 7</w:t>
      </w:r>
    </w:p>
    <w:p w14:paraId="6A84604B" w14:textId="665BF3E7" w:rsidR="001420CF" w:rsidRPr="00F1660D" w:rsidRDefault="001420CF" w:rsidP="001420CF">
      <w:pPr>
        <w:pStyle w:val="NormalNonumber"/>
        <w:rPr>
          <w:lang w:val="fr-FR"/>
        </w:rPr>
      </w:pPr>
      <w:r w:rsidRPr="00F1660D">
        <w:rPr>
          <w:lang w:val="fr-FR"/>
        </w:rPr>
        <w:t>[Il est admis que</w:t>
      </w:r>
      <w:r w:rsidR="00A50629" w:rsidRPr="00F1660D">
        <w:rPr>
          <w:lang w:val="fr-FR"/>
        </w:rPr>
        <w:t xml:space="preserve"> les </w:t>
      </w:r>
      <w:r w:rsidRPr="00F1660D">
        <w:rPr>
          <w:lang w:val="fr-FR"/>
        </w:rPr>
        <w:t>lacunes dans</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augmentent de manière exponentielle entre</w:t>
      </w:r>
      <w:r w:rsidR="00A50629" w:rsidRPr="00F1660D">
        <w:rPr>
          <w:lang w:val="fr-FR"/>
        </w:rPr>
        <w:t xml:space="preserve"> les </w:t>
      </w:r>
      <w:r w:rsidRPr="00F1660D">
        <w:rPr>
          <w:lang w:val="fr-FR"/>
        </w:rPr>
        <w:t>pays développés et</w:t>
      </w:r>
      <w:r w:rsidR="00A50629" w:rsidRPr="00F1660D">
        <w:rPr>
          <w:lang w:val="fr-FR"/>
        </w:rPr>
        <w:t xml:space="preserve"> les </w:t>
      </w:r>
      <w:r w:rsidRPr="00F1660D">
        <w:rPr>
          <w:lang w:val="fr-FR"/>
        </w:rPr>
        <w:t>pays en développement et qu’il est d’autant plus essentiel de poursuivre</w:t>
      </w:r>
      <w:r w:rsidR="00A50629" w:rsidRPr="00F1660D">
        <w:rPr>
          <w:lang w:val="fr-FR"/>
        </w:rPr>
        <w:t xml:space="preserve"> la </w:t>
      </w:r>
      <w:r w:rsidRPr="00F1660D">
        <w:rPr>
          <w:lang w:val="fr-FR"/>
        </w:rPr>
        <w:t>prise de mesures concertées que l’appui technique et financier disponible est insuffisant.</w:t>
      </w:r>
    </w:p>
    <w:p w14:paraId="736F01F2" w14:textId="16967409" w:rsidR="001420CF" w:rsidRPr="00F1660D" w:rsidRDefault="001420CF" w:rsidP="00F45B61">
      <w:pPr>
        <w:pStyle w:val="NormalNonumber"/>
        <w:keepNext/>
        <w:keepLines/>
        <w:rPr>
          <w:lang w:val="fr-FR"/>
        </w:rPr>
      </w:pPr>
      <w:r w:rsidRPr="00F1660D">
        <w:rPr>
          <w:lang w:val="fr-FR"/>
        </w:rPr>
        <w:t>L’étendue</w:t>
      </w:r>
      <w:r w:rsidR="00A50629" w:rsidRPr="00F1660D">
        <w:rPr>
          <w:lang w:val="fr-FR"/>
        </w:rPr>
        <w:t xml:space="preserve"> des </w:t>
      </w:r>
      <w:r w:rsidRPr="00F1660D">
        <w:rPr>
          <w:lang w:val="fr-FR"/>
        </w:rPr>
        <w:t>progrès que</w:t>
      </w:r>
      <w:r w:rsidR="00A50629" w:rsidRPr="00F1660D">
        <w:rPr>
          <w:lang w:val="fr-FR"/>
        </w:rPr>
        <w:t xml:space="preserve"> les </w:t>
      </w:r>
      <w:r w:rsidRPr="00F1660D">
        <w:rPr>
          <w:lang w:val="fr-FR"/>
        </w:rPr>
        <w:t>pays en développement, notamment</w:t>
      </w:r>
      <w:r w:rsidR="00A50629" w:rsidRPr="00F1660D">
        <w:rPr>
          <w:lang w:val="fr-FR"/>
        </w:rPr>
        <w:t xml:space="preserve"> les </w:t>
      </w:r>
      <w:r w:rsidRPr="00F1660D">
        <w:rPr>
          <w:lang w:val="fr-FR"/>
        </w:rPr>
        <w:t>pays</w:t>
      </w:r>
      <w:r w:rsidR="00A50629" w:rsidRPr="00F1660D">
        <w:rPr>
          <w:lang w:val="fr-FR"/>
        </w:rPr>
        <w:t xml:space="preserve"> les </w:t>
      </w:r>
      <w:r w:rsidRPr="00F1660D">
        <w:rPr>
          <w:lang w:val="fr-FR"/>
        </w:rPr>
        <w:t>moins avancés et</w:t>
      </w:r>
      <w:r w:rsidR="00A50629" w:rsidRPr="00F1660D">
        <w:rPr>
          <w:lang w:val="fr-FR"/>
        </w:rPr>
        <w:t xml:space="preserve"> les </w:t>
      </w:r>
      <w:r w:rsidRPr="00F1660D">
        <w:rPr>
          <w:lang w:val="fr-FR"/>
        </w:rPr>
        <w:t>petits Etats insulaires en développement, et</w:t>
      </w:r>
      <w:r w:rsidR="00A50629" w:rsidRPr="00F1660D">
        <w:rPr>
          <w:lang w:val="fr-FR"/>
        </w:rPr>
        <w:t xml:space="preserve"> les </w:t>
      </w:r>
      <w:r w:rsidRPr="00F1660D">
        <w:rPr>
          <w:lang w:val="fr-FR"/>
        </w:rPr>
        <w:t>pays à économie en transition peuvent faire dans</w:t>
      </w:r>
      <w:r w:rsidR="00A50629" w:rsidRPr="00F1660D">
        <w:rPr>
          <w:lang w:val="fr-FR"/>
        </w:rPr>
        <w:t xml:space="preserve"> la </w:t>
      </w:r>
      <w:r w:rsidRPr="00F1660D">
        <w:rPr>
          <w:lang w:val="fr-FR"/>
        </w:rPr>
        <w:t>réalisation</w:t>
      </w:r>
      <w:r w:rsidR="00A50629" w:rsidRPr="00F1660D">
        <w:rPr>
          <w:lang w:val="fr-FR"/>
        </w:rPr>
        <w:t xml:space="preserve"> des </w:t>
      </w:r>
      <w:r w:rsidRPr="00F1660D">
        <w:rPr>
          <w:lang w:val="fr-FR"/>
        </w:rPr>
        <w:t>objectifs fixés pour l’après-2020 dépend en partie</w:t>
      </w:r>
      <w:r w:rsidR="00A50629" w:rsidRPr="00F1660D">
        <w:rPr>
          <w:lang w:val="fr-FR"/>
        </w:rPr>
        <w:t xml:space="preserve"> des </w:t>
      </w:r>
      <w:r w:rsidRPr="00F1660D">
        <w:rPr>
          <w:lang w:val="fr-FR"/>
        </w:rPr>
        <w:t>ressources financières procurées par</w:t>
      </w:r>
      <w:r w:rsidR="00A50629" w:rsidRPr="00F1660D">
        <w:rPr>
          <w:lang w:val="fr-FR"/>
        </w:rPr>
        <w:t xml:space="preserve"> les </w:t>
      </w:r>
      <w:r w:rsidRPr="00F1660D">
        <w:rPr>
          <w:lang w:val="fr-FR"/>
        </w:rPr>
        <w:t>secteurs privé et bilatéral et</w:t>
      </w:r>
      <w:r w:rsidR="00A50629" w:rsidRPr="00F1660D">
        <w:rPr>
          <w:lang w:val="fr-FR"/>
        </w:rPr>
        <w:t xml:space="preserve"> les </w:t>
      </w:r>
      <w:r w:rsidRPr="00F1660D">
        <w:rPr>
          <w:lang w:val="fr-FR"/>
        </w:rPr>
        <w:t>organismes ou bailleurs de fonds multilatéraux et internationaux.</w:t>
      </w:r>
    </w:p>
    <w:p w14:paraId="04AAA5EA" w14:textId="4108A875" w:rsidR="001420CF" w:rsidRPr="00F1660D" w:rsidRDefault="001420CF" w:rsidP="001420CF">
      <w:pPr>
        <w:pStyle w:val="NormalNonumber"/>
        <w:rPr>
          <w:lang w:val="fr-FR"/>
        </w:rPr>
      </w:pPr>
      <w:r w:rsidRPr="00F1660D">
        <w:rPr>
          <w:lang w:val="fr-FR"/>
        </w:rPr>
        <w:t>Toutes</w:t>
      </w:r>
      <w:r w:rsidR="00A50629" w:rsidRPr="00F1660D">
        <w:rPr>
          <w:lang w:val="fr-FR"/>
        </w:rPr>
        <w:t xml:space="preserve"> les </w:t>
      </w:r>
      <w:r w:rsidRPr="00F1660D">
        <w:rPr>
          <w:lang w:val="fr-FR"/>
        </w:rPr>
        <w:t>parties prenantes sont invitées à convenir de</w:t>
      </w:r>
      <w:r w:rsidR="00A50629" w:rsidRPr="00F1660D">
        <w:rPr>
          <w:lang w:val="fr-FR"/>
        </w:rPr>
        <w:t xml:space="preserve"> la </w:t>
      </w:r>
      <w:r w:rsidRPr="00F1660D">
        <w:rPr>
          <w:lang w:val="fr-FR"/>
        </w:rPr>
        <w:t xml:space="preserve">création d’un fond international visant à mettre en </w:t>
      </w:r>
      <w:r w:rsidR="00CF6E6E" w:rsidRPr="00F1660D">
        <w:rPr>
          <w:lang w:val="fr-FR"/>
        </w:rPr>
        <w:t xml:space="preserve">œuvre </w:t>
      </w:r>
      <w:r w:rsidR="00A50629" w:rsidRPr="00F1660D">
        <w:rPr>
          <w:lang w:val="fr-FR"/>
        </w:rPr>
        <w:t>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auquel toutes</w:t>
      </w:r>
      <w:r w:rsidR="00A50629" w:rsidRPr="00F1660D">
        <w:rPr>
          <w:lang w:val="fr-FR"/>
        </w:rPr>
        <w:t xml:space="preserve"> les </w:t>
      </w:r>
      <w:r w:rsidRPr="00F1660D">
        <w:rPr>
          <w:lang w:val="fr-FR"/>
        </w:rPr>
        <w:t>parties prenantes devraient avoir accès et qui devrait appuyer</w:t>
      </w:r>
      <w:r w:rsidR="00A50629" w:rsidRPr="00F1660D">
        <w:rPr>
          <w:lang w:val="fr-FR"/>
        </w:rPr>
        <w:t xml:space="preserve"> les </w:t>
      </w:r>
      <w:r w:rsidRPr="00F1660D">
        <w:rPr>
          <w:lang w:val="fr-FR"/>
        </w:rPr>
        <w:t>pays en développement sous forme de subventions, de garanties et de prêts.</w:t>
      </w:r>
    </w:p>
    <w:p w14:paraId="21ABC55F" w14:textId="631CD076" w:rsidR="001420CF" w:rsidRPr="00F1660D" w:rsidRDefault="001420CF" w:rsidP="001420CF">
      <w:pPr>
        <w:pStyle w:val="NormalNonumber"/>
        <w:rPr>
          <w:lang w:val="fr-FR"/>
        </w:rPr>
      </w:pPr>
      <w:r w:rsidRPr="00F1660D">
        <w:rPr>
          <w:lang w:val="fr-FR"/>
        </w:rPr>
        <w:t>Le secteur privé [(par exemple par</w:t>
      </w:r>
      <w:r w:rsidR="00A50629" w:rsidRPr="00F1660D">
        <w:rPr>
          <w:lang w:val="fr-FR"/>
        </w:rPr>
        <w:t xml:space="preserve"> le </w:t>
      </w:r>
      <w:r w:rsidRPr="00F1660D">
        <w:rPr>
          <w:lang w:val="fr-FR"/>
        </w:rPr>
        <w:t>biais de taxes convenues préalablement)],</w:t>
      </w:r>
      <w:r w:rsidR="00A50629" w:rsidRPr="00F1660D">
        <w:rPr>
          <w:lang w:val="fr-FR"/>
        </w:rPr>
        <w:t xml:space="preserve"> les </w:t>
      </w:r>
      <w:r w:rsidRPr="00F1660D">
        <w:rPr>
          <w:lang w:val="fr-FR"/>
        </w:rPr>
        <w:t>gouvernements en mesure de</w:t>
      </w:r>
      <w:r w:rsidR="00A50629" w:rsidRPr="00F1660D">
        <w:rPr>
          <w:lang w:val="fr-FR"/>
        </w:rPr>
        <w:t xml:space="preserve"> le </w:t>
      </w:r>
      <w:r w:rsidRPr="00F1660D">
        <w:rPr>
          <w:lang w:val="fr-FR"/>
        </w:rPr>
        <w:t>faire,</w:t>
      </w:r>
      <w:r w:rsidR="00A50629" w:rsidRPr="00F1660D">
        <w:rPr>
          <w:lang w:val="fr-FR"/>
        </w:rPr>
        <w:t xml:space="preserve"> les </w:t>
      </w:r>
      <w:r w:rsidRPr="00F1660D">
        <w:rPr>
          <w:lang w:val="fr-FR"/>
        </w:rPr>
        <w:t>banques de développement,</w:t>
      </w:r>
      <w:r w:rsidR="00A50629" w:rsidRPr="00F1660D">
        <w:rPr>
          <w:lang w:val="fr-FR"/>
        </w:rPr>
        <w:t xml:space="preserve"> les </w:t>
      </w:r>
      <w:r w:rsidRPr="00F1660D">
        <w:rPr>
          <w:lang w:val="fr-FR"/>
        </w:rPr>
        <w:t>organisations philanthropiques,</w:t>
      </w:r>
      <w:r w:rsidR="00A50629" w:rsidRPr="00F1660D">
        <w:rPr>
          <w:lang w:val="fr-FR"/>
        </w:rPr>
        <w:t xml:space="preserve"> les </w:t>
      </w:r>
      <w:r w:rsidRPr="00F1660D">
        <w:rPr>
          <w:lang w:val="fr-FR"/>
        </w:rPr>
        <w:t>sociétés de capital-risque et toutes</w:t>
      </w:r>
      <w:r w:rsidR="00A50629" w:rsidRPr="00F1660D">
        <w:rPr>
          <w:lang w:val="fr-FR"/>
        </w:rPr>
        <w:t xml:space="preserve"> les </w:t>
      </w:r>
      <w:r w:rsidRPr="00F1660D">
        <w:rPr>
          <w:lang w:val="fr-FR"/>
        </w:rPr>
        <w:t>autres parties prenantes [devraient verser] [versent] [sont invités à verser]</w:t>
      </w:r>
      <w:r w:rsidR="00A50629" w:rsidRPr="00F1660D">
        <w:rPr>
          <w:lang w:val="fr-FR"/>
        </w:rPr>
        <w:t xml:space="preserve"> des </w:t>
      </w:r>
      <w:r w:rsidRPr="00F1660D">
        <w:rPr>
          <w:lang w:val="fr-FR"/>
        </w:rPr>
        <w:t>contributions financières et en nature</w:t>
      </w:r>
      <w:r w:rsidR="00A50629" w:rsidRPr="00F1660D">
        <w:rPr>
          <w:lang w:val="fr-FR"/>
        </w:rPr>
        <w:t xml:space="preserve"> au </w:t>
      </w:r>
      <w:r w:rsidRPr="00F1660D">
        <w:rPr>
          <w:lang w:val="fr-FR"/>
        </w:rPr>
        <w:t>fond international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p>
    <w:p w14:paraId="55BF8C4D" w14:textId="037B5ACD" w:rsidR="001420CF" w:rsidRPr="00F1660D" w:rsidRDefault="00CF6E6E" w:rsidP="001420CF">
      <w:pPr>
        <w:pStyle w:val="Normalnumber"/>
        <w:numPr>
          <w:ilvl w:val="0"/>
          <w:numId w:val="8"/>
        </w:numPr>
        <w:rPr>
          <w:lang w:val="fr-FR"/>
        </w:rPr>
      </w:pPr>
      <w:r w:rsidRPr="00F1660D">
        <w:rPr>
          <w:lang w:val="fr-FR"/>
        </w:rPr>
        <w:t>[</w:t>
      </w:r>
      <w:r w:rsidR="001420CF" w:rsidRPr="00F1660D">
        <w:rPr>
          <w:lang w:val="fr-FR"/>
        </w:rPr>
        <w:t>Les donateurs devraient offrir un financement extérieur ciblé,</w:t>
      </w:r>
      <w:r w:rsidR="00A50629" w:rsidRPr="00F1660D">
        <w:rPr>
          <w:lang w:val="fr-FR"/>
        </w:rPr>
        <w:t xml:space="preserve"> y </w:t>
      </w:r>
      <w:r w:rsidR="001420CF" w:rsidRPr="00F1660D">
        <w:rPr>
          <w:lang w:val="fr-FR"/>
        </w:rPr>
        <w:t>compris, par exemple,</w:t>
      </w:r>
      <w:r w:rsidR="00A50629" w:rsidRPr="00F1660D">
        <w:rPr>
          <w:lang w:val="fr-FR"/>
        </w:rPr>
        <w:t xml:space="preserve"> des </w:t>
      </w:r>
      <w:r w:rsidR="001420CF" w:rsidRPr="00F1660D">
        <w:rPr>
          <w:lang w:val="fr-FR"/>
        </w:rPr>
        <w:t>ressources destinées à appuyer</w:t>
      </w:r>
      <w:r w:rsidR="00A50629" w:rsidRPr="00F1660D">
        <w:rPr>
          <w:lang w:val="fr-FR"/>
        </w:rPr>
        <w:t xml:space="preserve"> le </w:t>
      </w:r>
      <w:r w:rsidR="001420CF" w:rsidRPr="00F1660D">
        <w:rPr>
          <w:lang w:val="fr-FR"/>
        </w:rPr>
        <w:t>Fonds pour l’environnement mondial, ainsi que d’autres sources de financement multilatérales, régionales et bilatérales, et à encourager</w:t>
      </w:r>
      <w:r w:rsidR="00A50629" w:rsidRPr="00F1660D">
        <w:rPr>
          <w:lang w:val="fr-FR"/>
        </w:rPr>
        <w:t xml:space="preserve"> la </w:t>
      </w:r>
      <w:r w:rsidR="001420CF" w:rsidRPr="00F1660D">
        <w:rPr>
          <w:lang w:val="fr-FR"/>
        </w:rPr>
        <w:t>mise en œuvre effective du Programme spécial visant à appuyer</w:t>
      </w:r>
      <w:r w:rsidR="00A50629" w:rsidRPr="00F1660D">
        <w:rPr>
          <w:lang w:val="fr-FR"/>
        </w:rPr>
        <w:t xml:space="preserve"> le </w:t>
      </w:r>
      <w:r w:rsidR="001420CF" w:rsidRPr="00F1660D">
        <w:rPr>
          <w:lang w:val="fr-FR"/>
        </w:rPr>
        <w:t>renforcement</w:t>
      </w:r>
      <w:r w:rsidR="00A50629" w:rsidRPr="00F1660D">
        <w:rPr>
          <w:lang w:val="fr-FR"/>
        </w:rPr>
        <w:t xml:space="preserve"> des </w:t>
      </w:r>
      <w:r w:rsidR="001420CF" w:rsidRPr="00F1660D">
        <w:rPr>
          <w:lang w:val="fr-FR"/>
        </w:rPr>
        <w:t>institutions</w:t>
      </w:r>
      <w:r w:rsidR="00A50629" w:rsidRPr="00F1660D">
        <w:rPr>
          <w:lang w:val="fr-FR"/>
        </w:rPr>
        <w:t xml:space="preserve"> au </w:t>
      </w:r>
      <w:r w:rsidR="001420CF" w:rsidRPr="00F1660D">
        <w:rPr>
          <w:lang w:val="fr-FR"/>
        </w:rPr>
        <w:t>niveau national pour</w:t>
      </w:r>
      <w:r w:rsidR="00A50629" w:rsidRPr="00F1660D">
        <w:rPr>
          <w:lang w:val="fr-FR"/>
        </w:rPr>
        <w:t xml:space="preserve"> la </w:t>
      </w:r>
      <w:r w:rsidR="001420CF" w:rsidRPr="00F1660D">
        <w:rPr>
          <w:lang w:val="fr-FR"/>
        </w:rPr>
        <w:t>mise en œuvre</w:t>
      </w:r>
      <w:r w:rsidR="00A50629" w:rsidRPr="00F1660D">
        <w:rPr>
          <w:lang w:val="fr-FR"/>
        </w:rPr>
        <w:t xml:space="preserve"> des </w:t>
      </w:r>
      <w:r w:rsidR="001420CF" w:rsidRPr="00F1660D">
        <w:rPr>
          <w:lang w:val="fr-FR"/>
        </w:rPr>
        <w:t>conventions de Bâle, de Rotterdam, de Stockholm, de</w:t>
      </w:r>
      <w:r w:rsidR="00A50629" w:rsidRPr="00F1660D">
        <w:rPr>
          <w:lang w:val="fr-FR"/>
        </w:rPr>
        <w:t xml:space="preserve"> la </w:t>
      </w:r>
      <w:r w:rsidR="001420CF" w:rsidRPr="00F1660D">
        <w:rPr>
          <w:lang w:val="fr-FR"/>
        </w:rPr>
        <w:t>Convention de Minamata et de l’Approche stratégique de</w:t>
      </w:r>
      <w:r w:rsidR="00A50629" w:rsidRPr="00F1660D">
        <w:rPr>
          <w:lang w:val="fr-FR"/>
        </w:rPr>
        <w:t xml:space="preserve"> la </w:t>
      </w:r>
      <w:r w:rsidR="001420CF" w:rsidRPr="00F1660D">
        <w:rPr>
          <w:lang w:val="fr-FR"/>
        </w:rPr>
        <w:t>gestion internationale</w:t>
      </w:r>
      <w:r w:rsidR="00A50629" w:rsidRPr="00F1660D">
        <w:rPr>
          <w:lang w:val="fr-FR"/>
        </w:rPr>
        <w:t xml:space="preserve"> des </w:t>
      </w:r>
      <w:r w:rsidR="001420CF" w:rsidRPr="00F1660D">
        <w:rPr>
          <w:lang w:val="fr-FR"/>
        </w:rPr>
        <w:t>produits chimiques et</w:t>
      </w:r>
      <w:r w:rsidR="00A50629" w:rsidRPr="00F1660D">
        <w:rPr>
          <w:lang w:val="fr-FR"/>
        </w:rPr>
        <w:t xml:space="preserve"> des </w:t>
      </w:r>
      <w:r w:rsidR="001420CF" w:rsidRPr="00F1660D">
        <w:rPr>
          <w:lang w:val="fr-FR"/>
        </w:rPr>
        <w:t>déchets.</w:t>
      </w:r>
      <w:r w:rsidRPr="00F1660D">
        <w:rPr>
          <w:lang w:val="fr-FR"/>
        </w:rPr>
        <w:t>]</w:t>
      </w:r>
    </w:p>
    <w:p w14:paraId="3076480E" w14:textId="2D9C3AC0" w:rsidR="001420CF" w:rsidRPr="00F1660D" w:rsidRDefault="001420CF" w:rsidP="001420CF">
      <w:pPr>
        <w:pStyle w:val="Normalnumber"/>
        <w:numPr>
          <w:ilvl w:val="0"/>
          <w:numId w:val="8"/>
        </w:numPr>
        <w:rPr>
          <w:lang w:val="fr-FR"/>
        </w:rPr>
      </w:pPr>
      <w:r w:rsidRPr="00F1660D">
        <w:rPr>
          <w:lang w:val="fr-FR"/>
        </w:rPr>
        <w:t>[Il faudrait créer un centre d’échange d’informations sous l’autorité du secrétariat de l’accord afin de suivre publiquement l’aide</w:t>
      </w:r>
      <w:r w:rsidR="00A50629" w:rsidRPr="00F1660D">
        <w:rPr>
          <w:lang w:val="fr-FR"/>
        </w:rPr>
        <w:t xml:space="preserve"> au </w:t>
      </w:r>
      <w:r w:rsidRPr="00F1660D">
        <w:rPr>
          <w:lang w:val="fr-FR"/>
        </w:rPr>
        <w:t>développement fournie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p>
    <w:p w14:paraId="44B71202" w14:textId="7067B0E6" w:rsidR="001420CF" w:rsidRPr="00F1660D" w:rsidRDefault="001420CF" w:rsidP="001420CF">
      <w:pPr>
        <w:pStyle w:val="NormalNonumber"/>
        <w:rPr>
          <w:b/>
          <w:lang w:val="fr-FR"/>
        </w:rPr>
      </w:pPr>
      <w:r w:rsidRPr="00F1660D">
        <w:rPr>
          <w:lang w:val="fr-FR"/>
        </w:rPr>
        <w:t>VARIANTE à tous</w:t>
      </w:r>
      <w:r w:rsidR="00A50629" w:rsidRPr="00F1660D">
        <w:rPr>
          <w:lang w:val="fr-FR"/>
        </w:rPr>
        <w:t xml:space="preserve"> les </w:t>
      </w:r>
      <w:r w:rsidRPr="00F1660D">
        <w:rPr>
          <w:lang w:val="fr-FR"/>
        </w:rPr>
        <w:t>paragraphes ci-dessus : [Tous</w:t>
      </w:r>
      <w:r w:rsidR="00A50629" w:rsidRPr="00F1660D">
        <w:rPr>
          <w:lang w:val="fr-FR"/>
        </w:rPr>
        <w:t xml:space="preserve"> les </w:t>
      </w:r>
      <w:r w:rsidRPr="00F1660D">
        <w:rPr>
          <w:lang w:val="fr-FR"/>
        </w:rPr>
        <w:t>pays, dans</w:t>
      </w:r>
      <w:r w:rsidR="00A50629" w:rsidRPr="00F1660D">
        <w:rPr>
          <w:lang w:val="fr-FR"/>
        </w:rPr>
        <w:t xml:space="preserve"> les </w:t>
      </w:r>
      <w:r w:rsidRPr="00F1660D">
        <w:rPr>
          <w:lang w:val="fr-FR"/>
        </w:rPr>
        <w:t>limites de leurs capacités, devraient continuer de renforcer</w:t>
      </w:r>
      <w:r w:rsidR="00A50629" w:rsidRPr="00F1660D">
        <w:rPr>
          <w:lang w:val="fr-FR"/>
        </w:rPr>
        <w:t xml:space="preserve"> le </w:t>
      </w:r>
      <w:r w:rsidRPr="00F1660D">
        <w:rPr>
          <w:lang w:val="fr-FR"/>
        </w:rPr>
        <w:t>volet relatif</w:t>
      </w:r>
      <w:r w:rsidR="00A50629" w:rsidRPr="00F1660D">
        <w:rPr>
          <w:lang w:val="fr-FR"/>
        </w:rPr>
        <w:t xml:space="preserve"> au </w:t>
      </w:r>
      <w:r w:rsidRPr="00F1660D">
        <w:rPr>
          <w:lang w:val="fr-FR"/>
        </w:rPr>
        <w:t>financement extérieur ciblé, en particulier en contribuant</w:t>
      </w:r>
      <w:r w:rsidR="00A50629" w:rsidRPr="00F1660D">
        <w:rPr>
          <w:lang w:val="fr-FR"/>
        </w:rPr>
        <w:t xml:space="preserve"> au </w:t>
      </w:r>
      <w:r w:rsidRPr="00F1660D">
        <w:rPr>
          <w:lang w:val="fr-FR"/>
        </w:rPr>
        <w:t>Programme spécial,</w:t>
      </w:r>
      <w:r w:rsidR="00A50629" w:rsidRPr="00F1660D">
        <w:rPr>
          <w:lang w:val="fr-FR"/>
        </w:rPr>
        <w:t xml:space="preserve"> au </w:t>
      </w:r>
      <w:r w:rsidRPr="00F1660D">
        <w:rPr>
          <w:lang w:val="fr-FR"/>
        </w:rPr>
        <w:t>Fonds pour l’environnement mondial et à d’autres fonds d’affectation spéciale multilatéraux connexes, ainsi qu’en fournissant une aide bilatérale et régionale pour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w:t>
      </w:r>
    </w:p>
    <w:p w14:paraId="3E3AB729" w14:textId="20E9BACE" w:rsidR="001420CF" w:rsidRPr="00F1660D" w:rsidRDefault="001420CF" w:rsidP="001420CF">
      <w:pPr>
        <w:pStyle w:val="CH3"/>
        <w:rPr>
          <w:b w:val="0"/>
          <w:lang w:val="fr-FR"/>
        </w:rPr>
      </w:pPr>
      <w:r w:rsidRPr="00F1660D">
        <w:rPr>
          <w:lang w:val="fr-FR"/>
        </w:rPr>
        <w:tab/>
      </w:r>
      <w:r w:rsidR="00AE6693">
        <w:rPr>
          <w:lang w:val="fr-FR"/>
        </w:rPr>
        <w:t>3</w:t>
      </w:r>
      <w:r w:rsidRPr="00F1660D">
        <w:rPr>
          <w:lang w:val="fr-FR"/>
        </w:rPr>
        <w:t>.</w:t>
      </w:r>
      <w:r w:rsidRPr="00F1660D">
        <w:rPr>
          <w:lang w:val="fr-FR"/>
        </w:rPr>
        <w:tab/>
        <w:t>Création et engagement de p</w:t>
      </w:r>
      <w:r w:rsidRPr="00F1660D">
        <w:rPr>
          <w:bCs/>
          <w:lang w:val="fr-FR"/>
        </w:rPr>
        <w:t xml:space="preserve">artenariats multisectoriels </w:t>
      </w:r>
    </w:p>
    <w:p w14:paraId="6D9170F7" w14:textId="7989FDDE" w:rsidR="001420CF" w:rsidRPr="00F1660D" w:rsidRDefault="001420CF" w:rsidP="001420CF">
      <w:pPr>
        <w:pStyle w:val="Normalnumber"/>
        <w:numPr>
          <w:ilvl w:val="0"/>
          <w:numId w:val="8"/>
        </w:numPr>
        <w:rPr>
          <w:lang w:val="fr-FR"/>
        </w:rPr>
      </w:pPr>
      <w:r w:rsidRPr="00F1660D">
        <w:rPr>
          <w:lang w:val="fr-FR"/>
        </w:rPr>
        <w:t>Les parties prenantes sont encouragées à créer et mettre en œuvre</w:t>
      </w:r>
      <w:r w:rsidR="00A50629" w:rsidRPr="00F1660D">
        <w:rPr>
          <w:lang w:val="fr-FR"/>
        </w:rPr>
        <w:t xml:space="preserve"> des </w:t>
      </w:r>
      <w:r w:rsidRPr="00F1660D">
        <w:rPr>
          <w:lang w:val="fr-FR"/>
        </w:rPr>
        <w:t>partenariats multisectoriels [transparents et responsables] [dans</w:t>
      </w:r>
      <w:r w:rsidR="00A50629" w:rsidRPr="00F1660D">
        <w:rPr>
          <w:lang w:val="fr-FR"/>
        </w:rPr>
        <w:t xml:space="preserve"> le </w:t>
      </w:r>
      <w:r w:rsidRPr="00F1660D">
        <w:rPr>
          <w:lang w:val="fr-FR"/>
        </w:rPr>
        <w:t>cadre du Programme 2030], pour répondre efficacement à certains sujets de préoccupation [d’ordre mondial] relatifs aux produits chimiques et aux déchets.</w:t>
      </w:r>
      <w:r w:rsidR="00A50629" w:rsidRPr="00F1660D">
        <w:rPr>
          <w:lang w:val="fr-FR"/>
        </w:rPr>
        <w:t xml:space="preserve"> Les </w:t>
      </w:r>
      <w:r w:rsidRPr="00F1660D">
        <w:rPr>
          <w:lang w:val="fr-FR"/>
        </w:rPr>
        <w:t>parties prenantes sont également encouragées à explorer</w:t>
      </w:r>
      <w:r w:rsidR="00A50629" w:rsidRPr="00F1660D">
        <w:rPr>
          <w:lang w:val="fr-FR"/>
        </w:rPr>
        <w:t xml:space="preserve"> les </w:t>
      </w:r>
      <w:r w:rsidRPr="00F1660D">
        <w:rPr>
          <w:lang w:val="fr-FR"/>
        </w:rPr>
        <w:t>possibilités de financement en recourant aux mécanismes dans tous</w:t>
      </w:r>
      <w:r w:rsidR="00A50629" w:rsidRPr="00F1660D">
        <w:rPr>
          <w:lang w:val="fr-FR"/>
        </w:rPr>
        <w:t xml:space="preserve"> les </w:t>
      </w:r>
      <w:r w:rsidRPr="00F1660D">
        <w:rPr>
          <w:lang w:val="fr-FR"/>
        </w:rPr>
        <w:t>secteurs.</w:t>
      </w:r>
    </w:p>
    <w:p w14:paraId="7FA7A219" w14:textId="3F2E9140" w:rsidR="001420CF" w:rsidRPr="00F1660D" w:rsidRDefault="001420CF" w:rsidP="001420CF">
      <w:pPr>
        <w:pStyle w:val="CH3"/>
        <w:rPr>
          <w:b w:val="0"/>
          <w:lang w:val="fr-FR"/>
        </w:rPr>
      </w:pPr>
      <w:r w:rsidRPr="00F1660D">
        <w:rPr>
          <w:lang w:val="fr-FR"/>
        </w:rPr>
        <w:tab/>
      </w:r>
      <w:r w:rsidR="00AE6693">
        <w:rPr>
          <w:lang w:val="fr-FR"/>
        </w:rPr>
        <w:t>4</w:t>
      </w:r>
      <w:r w:rsidRPr="00F1660D">
        <w:rPr>
          <w:lang w:val="fr-FR"/>
        </w:rPr>
        <w:t>.</w:t>
      </w:r>
      <w:r w:rsidRPr="00F1660D">
        <w:rPr>
          <w:lang w:val="fr-FR"/>
        </w:rPr>
        <w:tab/>
        <w:t>Financement du secrétariat*</w:t>
      </w:r>
    </w:p>
    <w:p w14:paraId="5D028859" w14:textId="646A6484" w:rsidR="001420CF" w:rsidRPr="00F1660D" w:rsidRDefault="001420CF" w:rsidP="001420CF">
      <w:pPr>
        <w:pStyle w:val="Normalnumber"/>
        <w:numPr>
          <w:ilvl w:val="0"/>
          <w:numId w:val="8"/>
        </w:numPr>
        <w:rPr>
          <w:lang w:val="fr-FR"/>
        </w:rPr>
      </w:pPr>
      <w:r w:rsidRPr="00F1660D">
        <w:rPr>
          <w:lang w:val="fr-FR"/>
        </w:rPr>
        <w:t>Les gouvernements et autres parties prenantes sont invités à fournir</w:t>
      </w:r>
      <w:r w:rsidR="00A50629" w:rsidRPr="00F1660D">
        <w:rPr>
          <w:lang w:val="fr-FR"/>
        </w:rPr>
        <w:t xml:space="preserve"> des </w:t>
      </w:r>
      <w:r w:rsidRPr="00F1660D">
        <w:rPr>
          <w:lang w:val="fr-FR"/>
        </w:rPr>
        <w:t>ressources afin que</w:t>
      </w:r>
      <w:r w:rsidR="00A50629" w:rsidRPr="00F1660D">
        <w:rPr>
          <w:lang w:val="fr-FR"/>
        </w:rPr>
        <w:t xml:space="preserve"> le </w:t>
      </w:r>
      <w:r w:rsidRPr="00F1660D">
        <w:rPr>
          <w:lang w:val="fr-FR"/>
        </w:rPr>
        <w:t>secrétariat puisse s’acquitter</w:t>
      </w:r>
      <w:r w:rsidR="00A50629" w:rsidRPr="00F1660D">
        <w:rPr>
          <w:lang w:val="fr-FR"/>
        </w:rPr>
        <w:t xml:space="preserve"> des </w:t>
      </w:r>
      <w:r w:rsidRPr="00F1660D">
        <w:rPr>
          <w:lang w:val="fr-FR"/>
        </w:rPr>
        <w:t>fonctions et tâches énoncées dans</w:t>
      </w:r>
      <w:r w:rsidR="00A50629" w:rsidRPr="00F1660D">
        <w:rPr>
          <w:lang w:val="fr-FR"/>
        </w:rPr>
        <w:t xml:space="preserve"> la </w:t>
      </w:r>
      <w:r w:rsidRPr="00F1660D">
        <w:rPr>
          <w:lang w:val="fr-FR"/>
        </w:rPr>
        <w:t xml:space="preserve">sous-section G 3) ci-dessus, notamment : </w:t>
      </w:r>
    </w:p>
    <w:p w14:paraId="4535B47E" w14:textId="613C7D8C" w:rsidR="001420CF" w:rsidRPr="00F1660D" w:rsidRDefault="001420CF" w:rsidP="001420CF">
      <w:pPr>
        <w:pStyle w:val="NormalNonumber"/>
        <w:ind w:left="2381" w:hanging="1134"/>
        <w:rPr>
          <w:lang w:val="fr-FR"/>
        </w:rPr>
      </w:pPr>
      <w:r w:rsidRPr="00F1660D">
        <w:rPr>
          <w:lang w:val="fr-FR"/>
        </w:rPr>
        <w:tab/>
        <w:t>i)</w:t>
      </w:r>
      <w:r w:rsidRPr="00F1660D">
        <w:rPr>
          <w:lang w:val="fr-FR"/>
        </w:rPr>
        <w:tab/>
        <w:t>En invitant</w:t>
      </w:r>
      <w:r w:rsidR="00A50629" w:rsidRPr="00F1660D">
        <w:rPr>
          <w:lang w:val="fr-FR"/>
        </w:rPr>
        <w:t xml:space="preserve"> le </w:t>
      </w:r>
      <w:r w:rsidRPr="00F1660D">
        <w:rPr>
          <w:lang w:val="fr-FR"/>
        </w:rPr>
        <w:t>PNUE à prendre</w:t>
      </w:r>
      <w:r w:rsidR="00A50629" w:rsidRPr="00F1660D">
        <w:rPr>
          <w:lang w:val="fr-FR"/>
        </w:rPr>
        <w:t xml:space="preserve"> des </w:t>
      </w:r>
      <w:r w:rsidRPr="00F1660D">
        <w:rPr>
          <w:lang w:val="fr-FR"/>
        </w:rPr>
        <w:t>dispositions pour l’adaptation et</w:t>
      </w:r>
      <w:r w:rsidR="00A50629" w:rsidRPr="00F1660D">
        <w:rPr>
          <w:lang w:val="fr-FR"/>
        </w:rPr>
        <w:t xml:space="preserve"> le </w:t>
      </w:r>
      <w:r w:rsidRPr="00F1660D">
        <w:rPr>
          <w:lang w:val="fr-FR"/>
        </w:rPr>
        <w:t>renforcement du fonds d’affectation spéciale de contributions volontaires pour financer ces tâches ;</w:t>
      </w:r>
    </w:p>
    <w:p w14:paraId="385A30C6" w14:textId="406BA54B" w:rsidR="001420CF" w:rsidRPr="00F1660D" w:rsidRDefault="001420CF" w:rsidP="001420CF">
      <w:pPr>
        <w:pStyle w:val="NormalNonumber"/>
        <w:ind w:left="2381" w:hanging="1134"/>
        <w:rPr>
          <w:lang w:val="fr-FR"/>
        </w:rPr>
      </w:pPr>
      <w:r w:rsidRPr="00F1660D">
        <w:rPr>
          <w:lang w:val="fr-FR"/>
        </w:rPr>
        <w:tab/>
        <w:t>ii)</w:t>
      </w:r>
      <w:r w:rsidRPr="00F1660D">
        <w:rPr>
          <w:lang w:val="fr-FR"/>
        </w:rPr>
        <w:tab/>
        <w:t>En invitant tous</w:t>
      </w:r>
      <w:r w:rsidR="00A50629" w:rsidRPr="00F1660D">
        <w:rPr>
          <w:lang w:val="fr-FR"/>
        </w:rPr>
        <w:t xml:space="preserve"> les </w:t>
      </w:r>
      <w:r w:rsidRPr="00F1660D">
        <w:rPr>
          <w:lang w:val="fr-FR"/>
        </w:rPr>
        <w:t>pays et</w:t>
      </w:r>
      <w:r w:rsidR="00A50629" w:rsidRPr="00F1660D">
        <w:rPr>
          <w:lang w:val="fr-FR"/>
        </w:rPr>
        <w:t xml:space="preserve"> les </w:t>
      </w:r>
      <w:r w:rsidRPr="00F1660D">
        <w:rPr>
          <w:lang w:val="fr-FR"/>
        </w:rPr>
        <w:t>organisations régionales d’intégration économique à verser</w:t>
      </w:r>
      <w:r w:rsidR="00A50629" w:rsidRPr="00F1660D">
        <w:rPr>
          <w:lang w:val="fr-FR"/>
        </w:rPr>
        <w:t xml:space="preserve"> des </w:t>
      </w:r>
      <w:r w:rsidRPr="00F1660D">
        <w:rPr>
          <w:lang w:val="fr-FR"/>
        </w:rPr>
        <w:t>contributions ;</w:t>
      </w:r>
    </w:p>
    <w:p w14:paraId="770DDE17" w14:textId="5F101953" w:rsidR="001420CF" w:rsidRPr="00F1660D" w:rsidRDefault="001420CF" w:rsidP="001420CF">
      <w:pPr>
        <w:pStyle w:val="NormalNonumber"/>
        <w:ind w:left="2381" w:hanging="1134"/>
        <w:rPr>
          <w:lang w:val="fr-FR"/>
        </w:rPr>
      </w:pPr>
      <w:r w:rsidRPr="00F1660D">
        <w:rPr>
          <w:lang w:val="fr-FR"/>
        </w:rPr>
        <w:tab/>
        <w:t>iii)</w:t>
      </w:r>
      <w:r w:rsidRPr="00F1660D">
        <w:rPr>
          <w:lang w:val="fr-FR"/>
        </w:rPr>
        <w:tab/>
        <w:t>En invitant</w:t>
      </w:r>
      <w:r w:rsidR="00A50629" w:rsidRPr="00F1660D">
        <w:rPr>
          <w:lang w:val="fr-FR"/>
        </w:rPr>
        <w:t xml:space="preserve"> le </w:t>
      </w:r>
      <w:r w:rsidRPr="00F1660D">
        <w:rPr>
          <w:lang w:val="fr-FR"/>
        </w:rPr>
        <w:t>secteur privé, dont</w:t>
      </w:r>
      <w:r w:rsidR="00A50629" w:rsidRPr="00F1660D">
        <w:rPr>
          <w:lang w:val="fr-FR"/>
        </w:rPr>
        <w:t xml:space="preserve"> les </w:t>
      </w:r>
      <w:r w:rsidRPr="00F1660D">
        <w:rPr>
          <w:lang w:val="fr-FR"/>
        </w:rPr>
        <w:t>entreprises,</w:t>
      </w:r>
      <w:r w:rsidR="00A50629" w:rsidRPr="00F1660D">
        <w:rPr>
          <w:lang w:val="fr-FR"/>
        </w:rPr>
        <w:t xml:space="preserve"> les </w:t>
      </w:r>
      <w:r w:rsidRPr="00F1660D">
        <w:rPr>
          <w:lang w:val="fr-FR"/>
        </w:rPr>
        <w:t xml:space="preserve">fondations et autres organisations non gouvernementales, </w:t>
      </w:r>
      <w:proofErr w:type="spellStart"/>
      <w:r w:rsidRPr="00F1660D">
        <w:rPr>
          <w:lang w:val="fr-FR"/>
        </w:rPr>
        <w:t>à</w:t>
      </w:r>
      <w:proofErr w:type="spellEnd"/>
      <w:r w:rsidRPr="00F1660D">
        <w:rPr>
          <w:lang w:val="fr-FR"/>
        </w:rPr>
        <w:t xml:space="preserve"> également apporter leur contribution.</w:t>
      </w:r>
    </w:p>
    <w:p w14:paraId="6A0E011A" w14:textId="77777777" w:rsidR="001420CF" w:rsidRPr="00F1660D" w:rsidRDefault="001420CF" w:rsidP="001420CF">
      <w:pPr>
        <w:pStyle w:val="NormalNonumber"/>
        <w:rPr>
          <w:b/>
          <w:lang w:val="fr-FR"/>
        </w:rPr>
      </w:pPr>
      <w:r w:rsidRPr="00F1660D">
        <w:rPr>
          <w:lang w:val="fr-FR"/>
        </w:rPr>
        <w:t xml:space="preserve">* Cette question a recueilli un certain appui mais fera l’objet d’une meilleure formulation à l’occasion de futures réunions du processus intersessions. </w:t>
      </w:r>
      <w:r w:rsidRPr="00F1660D">
        <w:rPr>
          <w:lang w:val="fr-FR"/>
        </w:rPr>
        <w:br w:type="page"/>
      </w:r>
    </w:p>
    <w:p w14:paraId="364D4040" w14:textId="77777777" w:rsidR="001420CF" w:rsidRPr="00F1660D" w:rsidRDefault="001420CF" w:rsidP="001420CF">
      <w:pPr>
        <w:pStyle w:val="CH2"/>
        <w:rPr>
          <w:lang w:val="fr-FR"/>
        </w:rPr>
      </w:pPr>
      <w:r w:rsidRPr="00F1660D">
        <w:rPr>
          <w:lang w:val="fr-FR"/>
        </w:rPr>
        <w:tab/>
      </w:r>
      <w:r w:rsidRPr="00F1660D">
        <w:rPr>
          <w:lang w:val="fr-FR"/>
        </w:rPr>
        <w:tab/>
        <w:t>Appendice Objectifs stratégiques et cibles</w:t>
      </w:r>
      <w:r w:rsidRPr="00F1660D">
        <w:rPr>
          <w:rStyle w:val="FootnoteReference"/>
          <w:bCs/>
          <w:lang w:val="fr-FR"/>
        </w:rPr>
        <w:footnoteReference w:id="5"/>
      </w:r>
    </w:p>
    <w:p w14:paraId="4CA6B01D" w14:textId="51A66C1C" w:rsidR="001420CF" w:rsidRPr="00F1660D" w:rsidRDefault="001420CF" w:rsidP="001420CF">
      <w:pPr>
        <w:spacing w:before="120" w:after="120"/>
        <w:ind w:left="1247"/>
        <w:outlineLvl w:val="0"/>
        <w:rPr>
          <w:b/>
          <w:i/>
          <w:iCs/>
        </w:rPr>
      </w:pPr>
      <w:r w:rsidRPr="00F1660D">
        <w:t>Les cibles fixées à l’appui de</w:t>
      </w:r>
      <w:r w:rsidR="00A50629" w:rsidRPr="00F1660D">
        <w:t xml:space="preserve"> la </w:t>
      </w:r>
      <w:r w:rsidRPr="00F1660D">
        <w:t>réalisation de chaque objectif stratégique sont décrites ci-après.</w:t>
      </w:r>
    </w:p>
    <w:p w14:paraId="31BF32B6" w14:textId="77777777" w:rsidR="001420CF" w:rsidRPr="00F1660D" w:rsidRDefault="001420CF" w:rsidP="001420CF">
      <w:pPr>
        <w:pStyle w:val="CH3"/>
        <w:spacing w:before="240"/>
        <w:rPr>
          <w:rFonts w:asciiTheme="majorBidi" w:hAnsiTheme="majorBidi" w:cstheme="majorBidi"/>
          <w:lang w:val="fr-FR"/>
        </w:rPr>
      </w:pPr>
      <w:r w:rsidRPr="00F1660D">
        <w:rPr>
          <w:lang w:val="fr-FR"/>
        </w:rPr>
        <w:tab/>
      </w:r>
      <w:r w:rsidRPr="00F1660D">
        <w:rPr>
          <w:lang w:val="fr-FR"/>
        </w:rPr>
        <w:tab/>
        <w:t xml:space="preserve">Cibles de l’objectif stratégique A : </w:t>
      </w:r>
    </w:p>
    <w:p w14:paraId="0F09325B" w14:textId="226BD1AE" w:rsidR="001420CF" w:rsidRPr="00F1660D" w:rsidRDefault="001420CF" w:rsidP="001420CF">
      <w:pPr>
        <w:pStyle w:val="NormalNonumber"/>
        <w:rPr>
          <w:rFonts w:asciiTheme="majorBidi" w:hAnsiTheme="majorBidi" w:cstheme="majorBidi"/>
          <w:lang w:val="fr-FR"/>
        </w:rPr>
      </w:pPr>
      <w:r w:rsidRPr="00F1660D">
        <w:rPr>
          <w:b/>
          <w:bCs/>
          <w:lang w:val="fr-FR"/>
        </w:rPr>
        <w:t>Cible A.1 :</w:t>
      </w:r>
      <w:r w:rsidR="00A50629" w:rsidRPr="00F1660D">
        <w:rPr>
          <w:lang w:val="fr-FR"/>
        </w:rPr>
        <w:t xml:space="preserve"> Les </w:t>
      </w:r>
      <w:r w:rsidRPr="00F1660D">
        <w:rPr>
          <w:lang w:val="fr-FR"/>
        </w:rPr>
        <w:t>pays adoptent, mettent en œuvre et font appliquer</w:t>
      </w:r>
      <w:r w:rsidR="00A50629" w:rsidRPr="00F1660D">
        <w:rPr>
          <w:lang w:val="fr-FR"/>
        </w:rPr>
        <w:t xml:space="preserve"> des </w:t>
      </w:r>
      <w:r w:rsidRPr="00F1660D">
        <w:rPr>
          <w:lang w:val="fr-FR"/>
        </w:rPr>
        <w:t>cadres juridiques portant sur</w:t>
      </w:r>
      <w:r w:rsidR="00A50629" w:rsidRPr="00F1660D">
        <w:rPr>
          <w:lang w:val="fr-FR"/>
        </w:rPr>
        <w:t xml:space="preserve"> la </w:t>
      </w:r>
      <w:r w:rsidRPr="00F1660D">
        <w:rPr>
          <w:lang w:val="fr-FR"/>
        </w:rPr>
        <w:t>prévention</w:t>
      </w:r>
      <w:r w:rsidR="00A50629" w:rsidRPr="00F1660D">
        <w:rPr>
          <w:lang w:val="fr-FR"/>
        </w:rPr>
        <w:t xml:space="preserve"> des </w:t>
      </w:r>
      <w:r w:rsidRPr="00F1660D">
        <w:rPr>
          <w:lang w:val="fr-FR"/>
        </w:rPr>
        <w:t>risques et</w:t>
      </w:r>
      <w:r w:rsidR="00A50629" w:rsidRPr="00F1660D">
        <w:rPr>
          <w:lang w:val="fr-FR"/>
        </w:rPr>
        <w:t xml:space="preserve"> la </w:t>
      </w:r>
      <w:r w:rsidRPr="00F1660D">
        <w:rPr>
          <w:lang w:val="fr-FR"/>
        </w:rPr>
        <w:t>réduction</w:t>
      </w:r>
      <w:r w:rsidR="00A50629" w:rsidRPr="00F1660D">
        <w:rPr>
          <w:lang w:val="fr-FR"/>
        </w:rPr>
        <w:t xml:space="preserve"> des </w:t>
      </w:r>
      <w:r w:rsidRPr="00F1660D">
        <w:rPr>
          <w:lang w:val="fr-FR"/>
        </w:rPr>
        <w:t>effets néfastes</w:t>
      </w:r>
      <w:r w:rsidR="00A50629" w:rsidRPr="00F1660D">
        <w:rPr>
          <w:lang w:val="fr-FR"/>
        </w:rPr>
        <w:t xml:space="preserve"> des </w:t>
      </w:r>
      <w:r w:rsidRPr="00F1660D">
        <w:rPr>
          <w:lang w:val="fr-FR"/>
        </w:rPr>
        <w:t>déchets et</w:t>
      </w:r>
      <w:r w:rsidR="00A50629" w:rsidRPr="00F1660D">
        <w:rPr>
          <w:lang w:val="fr-FR"/>
        </w:rPr>
        <w:t xml:space="preserve"> des </w:t>
      </w:r>
      <w:r w:rsidRPr="00F1660D">
        <w:rPr>
          <w:lang w:val="fr-FR"/>
        </w:rPr>
        <w:t>produits chimiques tout</w:t>
      </w:r>
      <w:r w:rsidR="00A50629" w:rsidRPr="00F1660D">
        <w:rPr>
          <w:lang w:val="fr-FR"/>
        </w:rPr>
        <w:t xml:space="preserve"> au </w:t>
      </w:r>
      <w:r w:rsidRPr="00F1660D">
        <w:rPr>
          <w:lang w:val="fr-FR"/>
        </w:rPr>
        <w:t>long de leur cycle de vie</w:t>
      </w:r>
      <w:r w:rsidRPr="00F1660D">
        <w:rPr>
          <w:rStyle w:val="FootnoteReference"/>
          <w:rFonts w:asciiTheme="majorBidi" w:hAnsiTheme="majorBidi" w:cstheme="majorBidi"/>
          <w:lang w:val="fr-FR"/>
        </w:rPr>
        <w:footnoteReference w:id="6"/>
      </w:r>
      <w:r w:rsidRPr="00F1660D">
        <w:rPr>
          <w:lang w:val="fr-FR"/>
        </w:rPr>
        <w:t>.</w:t>
      </w:r>
    </w:p>
    <w:p w14:paraId="6EDD9669" w14:textId="49DCBBE4" w:rsidR="001420CF" w:rsidRPr="00F1660D" w:rsidRDefault="001420CF" w:rsidP="001420CF">
      <w:pPr>
        <w:pStyle w:val="NormalNonumber"/>
        <w:rPr>
          <w:lang w:val="fr-FR"/>
        </w:rPr>
      </w:pPr>
      <w:r w:rsidRPr="00F1660D">
        <w:rPr>
          <w:b/>
          <w:bCs/>
          <w:lang w:val="fr-FR"/>
        </w:rPr>
        <w:t>Cible A.2 :</w:t>
      </w:r>
      <w:r w:rsidR="00A50629" w:rsidRPr="00F1660D">
        <w:rPr>
          <w:lang w:val="fr-FR"/>
        </w:rPr>
        <w:t xml:space="preserve"> Les </w:t>
      </w:r>
      <w:r w:rsidRPr="00F1660D">
        <w:rPr>
          <w:lang w:val="fr-FR"/>
        </w:rPr>
        <w:t>pays se dotent de capacités suffisantes pour traiter</w:t>
      </w:r>
      <w:r w:rsidR="00A50629" w:rsidRPr="00F1660D">
        <w:rPr>
          <w:lang w:val="fr-FR"/>
        </w:rPr>
        <w:t xml:space="preserve"> les </w:t>
      </w:r>
      <w:r w:rsidRPr="00F1660D">
        <w:rPr>
          <w:lang w:val="fr-FR"/>
        </w:rPr>
        <w:t>questions relatives aux produits chimiques et aux déchets sur</w:t>
      </w:r>
      <w:r w:rsidR="00A50629" w:rsidRPr="00F1660D">
        <w:rPr>
          <w:lang w:val="fr-FR"/>
        </w:rPr>
        <w:t xml:space="preserve"> le </w:t>
      </w:r>
      <w:r w:rsidRPr="00F1660D">
        <w:rPr>
          <w:lang w:val="fr-FR"/>
        </w:rPr>
        <w:t>plan national, dont</w:t>
      </w:r>
      <w:r w:rsidR="00A50629" w:rsidRPr="00F1660D">
        <w:rPr>
          <w:lang w:val="fr-FR"/>
        </w:rPr>
        <w:t xml:space="preserve"> des </w:t>
      </w:r>
      <w:r w:rsidRPr="00F1660D">
        <w:rPr>
          <w:lang w:val="fr-FR"/>
        </w:rPr>
        <w:t xml:space="preserve">mesures de coordination </w:t>
      </w:r>
      <w:proofErr w:type="spellStart"/>
      <w:r w:rsidRPr="00F1660D">
        <w:rPr>
          <w:lang w:val="fr-FR"/>
        </w:rPr>
        <w:t>interinstitutions</w:t>
      </w:r>
      <w:proofErr w:type="spellEnd"/>
      <w:r w:rsidRPr="00F1660D">
        <w:rPr>
          <w:lang w:val="fr-FR"/>
        </w:rPr>
        <w:t xml:space="preserve"> et</w:t>
      </w:r>
      <w:r w:rsidR="00A50629" w:rsidRPr="00F1660D">
        <w:rPr>
          <w:lang w:val="fr-FR"/>
        </w:rPr>
        <w:t xml:space="preserve"> des </w:t>
      </w:r>
      <w:r w:rsidRPr="00F1660D">
        <w:rPr>
          <w:lang w:val="fr-FR"/>
        </w:rPr>
        <w:t>mécanismes de participation</w:t>
      </w:r>
      <w:r w:rsidR="00A50629" w:rsidRPr="00F1660D">
        <w:rPr>
          <w:lang w:val="fr-FR"/>
        </w:rPr>
        <w:t xml:space="preserve"> des </w:t>
      </w:r>
      <w:r w:rsidRPr="00F1660D">
        <w:rPr>
          <w:lang w:val="fr-FR"/>
        </w:rPr>
        <w:t>parties prenantes, tels que</w:t>
      </w:r>
      <w:r w:rsidR="00A50629" w:rsidRPr="00F1660D">
        <w:rPr>
          <w:lang w:val="fr-FR"/>
        </w:rPr>
        <w:t xml:space="preserve"> des </w:t>
      </w:r>
      <w:r w:rsidRPr="00F1660D">
        <w:rPr>
          <w:lang w:val="fr-FR"/>
        </w:rPr>
        <w:t>plans d’action nationaux.</w:t>
      </w:r>
    </w:p>
    <w:p w14:paraId="45E033AE" w14:textId="4F720F59" w:rsidR="001420CF" w:rsidRPr="00F1660D" w:rsidRDefault="001420CF" w:rsidP="001420CF">
      <w:pPr>
        <w:pStyle w:val="NormalNonumber"/>
        <w:rPr>
          <w:rFonts w:asciiTheme="majorBidi" w:hAnsiTheme="majorBidi" w:cstheme="majorBidi"/>
          <w:lang w:val="fr-FR"/>
        </w:rPr>
      </w:pPr>
      <w:r w:rsidRPr="00F1660D">
        <w:rPr>
          <w:b/>
          <w:lang w:val="fr-FR"/>
        </w:rPr>
        <w:t>Cible A.3 :</w:t>
      </w:r>
      <w:r w:rsidR="00A50629" w:rsidRPr="00F1660D">
        <w:rPr>
          <w:lang w:val="fr-FR"/>
        </w:rPr>
        <w:t xml:space="preserve"> Les </w:t>
      </w:r>
      <w:r w:rsidRPr="00F1660D">
        <w:rPr>
          <w:lang w:val="fr-FR"/>
        </w:rPr>
        <w:t>pays mettent en œuvre</w:t>
      </w:r>
      <w:r w:rsidR="00A50629" w:rsidRPr="00F1660D">
        <w:rPr>
          <w:lang w:val="fr-FR"/>
        </w:rPr>
        <w:t xml:space="preserve"> les </w:t>
      </w:r>
      <w:r w:rsidRPr="00F1660D">
        <w:rPr>
          <w:lang w:val="fr-FR"/>
        </w:rPr>
        <w:t>accords multilatéraux sur l’environnement relatifs aux produits chimiques et aux déchets, ainsi que</w:t>
      </w:r>
      <w:r w:rsidR="00A50629" w:rsidRPr="00F1660D">
        <w:rPr>
          <w:lang w:val="fr-FR"/>
        </w:rPr>
        <w:t xml:space="preserve"> les </w:t>
      </w:r>
      <w:r w:rsidRPr="00F1660D">
        <w:rPr>
          <w:lang w:val="fr-FR"/>
        </w:rPr>
        <w:t>conventions sur</w:t>
      </w:r>
      <w:r w:rsidR="00A50629" w:rsidRPr="00F1660D">
        <w:rPr>
          <w:lang w:val="fr-FR"/>
        </w:rPr>
        <w:t xml:space="preserve"> la </w:t>
      </w:r>
      <w:r w:rsidRPr="00F1660D">
        <w:rPr>
          <w:lang w:val="fr-FR"/>
        </w:rPr>
        <w:t>santé,</w:t>
      </w:r>
      <w:r w:rsidR="00A50629" w:rsidRPr="00F1660D">
        <w:rPr>
          <w:lang w:val="fr-FR"/>
        </w:rPr>
        <w:t xml:space="preserve"> le </w:t>
      </w:r>
      <w:r w:rsidRPr="00F1660D">
        <w:rPr>
          <w:lang w:val="fr-FR"/>
        </w:rPr>
        <w:t>travail et autres conventions pertinentes, et</w:t>
      </w:r>
      <w:r w:rsidR="00A50629" w:rsidRPr="00F1660D">
        <w:rPr>
          <w:lang w:val="fr-FR"/>
        </w:rPr>
        <w:t xml:space="preserve"> les </w:t>
      </w:r>
      <w:r w:rsidRPr="00F1660D">
        <w:rPr>
          <w:lang w:val="fr-FR"/>
        </w:rPr>
        <w:t>mécanismes volontaires tels que</w:t>
      </w:r>
      <w:r w:rsidR="00A50629" w:rsidRPr="00F1660D">
        <w:rPr>
          <w:lang w:val="fr-FR"/>
        </w:rPr>
        <w:t xml:space="preserve"> le </w:t>
      </w:r>
      <w:r w:rsidRPr="00F1660D">
        <w:rPr>
          <w:lang w:val="fr-FR"/>
        </w:rPr>
        <w:t>Système général harmonisé de classification et d’étiquetage</w:t>
      </w:r>
      <w:r w:rsidR="00A50629" w:rsidRPr="00F1660D">
        <w:rPr>
          <w:lang w:val="fr-FR"/>
        </w:rPr>
        <w:t xml:space="preserve"> des </w:t>
      </w:r>
      <w:r w:rsidRPr="00F1660D">
        <w:rPr>
          <w:lang w:val="fr-FR"/>
        </w:rPr>
        <w:t>produits chimiques.</w:t>
      </w:r>
    </w:p>
    <w:p w14:paraId="452B65AA" w14:textId="4C6F2C40" w:rsidR="001420CF" w:rsidRPr="00F1660D" w:rsidRDefault="001420CF" w:rsidP="001420CF">
      <w:pPr>
        <w:pStyle w:val="NormalNonumber"/>
        <w:rPr>
          <w:rFonts w:asciiTheme="majorBidi" w:hAnsiTheme="majorBidi" w:cstheme="majorBidi"/>
          <w:lang w:val="fr-FR"/>
        </w:rPr>
      </w:pPr>
      <w:r w:rsidRPr="00F1660D">
        <w:rPr>
          <w:b/>
          <w:bCs/>
          <w:lang w:val="fr-FR"/>
        </w:rPr>
        <w:t>Cible A.4 :</w:t>
      </w:r>
      <w:r w:rsidR="00A50629" w:rsidRPr="00F1660D">
        <w:rPr>
          <w:lang w:val="fr-FR"/>
        </w:rPr>
        <w:t xml:space="preserve"> Les </w:t>
      </w:r>
      <w:r w:rsidRPr="00F1660D">
        <w:rPr>
          <w:lang w:val="fr-FR"/>
        </w:rPr>
        <w:t>parties prenantes ont intégré</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déchets et</w:t>
      </w:r>
      <w:r w:rsidR="00A50629" w:rsidRPr="00F1660D">
        <w:rPr>
          <w:lang w:val="fr-FR"/>
        </w:rPr>
        <w:t xml:space="preserve"> des </w:t>
      </w:r>
      <w:r w:rsidRPr="00F1660D">
        <w:rPr>
          <w:lang w:val="fr-FR"/>
        </w:rPr>
        <w:t>produits chimiques tout</w:t>
      </w:r>
      <w:r w:rsidR="00A50629" w:rsidRPr="00F1660D">
        <w:rPr>
          <w:lang w:val="fr-FR"/>
        </w:rPr>
        <w:t xml:space="preserve"> au </w:t>
      </w:r>
      <w:r w:rsidRPr="00F1660D">
        <w:rPr>
          <w:lang w:val="fr-FR"/>
        </w:rPr>
        <w:t>long de leur cycle de vie dans leur planification, leurs politiques et leurs pratiques, appuyant ainsi l’élaboration et</w:t>
      </w:r>
      <w:r w:rsidR="00A50629" w:rsidRPr="00F1660D">
        <w:rPr>
          <w:lang w:val="fr-FR"/>
        </w:rPr>
        <w:t xml:space="preserve"> la </w:t>
      </w:r>
      <w:r w:rsidRPr="00F1660D">
        <w:rPr>
          <w:lang w:val="fr-FR"/>
        </w:rPr>
        <w:t>mise en œuvre de systèmes de gestion</w:t>
      </w:r>
      <w:r w:rsidR="00A50629" w:rsidRPr="00F1660D">
        <w:rPr>
          <w:lang w:val="fr-FR"/>
        </w:rPr>
        <w:t xml:space="preserve"> des </w:t>
      </w:r>
      <w:r w:rsidRPr="00F1660D">
        <w:rPr>
          <w:lang w:val="fr-FR"/>
        </w:rPr>
        <w:t>produits chimiques et d’autres mécanismes adaptés aux différents secteurs.</w:t>
      </w:r>
    </w:p>
    <w:p w14:paraId="2CE8013A" w14:textId="4868728B" w:rsidR="001420CF" w:rsidRPr="00F1660D" w:rsidRDefault="001420CF" w:rsidP="001420CF">
      <w:pPr>
        <w:pStyle w:val="NormalNonumber"/>
        <w:rPr>
          <w:rFonts w:asciiTheme="majorBidi" w:hAnsiTheme="majorBidi" w:cstheme="majorBidi"/>
          <w:bCs/>
          <w:lang w:val="fr-FR"/>
        </w:rPr>
      </w:pPr>
      <w:r w:rsidRPr="00F1660D">
        <w:rPr>
          <w:b/>
          <w:bCs/>
          <w:lang w:val="fr-FR"/>
        </w:rPr>
        <w:t>Cible A.5 :</w:t>
      </w:r>
      <w:r w:rsidR="00A50629" w:rsidRPr="00F1660D">
        <w:rPr>
          <w:lang w:val="fr-FR"/>
        </w:rPr>
        <w:t xml:space="preserve"> Les </w:t>
      </w:r>
      <w:r w:rsidRPr="00F1660D">
        <w:rPr>
          <w:lang w:val="fr-FR"/>
        </w:rPr>
        <w:t>gouvernements et l’industrie veillent à ce que</w:t>
      </w:r>
      <w:r w:rsidR="00A50629" w:rsidRPr="00F1660D">
        <w:rPr>
          <w:lang w:val="fr-FR"/>
        </w:rPr>
        <w:t xml:space="preserve"> les </w:t>
      </w:r>
      <w:r w:rsidRPr="00F1660D">
        <w:rPr>
          <w:lang w:val="fr-FR"/>
        </w:rPr>
        <w:t>travailleurs soient protégés contre</w:t>
      </w:r>
      <w:r w:rsidR="00A50629" w:rsidRPr="00F1660D">
        <w:rPr>
          <w:lang w:val="fr-FR"/>
        </w:rPr>
        <w:t xml:space="preserve"> les </w:t>
      </w:r>
      <w:r w:rsidRPr="00F1660D">
        <w:rPr>
          <w:lang w:val="fr-FR"/>
        </w:rPr>
        <w:t>risques liés aux produits chimiques et aux déchets et qu’ils aient</w:t>
      </w:r>
      <w:r w:rsidR="00A50629" w:rsidRPr="00F1660D">
        <w:rPr>
          <w:lang w:val="fr-FR"/>
        </w:rPr>
        <w:t xml:space="preserve"> les </w:t>
      </w:r>
      <w:r w:rsidRPr="00F1660D">
        <w:rPr>
          <w:lang w:val="fr-FR"/>
        </w:rPr>
        <w:t>moyens d’assurer leur propre protection.</w:t>
      </w:r>
    </w:p>
    <w:p w14:paraId="5B83D912" w14:textId="77777777" w:rsidR="001420CF" w:rsidRPr="00F1660D" w:rsidRDefault="001420CF" w:rsidP="001420CF">
      <w:pPr>
        <w:pStyle w:val="CH3"/>
        <w:spacing w:before="240"/>
        <w:rPr>
          <w:rFonts w:asciiTheme="majorBidi" w:hAnsiTheme="majorBidi" w:cstheme="majorBidi"/>
          <w:lang w:val="fr-FR"/>
        </w:rPr>
      </w:pPr>
      <w:r w:rsidRPr="00F1660D">
        <w:rPr>
          <w:lang w:val="fr-FR"/>
        </w:rPr>
        <w:tab/>
      </w:r>
      <w:r w:rsidRPr="00F1660D">
        <w:rPr>
          <w:lang w:val="fr-FR"/>
        </w:rPr>
        <w:tab/>
        <w:t>Cibles de l’objectif stratégique B :</w:t>
      </w:r>
    </w:p>
    <w:p w14:paraId="6C2B80EC" w14:textId="3294B396" w:rsidR="001420CF" w:rsidRPr="00F1660D" w:rsidRDefault="001420CF" w:rsidP="001420CF">
      <w:pPr>
        <w:pStyle w:val="NormalNonumber"/>
        <w:rPr>
          <w:rFonts w:asciiTheme="majorBidi" w:hAnsiTheme="majorBidi" w:cstheme="majorBidi"/>
          <w:bCs/>
          <w:lang w:val="fr-FR"/>
        </w:rPr>
      </w:pPr>
      <w:r w:rsidRPr="00F1660D">
        <w:rPr>
          <w:b/>
          <w:bCs/>
          <w:lang w:val="fr-FR"/>
        </w:rPr>
        <w:t>Cible B.1 :</w:t>
      </w:r>
      <w:r w:rsidR="00A50629" w:rsidRPr="00F1660D">
        <w:rPr>
          <w:lang w:val="fr-FR"/>
        </w:rPr>
        <w:t xml:space="preserve"> Des </w:t>
      </w:r>
      <w:r w:rsidRPr="00F1660D">
        <w:rPr>
          <w:lang w:val="fr-FR"/>
        </w:rPr>
        <w:t>données et informations exhaustives concernant</w:t>
      </w:r>
      <w:r w:rsidR="00A50629" w:rsidRPr="00F1660D">
        <w:rPr>
          <w:lang w:val="fr-FR"/>
        </w:rPr>
        <w:t xml:space="preserve"> les </w:t>
      </w:r>
      <w:r w:rsidRPr="00F1660D">
        <w:rPr>
          <w:lang w:val="fr-FR"/>
        </w:rPr>
        <w:t>produits chimiques sur</w:t>
      </w:r>
      <w:r w:rsidR="00A50629" w:rsidRPr="00F1660D">
        <w:rPr>
          <w:lang w:val="fr-FR"/>
        </w:rPr>
        <w:t xml:space="preserve"> le </w:t>
      </w:r>
      <w:r w:rsidRPr="00F1660D">
        <w:rPr>
          <w:lang w:val="fr-FR"/>
        </w:rPr>
        <w:t>marché sont disponibles et accessibles,</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informations et données sur</w:t>
      </w:r>
      <w:r w:rsidR="00A50629" w:rsidRPr="00F1660D">
        <w:rPr>
          <w:lang w:val="fr-FR"/>
        </w:rPr>
        <w:t xml:space="preserve"> les </w:t>
      </w:r>
      <w:r w:rsidRPr="00F1660D">
        <w:rPr>
          <w:lang w:val="fr-FR"/>
        </w:rPr>
        <w:t>propriétés,</w:t>
      </w:r>
      <w:r w:rsidR="00A50629" w:rsidRPr="00F1660D">
        <w:rPr>
          <w:lang w:val="fr-FR"/>
        </w:rPr>
        <w:t xml:space="preserve"> les </w:t>
      </w:r>
      <w:r w:rsidRPr="00F1660D">
        <w:rPr>
          <w:lang w:val="fr-FR"/>
        </w:rPr>
        <w:t>effets sur</w:t>
      </w:r>
      <w:r w:rsidR="00A50629" w:rsidRPr="00F1660D">
        <w:rPr>
          <w:lang w:val="fr-FR"/>
        </w:rPr>
        <w:t xml:space="preserve"> la </w:t>
      </w:r>
      <w:r w:rsidRPr="00F1660D">
        <w:rPr>
          <w:lang w:val="fr-FR"/>
        </w:rPr>
        <w:t>santé et l’environnement,</w:t>
      </w:r>
      <w:r w:rsidR="00A50629" w:rsidRPr="00F1660D">
        <w:rPr>
          <w:lang w:val="fr-FR"/>
        </w:rPr>
        <w:t xml:space="preserve"> les </w:t>
      </w:r>
      <w:r w:rsidRPr="00F1660D">
        <w:rPr>
          <w:lang w:val="fr-FR"/>
        </w:rPr>
        <w:t>utilisations,</w:t>
      </w:r>
      <w:r w:rsidR="00A50629" w:rsidRPr="00F1660D">
        <w:rPr>
          <w:lang w:val="fr-FR"/>
        </w:rPr>
        <w:t xml:space="preserve"> les </w:t>
      </w:r>
      <w:r w:rsidRPr="00F1660D">
        <w:rPr>
          <w:lang w:val="fr-FR"/>
        </w:rPr>
        <w:t>résultats de l’évaluation</w:t>
      </w:r>
      <w:r w:rsidR="00A50629" w:rsidRPr="00F1660D">
        <w:rPr>
          <w:lang w:val="fr-FR"/>
        </w:rPr>
        <w:t xml:space="preserve"> des </w:t>
      </w:r>
      <w:r w:rsidRPr="00F1660D">
        <w:rPr>
          <w:lang w:val="fr-FR"/>
        </w:rPr>
        <w:t>dangers et</w:t>
      </w:r>
      <w:r w:rsidR="00A50629" w:rsidRPr="00F1660D">
        <w:rPr>
          <w:lang w:val="fr-FR"/>
        </w:rPr>
        <w:t xml:space="preserve"> des </w:t>
      </w:r>
      <w:r w:rsidRPr="00F1660D">
        <w:rPr>
          <w:lang w:val="fr-FR"/>
        </w:rPr>
        <w:t>risques,</w:t>
      </w:r>
      <w:r w:rsidR="00A50629" w:rsidRPr="00F1660D">
        <w:rPr>
          <w:lang w:val="fr-FR"/>
        </w:rPr>
        <w:t xml:space="preserve"> les </w:t>
      </w:r>
      <w:r w:rsidRPr="00F1660D">
        <w:rPr>
          <w:lang w:val="fr-FR"/>
        </w:rPr>
        <w:t>mesures de gestion</w:t>
      </w:r>
      <w:r w:rsidR="00A50629" w:rsidRPr="00F1660D">
        <w:rPr>
          <w:lang w:val="fr-FR"/>
        </w:rPr>
        <w:t xml:space="preserve"> des </w:t>
      </w:r>
      <w:r w:rsidRPr="00F1660D">
        <w:rPr>
          <w:lang w:val="fr-FR"/>
        </w:rPr>
        <w:t>risques,</w:t>
      </w:r>
      <w:r w:rsidR="00A50629" w:rsidRPr="00F1660D">
        <w:rPr>
          <w:lang w:val="fr-FR"/>
        </w:rPr>
        <w:t xml:space="preserve"> les </w:t>
      </w:r>
      <w:r w:rsidRPr="00F1660D">
        <w:rPr>
          <w:lang w:val="fr-FR"/>
        </w:rPr>
        <w:t>résultats de suivi et</w:t>
      </w:r>
      <w:r w:rsidR="00A50629" w:rsidRPr="00F1660D">
        <w:rPr>
          <w:lang w:val="fr-FR"/>
        </w:rPr>
        <w:t xml:space="preserve"> le </w:t>
      </w:r>
      <w:r w:rsidRPr="00F1660D">
        <w:rPr>
          <w:lang w:val="fr-FR"/>
        </w:rPr>
        <w:t>statut réglementaire tout</w:t>
      </w:r>
      <w:r w:rsidR="00A50629" w:rsidRPr="00F1660D">
        <w:rPr>
          <w:lang w:val="fr-FR"/>
        </w:rPr>
        <w:t xml:space="preserve"> au </w:t>
      </w:r>
      <w:r w:rsidRPr="00F1660D">
        <w:rPr>
          <w:lang w:val="fr-FR"/>
        </w:rPr>
        <w:t xml:space="preserve">long de leur cycle de vie. </w:t>
      </w:r>
    </w:p>
    <w:p w14:paraId="5BFDC176" w14:textId="28089238" w:rsidR="001420CF" w:rsidRPr="00F1660D" w:rsidRDefault="001420CF" w:rsidP="001420CF">
      <w:pPr>
        <w:pStyle w:val="NormalNonumber"/>
        <w:rPr>
          <w:rFonts w:asciiTheme="majorBidi" w:hAnsiTheme="majorBidi" w:cstheme="majorBidi"/>
          <w:bCs/>
          <w:lang w:val="fr-FR"/>
        </w:rPr>
      </w:pPr>
      <w:r w:rsidRPr="00F1660D">
        <w:rPr>
          <w:b/>
          <w:bCs/>
          <w:lang w:val="fr-FR"/>
        </w:rPr>
        <w:t>Cible B.2 :</w:t>
      </w:r>
      <w:r w:rsidRPr="00F1660D">
        <w:rPr>
          <w:lang w:val="fr-FR"/>
        </w:rPr>
        <w:t xml:space="preserve"> Toutes</w:t>
      </w:r>
      <w:r w:rsidR="00A50629" w:rsidRPr="00F1660D">
        <w:rPr>
          <w:lang w:val="fr-FR"/>
        </w:rPr>
        <w:t xml:space="preserve"> les </w:t>
      </w:r>
      <w:r w:rsidRPr="00F1660D">
        <w:rPr>
          <w:lang w:val="fr-FR"/>
        </w:rPr>
        <w:t>parties prenantes, en particulier</w:t>
      </w:r>
      <w:r w:rsidR="00A50629" w:rsidRPr="00F1660D">
        <w:rPr>
          <w:lang w:val="fr-FR"/>
        </w:rPr>
        <w:t xml:space="preserve"> les </w:t>
      </w:r>
      <w:r w:rsidRPr="00F1660D">
        <w:rPr>
          <w:lang w:val="fr-FR"/>
        </w:rPr>
        <w:t>industries et</w:t>
      </w:r>
      <w:r w:rsidR="00A50629" w:rsidRPr="00F1660D">
        <w:rPr>
          <w:lang w:val="fr-FR"/>
        </w:rPr>
        <w:t xml:space="preserve"> les </w:t>
      </w:r>
      <w:r w:rsidRPr="00F1660D">
        <w:rPr>
          <w:lang w:val="fr-FR"/>
        </w:rPr>
        <w:t xml:space="preserve">autorités de réglementation ont </w:t>
      </w:r>
      <w:r w:rsidR="00060D00" w:rsidRPr="00F1660D">
        <w:rPr>
          <w:lang w:val="fr-FR"/>
        </w:rPr>
        <w:t xml:space="preserve">à leur disposition </w:t>
      </w:r>
      <w:r w:rsidRPr="00F1660D">
        <w:rPr>
          <w:lang w:val="fr-FR"/>
        </w:rPr>
        <w:t>et utilisent</w:t>
      </w:r>
      <w:r w:rsidR="00A50629" w:rsidRPr="00F1660D">
        <w:rPr>
          <w:lang w:val="fr-FR"/>
        </w:rPr>
        <w:t xml:space="preserve"> les </w:t>
      </w:r>
      <w:r w:rsidRPr="00F1660D">
        <w:rPr>
          <w:lang w:val="fr-FR"/>
        </w:rPr>
        <w:t>directives, meilleures pratiques et outils</w:t>
      </w:r>
      <w:r w:rsidR="00A50629" w:rsidRPr="00F1660D">
        <w:rPr>
          <w:lang w:val="fr-FR"/>
        </w:rPr>
        <w:t xml:space="preserve"> les </w:t>
      </w:r>
      <w:r w:rsidRPr="00F1660D">
        <w:rPr>
          <w:lang w:val="fr-FR"/>
        </w:rPr>
        <w:t>plus appropriés et normalisés pour</w:t>
      </w:r>
      <w:r w:rsidR="00A50629" w:rsidRPr="00F1660D">
        <w:rPr>
          <w:lang w:val="fr-FR"/>
        </w:rPr>
        <w:t xml:space="preserve"> les </w:t>
      </w:r>
      <w:r w:rsidRPr="00F1660D">
        <w:rPr>
          <w:lang w:val="fr-FR"/>
        </w:rPr>
        <w:t>évaluations et</w:t>
      </w:r>
      <w:r w:rsidR="00A50629" w:rsidRPr="00F1660D">
        <w:rPr>
          <w:lang w:val="fr-FR"/>
        </w:rPr>
        <w:t xml:space="preserve"> la </w:t>
      </w:r>
      <w:r w:rsidRPr="00F1660D">
        <w:rPr>
          <w:lang w:val="fr-FR"/>
        </w:rPr>
        <w:t>bonne gestion, ainsi que pour</w:t>
      </w:r>
      <w:r w:rsidR="00A50629" w:rsidRPr="00F1660D">
        <w:rPr>
          <w:lang w:val="fr-FR"/>
        </w:rPr>
        <w:t xml:space="preserve"> la </w:t>
      </w:r>
      <w:r w:rsidRPr="00F1660D">
        <w:rPr>
          <w:lang w:val="fr-FR"/>
        </w:rPr>
        <w:t>prévention</w:t>
      </w:r>
      <w:r w:rsidR="00A50629" w:rsidRPr="00F1660D">
        <w:rPr>
          <w:lang w:val="fr-FR"/>
        </w:rPr>
        <w:t xml:space="preserve"> des </w:t>
      </w:r>
      <w:r w:rsidRPr="00F1660D">
        <w:rPr>
          <w:lang w:val="fr-FR"/>
        </w:rPr>
        <w:t>dommages,</w:t>
      </w:r>
      <w:r w:rsidR="00A50629" w:rsidRPr="00F1660D">
        <w:rPr>
          <w:lang w:val="fr-FR"/>
        </w:rPr>
        <w:t xml:space="preserve"> la </w:t>
      </w:r>
      <w:r w:rsidRPr="00F1660D">
        <w:rPr>
          <w:lang w:val="fr-FR"/>
        </w:rPr>
        <w:t>réduction</w:t>
      </w:r>
      <w:r w:rsidR="00A50629" w:rsidRPr="00F1660D">
        <w:rPr>
          <w:lang w:val="fr-FR"/>
        </w:rPr>
        <w:t xml:space="preserve"> des </w:t>
      </w:r>
      <w:r w:rsidRPr="00F1660D">
        <w:rPr>
          <w:lang w:val="fr-FR"/>
        </w:rPr>
        <w:t>risques,</w:t>
      </w:r>
      <w:r w:rsidR="00A50629" w:rsidRPr="00F1660D">
        <w:rPr>
          <w:lang w:val="fr-FR"/>
        </w:rPr>
        <w:t xml:space="preserve"> le </w:t>
      </w:r>
      <w:r w:rsidRPr="00F1660D">
        <w:rPr>
          <w:lang w:val="fr-FR"/>
        </w:rPr>
        <w:t>contrôle et l’application.</w:t>
      </w:r>
    </w:p>
    <w:p w14:paraId="30F3C314" w14:textId="56CF015A" w:rsidR="001420CF" w:rsidRPr="00F1660D" w:rsidRDefault="001420CF" w:rsidP="001420CF">
      <w:pPr>
        <w:pStyle w:val="NormalNonumber"/>
        <w:rPr>
          <w:rFonts w:asciiTheme="majorBidi" w:hAnsiTheme="majorBidi" w:cstheme="majorBidi"/>
          <w:bCs/>
          <w:lang w:val="fr-FR"/>
        </w:rPr>
      </w:pPr>
      <w:r w:rsidRPr="00F1660D">
        <w:rPr>
          <w:b/>
          <w:bCs/>
          <w:lang w:val="fr-FR"/>
        </w:rPr>
        <w:t>Cible B.3 :</w:t>
      </w:r>
      <w:r w:rsidR="00A50629" w:rsidRPr="00F1660D">
        <w:rPr>
          <w:lang w:val="fr-FR"/>
        </w:rPr>
        <w:t xml:space="preserve"> Des </w:t>
      </w:r>
      <w:r w:rsidRPr="00F1660D">
        <w:rPr>
          <w:lang w:val="fr-FR"/>
        </w:rPr>
        <w:t>informations et</w:t>
      </w:r>
      <w:r w:rsidR="00A50629" w:rsidRPr="00F1660D">
        <w:rPr>
          <w:lang w:val="fr-FR"/>
        </w:rPr>
        <w:t xml:space="preserve"> des </w:t>
      </w:r>
      <w:r w:rsidRPr="00F1660D">
        <w:rPr>
          <w:lang w:val="fr-FR"/>
        </w:rPr>
        <w:t>méthodes normalisées sont disponibles et utilisées pour comprendre</w:t>
      </w:r>
      <w:r w:rsidR="00A50629" w:rsidRPr="00F1660D">
        <w:rPr>
          <w:lang w:val="fr-FR"/>
        </w:rPr>
        <w:t xml:space="preserve"> les </w:t>
      </w:r>
      <w:r w:rsidRPr="00F1660D">
        <w:rPr>
          <w:lang w:val="fr-FR"/>
        </w:rPr>
        <w:t>effets</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et améliorer</w:t>
      </w:r>
      <w:r w:rsidR="00A50629" w:rsidRPr="00F1660D">
        <w:rPr>
          <w:lang w:val="fr-FR"/>
        </w:rPr>
        <w:t xml:space="preserve"> les </w:t>
      </w:r>
      <w:r w:rsidRPr="00F1660D">
        <w:rPr>
          <w:lang w:val="fr-FR"/>
        </w:rPr>
        <w:t>estimations portant sur</w:t>
      </w:r>
      <w:r w:rsidR="00A50629" w:rsidRPr="00F1660D">
        <w:rPr>
          <w:lang w:val="fr-FR"/>
        </w:rPr>
        <w:t xml:space="preserve"> la </w:t>
      </w:r>
      <w:r w:rsidRPr="00F1660D">
        <w:rPr>
          <w:lang w:val="fr-FR"/>
        </w:rPr>
        <w:t>charge de morbidité et</w:t>
      </w:r>
      <w:r w:rsidR="00A50629" w:rsidRPr="00F1660D">
        <w:rPr>
          <w:lang w:val="fr-FR"/>
        </w:rPr>
        <w:t xml:space="preserve"> le </w:t>
      </w:r>
      <w:r w:rsidRPr="00F1660D">
        <w:rPr>
          <w:lang w:val="fr-FR"/>
        </w:rPr>
        <w:t>coût de l’inaction, pour encadrer</w:t>
      </w:r>
      <w:r w:rsidR="00A50629" w:rsidRPr="00F1660D">
        <w:rPr>
          <w:lang w:val="fr-FR"/>
        </w:rPr>
        <w:t xml:space="preserve"> les </w:t>
      </w:r>
      <w:r w:rsidRPr="00F1660D">
        <w:rPr>
          <w:lang w:val="fr-FR"/>
        </w:rPr>
        <w:t>avancées</w:t>
      </w:r>
      <w:r w:rsidR="00A50629" w:rsidRPr="00F1660D">
        <w:rPr>
          <w:lang w:val="fr-FR"/>
        </w:rPr>
        <w:t xml:space="preserve"> des </w:t>
      </w:r>
      <w:r w:rsidRPr="00F1660D">
        <w:rPr>
          <w:lang w:val="fr-FR"/>
        </w:rPr>
        <w:t>mesures de sécurité chimique et pour mesurer</w:t>
      </w:r>
      <w:r w:rsidR="00A50629" w:rsidRPr="00F1660D">
        <w:rPr>
          <w:lang w:val="fr-FR"/>
        </w:rPr>
        <w:t xml:space="preserve"> les </w:t>
      </w:r>
      <w:r w:rsidRPr="00F1660D">
        <w:rPr>
          <w:lang w:val="fr-FR"/>
        </w:rPr>
        <w:t>progrès réalisés dans</w:t>
      </w:r>
      <w:r w:rsidR="00A50629" w:rsidRPr="00F1660D">
        <w:rPr>
          <w:lang w:val="fr-FR"/>
        </w:rPr>
        <w:t xml:space="preserve"> la </w:t>
      </w:r>
      <w:r w:rsidRPr="00F1660D">
        <w:rPr>
          <w:lang w:val="fr-FR"/>
        </w:rPr>
        <w:t xml:space="preserve">réduction desdits effets. </w:t>
      </w:r>
    </w:p>
    <w:p w14:paraId="128FAFBC" w14:textId="1DD79A40" w:rsidR="001420CF" w:rsidRPr="00F1660D" w:rsidRDefault="001420CF" w:rsidP="001420CF">
      <w:pPr>
        <w:pStyle w:val="NormalNonumber"/>
        <w:rPr>
          <w:rFonts w:asciiTheme="majorBidi" w:hAnsiTheme="majorBidi" w:cstheme="majorBidi"/>
          <w:bCs/>
          <w:lang w:val="fr-FR"/>
        </w:rPr>
      </w:pPr>
      <w:r w:rsidRPr="00F1660D">
        <w:rPr>
          <w:b/>
          <w:bCs/>
          <w:lang w:val="fr-FR"/>
        </w:rPr>
        <w:t>Cible B.4 :</w:t>
      </w:r>
      <w:r w:rsidR="00A50629" w:rsidRPr="00F1660D">
        <w:rPr>
          <w:lang w:val="fr-FR"/>
        </w:rPr>
        <w:t xml:space="preserve"> Des </w:t>
      </w:r>
      <w:r w:rsidRPr="00F1660D">
        <w:rPr>
          <w:lang w:val="fr-FR"/>
        </w:rPr>
        <w:t>programmes éducatifs, de formation et de sensibilisation du public sur</w:t>
      </w:r>
      <w:r w:rsidR="00A50629" w:rsidRPr="00F1660D">
        <w:rPr>
          <w:lang w:val="fr-FR"/>
        </w:rPr>
        <w:t xml:space="preserve"> la </w:t>
      </w:r>
      <w:r w:rsidRPr="00F1660D">
        <w:rPr>
          <w:lang w:val="fr-FR"/>
        </w:rPr>
        <w:t>sécurité chimique et</w:t>
      </w:r>
      <w:r w:rsidR="00A50629" w:rsidRPr="00F1660D">
        <w:rPr>
          <w:lang w:val="fr-FR"/>
        </w:rPr>
        <w:t xml:space="preserve"> la </w:t>
      </w:r>
      <w:r w:rsidRPr="00F1660D">
        <w:rPr>
          <w:lang w:val="fr-FR"/>
        </w:rPr>
        <w:t>durabilité ont été élaborés et mis en œuvre, notamment pour</w:t>
      </w:r>
      <w:r w:rsidR="00A50629" w:rsidRPr="00F1660D">
        <w:rPr>
          <w:lang w:val="fr-FR"/>
        </w:rPr>
        <w:t xml:space="preserve"> les </w:t>
      </w:r>
      <w:r w:rsidRPr="00F1660D">
        <w:rPr>
          <w:lang w:val="fr-FR"/>
        </w:rPr>
        <w:t>populations vulnérables, parallèlement à</w:t>
      </w:r>
      <w:r w:rsidR="00A50629" w:rsidRPr="00F1660D">
        <w:rPr>
          <w:lang w:val="fr-FR"/>
        </w:rPr>
        <w:t xml:space="preserve"> des </w:t>
      </w:r>
      <w:r w:rsidRPr="00F1660D">
        <w:rPr>
          <w:lang w:val="fr-FR"/>
        </w:rPr>
        <w:t>cursus et programmes sur</w:t>
      </w:r>
      <w:r w:rsidR="00A50629" w:rsidRPr="00F1660D">
        <w:rPr>
          <w:lang w:val="fr-FR"/>
        </w:rPr>
        <w:t xml:space="preserve"> la </w:t>
      </w:r>
      <w:r w:rsidRPr="00F1660D">
        <w:rPr>
          <w:lang w:val="fr-FR"/>
        </w:rPr>
        <w:t>sécurité</w:t>
      </w:r>
      <w:r w:rsidR="00A50629" w:rsidRPr="00F1660D">
        <w:rPr>
          <w:lang w:val="fr-FR"/>
        </w:rPr>
        <w:t xml:space="preserve"> des </w:t>
      </w:r>
      <w:r w:rsidRPr="00F1660D">
        <w:rPr>
          <w:lang w:val="fr-FR"/>
        </w:rPr>
        <w:t>travailleurs à tous</w:t>
      </w:r>
      <w:r w:rsidR="00A50629" w:rsidRPr="00F1660D">
        <w:rPr>
          <w:lang w:val="fr-FR"/>
        </w:rPr>
        <w:t xml:space="preserve"> les </w:t>
      </w:r>
      <w:r w:rsidRPr="00F1660D">
        <w:rPr>
          <w:lang w:val="fr-FR"/>
        </w:rPr>
        <w:t>niveaux.</w:t>
      </w:r>
    </w:p>
    <w:p w14:paraId="2D556E21" w14:textId="78756282" w:rsidR="001420CF" w:rsidRPr="00F1660D" w:rsidRDefault="001420CF" w:rsidP="001420CF">
      <w:pPr>
        <w:pStyle w:val="NormalNonumber"/>
        <w:rPr>
          <w:rFonts w:asciiTheme="majorBidi" w:hAnsiTheme="majorBidi" w:cstheme="majorBidi"/>
          <w:bCs/>
          <w:lang w:val="fr-FR"/>
        </w:rPr>
      </w:pPr>
      <w:r w:rsidRPr="00F1660D">
        <w:rPr>
          <w:b/>
          <w:bCs/>
          <w:lang w:val="fr-FR"/>
        </w:rPr>
        <w:t>Cible B.5 :</w:t>
      </w:r>
      <w:r w:rsidR="00A50629" w:rsidRPr="00F1660D">
        <w:rPr>
          <w:lang w:val="fr-FR"/>
        </w:rPr>
        <w:t xml:space="preserve"> Les </w:t>
      </w:r>
      <w:r w:rsidRPr="00F1660D">
        <w:rPr>
          <w:lang w:val="fr-FR"/>
        </w:rPr>
        <w:t>pays et</w:t>
      </w:r>
      <w:r w:rsidR="00A50629" w:rsidRPr="00F1660D">
        <w:rPr>
          <w:lang w:val="fr-FR"/>
        </w:rPr>
        <w:t xml:space="preserve"> les </w:t>
      </w:r>
      <w:r w:rsidRPr="00F1660D">
        <w:rPr>
          <w:lang w:val="fr-FR"/>
        </w:rPr>
        <w:t>parties prenantes mettent en œuvre une formation portant sur</w:t>
      </w:r>
      <w:r w:rsidR="00A50629" w:rsidRPr="00F1660D">
        <w:rPr>
          <w:lang w:val="fr-FR"/>
        </w:rPr>
        <w:t xml:space="preserve"> des </w:t>
      </w:r>
      <w:r w:rsidRPr="00F1660D">
        <w:rPr>
          <w:lang w:val="fr-FR"/>
        </w:rPr>
        <w:t>solutions de remplacement plus sûres et écologiquement rationnelles, ainsi que sur</w:t>
      </w:r>
      <w:r w:rsidR="00A50629" w:rsidRPr="00F1660D">
        <w:rPr>
          <w:lang w:val="fr-FR"/>
        </w:rPr>
        <w:t xml:space="preserve"> des </w:t>
      </w:r>
      <w:r w:rsidRPr="00F1660D">
        <w:rPr>
          <w:lang w:val="fr-FR"/>
        </w:rPr>
        <w:t xml:space="preserve">moyens de substitution et l’utilisation de solutions alternatives plus sûres, comme l’agroécologie. </w:t>
      </w:r>
    </w:p>
    <w:p w14:paraId="416EAF9F" w14:textId="77777777" w:rsidR="001420CF" w:rsidRPr="00F1660D" w:rsidRDefault="001420CF" w:rsidP="001420CF">
      <w:pPr>
        <w:pStyle w:val="CH3"/>
        <w:spacing w:before="240"/>
        <w:rPr>
          <w:rFonts w:asciiTheme="majorBidi" w:hAnsiTheme="majorBidi" w:cstheme="majorBidi"/>
          <w:lang w:val="fr-FR"/>
        </w:rPr>
      </w:pPr>
      <w:r w:rsidRPr="00F1660D">
        <w:rPr>
          <w:lang w:val="fr-FR"/>
        </w:rPr>
        <w:tab/>
      </w:r>
      <w:r w:rsidRPr="00F1660D">
        <w:rPr>
          <w:lang w:val="fr-FR"/>
        </w:rPr>
        <w:tab/>
        <w:t>Cibles de l’objectif stratégique C :</w:t>
      </w:r>
    </w:p>
    <w:p w14:paraId="4E54331D" w14:textId="29328254" w:rsidR="001420CF" w:rsidRPr="00F1660D" w:rsidRDefault="001420CF" w:rsidP="001420CF">
      <w:pPr>
        <w:pStyle w:val="NormalNonumber"/>
        <w:rPr>
          <w:rFonts w:asciiTheme="majorBidi" w:hAnsiTheme="majorBidi" w:cstheme="majorBidi"/>
          <w:lang w:val="fr-FR"/>
        </w:rPr>
      </w:pPr>
      <w:r w:rsidRPr="00F1660D">
        <w:rPr>
          <w:b/>
          <w:bCs/>
          <w:lang w:val="fr-FR"/>
        </w:rPr>
        <w:t>Cible C.1 :</w:t>
      </w:r>
      <w:r w:rsidR="00A50629" w:rsidRPr="00F1660D">
        <w:rPr>
          <w:lang w:val="fr-FR"/>
        </w:rPr>
        <w:t xml:space="preserve"> Des </w:t>
      </w:r>
      <w:r w:rsidRPr="00F1660D">
        <w:rPr>
          <w:lang w:val="fr-FR"/>
        </w:rPr>
        <w:t>programmes de travail assortis d’échéances sont établis, adoptés et mis en œuvre pour</w:t>
      </w:r>
      <w:r w:rsidR="00A50629" w:rsidRPr="00F1660D">
        <w:rPr>
          <w:lang w:val="fr-FR"/>
        </w:rPr>
        <w:t xml:space="preserve"> les </w:t>
      </w:r>
      <w:r w:rsidRPr="00F1660D">
        <w:rPr>
          <w:lang w:val="fr-FR"/>
        </w:rPr>
        <w:t>questions définies comme préoccupantes.</w:t>
      </w:r>
    </w:p>
    <w:p w14:paraId="0F39BCE6" w14:textId="211B5E81" w:rsidR="001420CF" w:rsidRPr="00F1660D" w:rsidRDefault="001420CF" w:rsidP="001420CF">
      <w:pPr>
        <w:pStyle w:val="NormalNonumber"/>
        <w:rPr>
          <w:rFonts w:asciiTheme="majorBidi" w:hAnsiTheme="majorBidi" w:cstheme="majorBidi"/>
          <w:lang w:val="fr-FR"/>
        </w:rPr>
      </w:pPr>
      <w:r w:rsidRPr="00F1660D">
        <w:rPr>
          <w:b/>
          <w:bCs/>
          <w:lang w:val="fr-FR"/>
        </w:rPr>
        <w:t>Cible C.2 :</w:t>
      </w:r>
      <w:r w:rsidR="00A50629" w:rsidRPr="00F1660D">
        <w:rPr>
          <w:lang w:val="fr-FR"/>
        </w:rPr>
        <w:t xml:space="preserve"> Des </w:t>
      </w:r>
      <w:r w:rsidRPr="00F1660D">
        <w:rPr>
          <w:lang w:val="fr-FR"/>
        </w:rPr>
        <w:t>informations concernant</w:t>
      </w:r>
      <w:r w:rsidR="00A50629" w:rsidRPr="00F1660D">
        <w:rPr>
          <w:lang w:val="fr-FR"/>
        </w:rPr>
        <w:t xml:space="preserve"> les </w:t>
      </w:r>
      <w:r w:rsidRPr="00F1660D">
        <w:rPr>
          <w:lang w:val="fr-FR"/>
        </w:rPr>
        <w:t>propriétés et</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risques</w:t>
      </w:r>
      <w:r w:rsidR="00A50629" w:rsidRPr="00F1660D">
        <w:rPr>
          <w:lang w:val="fr-FR"/>
        </w:rPr>
        <w:t xml:space="preserve"> des </w:t>
      </w:r>
      <w:r w:rsidRPr="00F1660D">
        <w:rPr>
          <w:lang w:val="fr-FR"/>
        </w:rPr>
        <w:t>produits chimiques dans toute</w:t>
      </w:r>
      <w:r w:rsidR="00A50629" w:rsidRPr="00F1660D">
        <w:rPr>
          <w:lang w:val="fr-FR"/>
        </w:rPr>
        <w:t xml:space="preserve"> la </w:t>
      </w:r>
      <w:r w:rsidRPr="00F1660D">
        <w:rPr>
          <w:lang w:val="fr-FR"/>
        </w:rPr>
        <w:t>chaîne d’approvisionnement, ainsi que</w:t>
      </w:r>
      <w:r w:rsidR="00A50629" w:rsidRPr="00F1660D">
        <w:rPr>
          <w:lang w:val="fr-FR"/>
        </w:rPr>
        <w:t xml:space="preserve"> la </w:t>
      </w:r>
      <w:r w:rsidRPr="00F1660D">
        <w:rPr>
          <w:lang w:val="fr-FR"/>
        </w:rPr>
        <w:t>composition chimique</w:t>
      </w:r>
      <w:r w:rsidR="00A50629" w:rsidRPr="00F1660D">
        <w:rPr>
          <w:lang w:val="fr-FR"/>
        </w:rPr>
        <w:t xml:space="preserve"> des </w:t>
      </w:r>
      <w:r w:rsidRPr="00F1660D">
        <w:rPr>
          <w:lang w:val="fr-FR"/>
        </w:rPr>
        <w:t>produits, sont à</w:t>
      </w:r>
      <w:r w:rsidR="00A50629" w:rsidRPr="00F1660D">
        <w:rPr>
          <w:lang w:val="fr-FR"/>
        </w:rPr>
        <w:t xml:space="preserve"> la </w:t>
      </w:r>
      <w:r w:rsidRPr="00F1660D">
        <w:rPr>
          <w:lang w:val="fr-FR"/>
        </w:rPr>
        <w:t xml:space="preserve">disposition de tous pour permettre une prise de décisions en connaissance de cause. </w:t>
      </w:r>
    </w:p>
    <w:p w14:paraId="35108378" w14:textId="77777777" w:rsidR="001420CF" w:rsidRPr="00F1660D" w:rsidRDefault="001420CF" w:rsidP="001420CF">
      <w:pPr>
        <w:pStyle w:val="CH3"/>
        <w:spacing w:before="240"/>
        <w:rPr>
          <w:rFonts w:asciiTheme="majorBidi" w:hAnsiTheme="majorBidi" w:cstheme="majorBidi"/>
          <w:b w:val="0"/>
          <w:bCs/>
          <w:lang w:val="fr-FR"/>
        </w:rPr>
      </w:pPr>
      <w:r w:rsidRPr="00F1660D">
        <w:rPr>
          <w:bCs/>
          <w:lang w:val="fr-FR"/>
        </w:rPr>
        <w:tab/>
      </w:r>
      <w:r w:rsidRPr="00F1660D">
        <w:rPr>
          <w:bCs/>
          <w:lang w:val="fr-FR"/>
        </w:rPr>
        <w:tab/>
        <w:t xml:space="preserve">Cibles de l’objectif stratégique D : </w:t>
      </w:r>
    </w:p>
    <w:p w14:paraId="55906A1C" w14:textId="5CE472EF" w:rsidR="001420CF" w:rsidRPr="00F1660D" w:rsidRDefault="001420CF" w:rsidP="001420CF">
      <w:pPr>
        <w:pStyle w:val="NormalNonumber"/>
        <w:rPr>
          <w:rFonts w:asciiTheme="majorBidi" w:hAnsiTheme="majorBidi" w:cstheme="majorBidi"/>
          <w:bCs/>
          <w:lang w:val="fr-FR"/>
        </w:rPr>
      </w:pPr>
      <w:r w:rsidRPr="00F1660D">
        <w:rPr>
          <w:b/>
          <w:bCs/>
          <w:lang w:val="fr-FR"/>
        </w:rPr>
        <w:t>Cible D.1 :</w:t>
      </w:r>
      <w:r w:rsidR="00A50629" w:rsidRPr="00F1660D">
        <w:rPr>
          <w:lang w:val="fr-FR"/>
        </w:rPr>
        <w:t xml:space="preserve"> Les </w:t>
      </w:r>
      <w:r w:rsidRPr="00F1660D">
        <w:rPr>
          <w:lang w:val="fr-FR"/>
        </w:rPr>
        <w:t>entreprises adoptent</w:t>
      </w:r>
      <w:r w:rsidR="00A50629" w:rsidRPr="00F1660D">
        <w:rPr>
          <w:lang w:val="fr-FR"/>
        </w:rPr>
        <w:t xml:space="preserve"> des </w:t>
      </w:r>
      <w:r w:rsidRPr="00F1660D">
        <w:rPr>
          <w:lang w:val="fr-FR"/>
        </w:rPr>
        <w:t>politiques et pratiques internes qui favorisent l’utilisation efficace</w:t>
      </w:r>
      <w:r w:rsidR="00A50629" w:rsidRPr="00F1660D">
        <w:rPr>
          <w:lang w:val="fr-FR"/>
        </w:rPr>
        <w:t xml:space="preserve"> des </w:t>
      </w:r>
      <w:r w:rsidRPr="00F1660D">
        <w:rPr>
          <w:lang w:val="fr-FR"/>
        </w:rPr>
        <w:t>ressources et qui incorporent</w:t>
      </w:r>
      <w:r w:rsidR="00A50629" w:rsidRPr="00F1660D">
        <w:rPr>
          <w:lang w:val="fr-FR"/>
        </w:rPr>
        <w:t xml:space="preserve"> le </w:t>
      </w:r>
      <w:r w:rsidRPr="00F1660D">
        <w:rPr>
          <w:lang w:val="fr-FR"/>
        </w:rPr>
        <w:t>développement,</w:t>
      </w:r>
      <w:r w:rsidR="00A50629" w:rsidRPr="00F1660D">
        <w:rPr>
          <w:lang w:val="fr-FR"/>
        </w:rPr>
        <w:t xml:space="preserve"> la </w:t>
      </w:r>
      <w:r w:rsidRPr="00F1660D">
        <w:rPr>
          <w:lang w:val="fr-FR"/>
        </w:rPr>
        <w:t>production et l’utilisation de solutions de remplacement plus sûres et durables,</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nouvelles technologies et</w:t>
      </w:r>
      <w:r w:rsidR="00A50629" w:rsidRPr="00F1660D">
        <w:rPr>
          <w:lang w:val="fr-FR"/>
        </w:rPr>
        <w:t xml:space="preserve"> les </w:t>
      </w:r>
      <w:r w:rsidRPr="00F1660D">
        <w:rPr>
          <w:lang w:val="fr-FR"/>
        </w:rPr>
        <w:t xml:space="preserve">solutions de remplacement non chimiques. </w:t>
      </w:r>
    </w:p>
    <w:p w14:paraId="20439402" w14:textId="5E01681D" w:rsidR="001420CF" w:rsidRPr="00F1660D" w:rsidRDefault="001420CF" w:rsidP="001420CF">
      <w:pPr>
        <w:pStyle w:val="NormalNonumber"/>
        <w:rPr>
          <w:rFonts w:asciiTheme="majorBidi" w:hAnsiTheme="majorBidi" w:cstheme="majorBidi"/>
          <w:bCs/>
          <w:lang w:val="fr-FR"/>
        </w:rPr>
      </w:pPr>
      <w:r w:rsidRPr="00F1660D">
        <w:rPr>
          <w:b/>
          <w:bCs/>
          <w:lang w:val="fr-FR"/>
        </w:rPr>
        <w:t>Cible D.2 :</w:t>
      </w:r>
      <w:r w:rsidR="00A50629" w:rsidRPr="00F1660D">
        <w:rPr>
          <w:b/>
          <w:bCs/>
          <w:lang w:val="fr-FR"/>
        </w:rPr>
        <w:t xml:space="preserve"> Les </w:t>
      </w:r>
      <w:r w:rsidRPr="00F1660D">
        <w:rPr>
          <w:lang w:val="fr-FR"/>
        </w:rPr>
        <w:t>gouvernements mettent en œuvre</w:t>
      </w:r>
      <w:r w:rsidR="00A50629" w:rsidRPr="00F1660D">
        <w:rPr>
          <w:lang w:val="fr-FR"/>
        </w:rPr>
        <w:t xml:space="preserve"> des </w:t>
      </w:r>
      <w:r w:rsidRPr="00F1660D">
        <w:rPr>
          <w:lang w:val="fr-FR"/>
        </w:rPr>
        <w:t>politiques qui favorisent l’innovation pour faciliter</w:t>
      </w:r>
      <w:r w:rsidR="00A50629" w:rsidRPr="00F1660D">
        <w:rPr>
          <w:lang w:val="fr-FR"/>
        </w:rPr>
        <w:t xml:space="preserve"> le </w:t>
      </w:r>
      <w:r w:rsidRPr="00F1660D">
        <w:rPr>
          <w:lang w:val="fr-FR"/>
        </w:rPr>
        <w:t>recyclage et</w:t>
      </w:r>
      <w:r w:rsidR="00A50629" w:rsidRPr="00F1660D">
        <w:rPr>
          <w:lang w:val="fr-FR"/>
        </w:rPr>
        <w:t xml:space="preserve"> la </w:t>
      </w:r>
      <w:r w:rsidRPr="00F1660D">
        <w:rPr>
          <w:lang w:val="fr-FR"/>
        </w:rPr>
        <w:t>réutilisation</w:t>
      </w:r>
      <w:r w:rsidR="00A50629" w:rsidRPr="00F1660D">
        <w:rPr>
          <w:lang w:val="fr-FR"/>
        </w:rPr>
        <w:t xml:space="preserve"> des </w:t>
      </w:r>
      <w:r w:rsidRPr="00F1660D">
        <w:rPr>
          <w:lang w:val="fr-FR"/>
        </w:rPr>
        <w:t>produits, l’adoption de solutions de remplacement sûres et durables,</w:t>
      </w:r>
      <w:r w:rsidR="00A50629" w:rsidRPr="00F1660D">
        <w:rPr>
          <w:lang w:val="fr-FR"/>
        </w:rPr>
        <w:t xml:space="preserve"> y </w:t>
      </w:r>
      <w:r w:rsidRPr="00F1660D">
        <w:rPr>
          <w:lang w:val="fr-FR"/>
        </w:rPr>
        <w:t>compris</w:t>
      </w:r>
      <w:r w:rsidR="00A50629" w:rsidRPr="00F1660D">
        <w:rPr>
          <w:lang w:val="fr-FR"/>
        </w:rPr>
        <w:t xml:space="preserve"> les </w:t>
      </w:r>
      <w:r w:rsidRPr="00F1660D">
        <w:rPr>
          <w:lang w:val="fr-FR"/>
        </w:rPr>
        <w:t>nouvelles technologies et</w:t>
      </w:r>
      <w:r w:rsidR="00A50629" w:rsidRPr="00F1660D">
        <w:rPr>
          <w:lang w:val="fr-FR"/>
        </w:rPr>
        <w:t xml:space="preserve"> les </w:t>
      </w:r>
      <w:r w:rsidRPr="00F1660D">
        <w:rPr>
          <w:lang w:val="fr-FR"/>
        </w:rPr>
        <w:t>solutions de remplacement non chimiques (par exemple, octroi prioritaire de licences aux solutions de remplacement présentant</w:t>
      </w:r>
      <w:r w:rsidR="00A50629" w:rsidRPr="00F1660D">
        <w:rPr>
          <w:lang w:val="fr-FR"/>
        </w:rPr>
        <w:t xml:space="preserve"> des </w:t>
      </w:r>
      <w:r w:rsidRPr="00F1660D">
        <w:rPr>
          <w:lang w:val="fr-FR"/>
        </w:rPr>
        <w:t xml:space="preserve">risques réduits, cadres d’évaluation, systèmes d’étiquetage et politiques d’achat). </w:t>
      </w:r>
    </w:p>
    <w:p w14:paraId="5B91D06A" w14:textId="7091B08F" w:rsidR="001420CF" w:rsidRPr="00F1660D" w:rsidRDefault="001420CF" w:rsidP="001420CF">
      <w:pPr>
        <w:pStyle w:val="NormalNonumber"/>
        <w:rPr>
          <w:rFonts w:asciiTheme="majorBidi" w:hAnsiTheme="majorBidi" w:cstheme="majorBidi"/>
          <w:bCs/>
          <w:lang w:val="fr-FR"/>
        </w:rPr>
      </w:pPr>
      <w:r w:rsidRPr="00F1660D">
        <w:rPr>
          <w:b/>
          <w:bCs/>
          <w:lang w:val="fr-FR"/>
        </w:rPr>
        <w:t>Cible D.3 :</w:t>
      </w:r>
      <w:r w:rsidR="00A50629" w:rsidRPr="00F1660D">
        <w:rPr>
          <w:b/>
          <w:bCs/>
          <w:lang w:val="fr-FR"/>
        </w:rPr>
        <w:t xml:space="preserve"> Les </w:t>
      </w:r>
      <w:r w:rsidRPr="00F1660D">
        <w:rPr>
          <w:lang w:val="fr-FR"/>
        </w:rPr>
        <w:t>entreprises,</w:t>
      </w:r>
      <w:r w:rsidR="00A50629" w:rsidRPr="00F1660D">
        <w:rPr>
          <w:lang w:val="fr-FR"/>
        </w:rPr>
        <w:t xml:space="preserve"> y </w:t>
      </w:r>
      <w:r w:rsidRPr="00F1660D">
        <w:rPr>
          <w:lang w:val="fr-FR"/>
        </w:rPr>
        <w:t>compris dans</w:t>
      </w:r>
      <w:r w:rsidR="00A50629" w:rsidRPr="00F1660D">
        <w:rPr>
          <w:lang w:val="fr-FR"/>
        </w:rPr>
        <w:t xml:space="preserve"> le </w:t>
      </w:r>
      <w:r w:rsidRPr="00F1660D">
        <w:rPr>
          <w:lang w:val="fr-FR"/>
        </w:rPr>
        <w:t>secteur</w:t>
      </w:r>
      <w:r w:rsidR="00A50629" w:rsidRPr="00F1660D">
        <w:rPr>
          <w:lang w:val="fr-FR"/>
        </w:rPr>
        <w:t xml:space="preserve"> des </w:t>
      </w:r>
      <w:r w:rsidRPr="00F1660D">
        <w:rPr>
          <w:lang w:val="fr-FR"/>
        </w:rPr>
        <w:t>investissements, incorporent</w:t>
      </w:r>
      <w:r w:rsidR="00A50629" w:rsidRPr="00F1660D">
        <w:rPr>
          <w:lang w:val="fr-FR"/>
        </w:rPr>
        <w:t xml:space="preserve"> des </w:t>
      </w:r>
      <w:r w:rsidRPr="00F1660D">
        <w:rPr>
          <w:lang w:val="fr-FR"/>
        </w:rPr>
        <w:t>stratégies et politiques visant à faciliter</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dans leurs méthodes d’investissement et leurs modèles commerciaux et appliquent</w:t>
      </w:r>
      <w:r w:rsidR="00A50629" w:rsidRPr="00F1660D">
        <w:rPr>
          <w:lang w:val="fr-FR"/>
        </w:rPr>
        <w:t xml:space="preserve"> des </w:t>
      </w:r>
      <w:r w:rsidRPr="00F1660D">
        <w:rPr>
          <w:lang w:val="fr-FR"/>
        </w:rPr>
        <w:t>normes d’information reconnues sur</w:t>
      </w:r>
      <w:r w:rsidR="00A50629" w:rsidRPr="00F1660D">
        <w:rPr>
          <w:lang w:val="fr-FR"/>
        </w:rPr>
        <w:t xml:space="preserve"> le </w:t>
      </w:r>
      <w:r w:rsidRPr="00F1660D">
        <w:rPr>
          <w:lang w:val="fr-FR"/>
        </w:rPr>
        <w:t>plan international,</w:t>
      </w:r>
      <w:r w:rsidR="00A50629" w:rsidRPr="00F1660D">
        <w:rPr>
          <w:lang w:val="fr-FR"/>
        </w:rPr>
        <w:t xml:space="preserve"> le </w:t>
      </w:r>
      <w:r w:rsidRPr="00F1660D">
        <w:rPr>
          <w:lang w:val="fr-FR"/>
        </w:rPr>
        <w:t>cas échéant.</w:t>
      </w:r>
    </w:p>
    <w:p w14:paraId="03F55B7D" w14:textId="0EB2673F" w:rsidR="001420CF" w:rsidRPr="00F1660D" w:rsidRDefault="001420CF" w:rsidP="001420CF">
      <w:pPr>
        <w:pStyle w:val="NormalNonumber"/>
        <w:rPr>
          <w:rFonts w:asciiTheme="majorBidi" w:hAnsiTheme="majorBidi" w:cstheme="majorBidi"/>
          <w:bCs/>
          <w:lang w:val="fr-FR"/>
        </w:rPr>
      </w:pPr>
      <w:r w:rsidRPr="00F1660D">
        <w:rPr>
          <w:b/>
          <w:bCs/>
          <w:lang w:val="fr-FR"/>
        </w:rPr>
        <w:t>Cible D.4 :</w:t>
      </w:r>
      <w:r w:rsidR="00A50629" w:rsidRPr="00F1660D">
        <w:rPr>
          <w:lang w:val="fr-FR"/>
        </w:rPr>
        <w:t xml:space="preserve"> Les </w:t>
      </w:r>
      <w:r w:rsidRPr="00F1660D">
        <w:rPr>
          <w:lang w:val="fr-FR"/>
        </w:rPr>
        <w:t>entreprises appliquent</w:t>
      </w:r>
      <w:r w:rsidR="00A50629" w:rsidRPr="00F1660D">
        <w:rPr>
          <w:lang w:val="fr-FR"/>
        </w:rPr>
        <w:t xml:space="preserve"> des </w:t>
      </w:r>
      <w:r w:rsidRPr="00F1660D">
        <w:rPr>
          <w:lang w:val="fr-FR"/>
        </w:rPr>
        <w:t>principes de production durable et une gestion fondée sur</w:t>
      </w:r>
      <w:r w:rsidR="00A50629" w:rsidRPr="00F1660D">
        <w:rPr>
          <w:lang w:val="fr-FR"/>
        </w:rPr>
        <w:t xml:space="preserve"> le </w:t>
      </w:r>
      <w:r w:rsidRPr="00F1660D">
        <w:rPr>
          <w:lang w:val="fr-FR"/>
        </w:rPr>
        <w:t>cycle de vie dans</w:t>
      </w:r>
      <w:r w:rsidR="00A50629" w:rsidRPr="00F1660D">
        <w:rPr>
          <w:lang w:val="fr-FR"/>
        </w:rPr>
        <w:t xml:space="preserve"> la </w:t>
      </w:r>
      <w:r w:rsidRPr="00F1660D">
        <w:rPr>
          <w:lang w:val="fr-FR"/>
        </w:rPr>
        <w:t>conception</w:t>
      </w:r>
      <w:r w:rsidR="00A50629" w:rsidRPr="00F1660D">
        <w:rPr>
          <w:lang w:val="fr-FR"/>
        </w:rPr>
        <w:t xml:space="preserve"> des </w:t>
      </w:r>
      <w:r w:rsidRPr="00F1660D">
        <w:rPr>
          <w:lang w:val="fr-FR"/>
        </w:rPr>
        <w:t>produits chimiques,</w:t>
      </w:r>
      <w:r w:rsidR="00A50629" w:rsidRPr="00F1660D">
        <w:rPr>
          <w:lang w:val="fr-FR"/>
        </w:rPr>
        <w:t xml:space="preserve"> des </w:t>
      </w:r>
      <w:r w:rsidRPr="00F1660D">
        <w:rPr>
          <w:lang w:val="fr-FR"/>
        </w:rPr>
        <w:t>matériaux et</w:t>
      </w:r>
      <w:r w:rsidR="00A50629" w:rsidRPr="00F1660D">
        <w:rPr>
          <w:lang w:val="fr-FR"/>
        </w:rPr>
        <w:t xml:space="preserve"> des </w:t>
      </w:r>
      <w:r w:rsidRPr="00F1660D">
        <w:rPr>
          <w:lang w:val="fr-FR"/>
        </w:rPr>
        <w:t>produits, en prenant en considération</w:t>
      </w:r>
      <w:r w:rsidR="00A50629" w:rsidRPr="00F1660D">
        <w:rPr>
          <w:lang w:val="fr-FR"/>
        </w:rPr>
        <w:t xml:space="preserve"> les </w:t>
      </w:r>
      <w:r w:rsidRPr="00F1660D">
        <w:rPr>
          <w:lang w:val="fr-FR"/>
        </w:rPr>
        <w:t>solutions et procédés présentant un risque réduit, non chimiques et conçus pour</w:t>
      </w:r>
      <w:r w:rsidR="00A50629" w:rsidRPr="00F1660D">
        <w:rPr>
          <w:lang w:val="fr-FR"/>
        </w:rPr>
        <w:t xml:space="preserve"> le </w:t>
      </w:r>
      <w:r w:rsidRPr="00F1660D">
        <w:rPr>
          <w:lang w:val="fr-FR"/>
        </w:rPr>
        <w:t>recyclage.</w:t>
      </w:r>
    </w:p>
    <w:p w14:paraId="76C369E1" w14:textId="6C95EB77" w:rsidR="001420CF" w:rsidRPr="00F1660D" w:rsidRDefault="001420CF" w:rsidP="001420CF">
      <w:pPr>
        <w:pStyle w:val="NormalNonumber"/>
        <w:rPr>
          <w:rFonts w:asciiTheme="majorBidi" w:hAnsiTheme="majorBidi" w:cstheme="majorBidi"/>
          <w:bCs/>
          <w:lang w:val="fr-FR"/>
        </w:rPr>
      </w:pPr>
      <w:r w:rsidRPr="00F1660D">
        <w:rPr>
          <w:b/>
          <w:bCs/>
          <w:lang w:val="fr-FR"/>
        </w:rPr>
        <w:t>Cible D.5 :</w:t>
      </w:r>
      <w:r w:rsidR="00A50629" w:rsidRPr="00F1660D">
        <w:rPr>
          <w:b/>
          <w:bCs/>
          <w:lang w:val="fr-FR"/>
        </w:rPr>
        <w:t xml:space="preserve"> Les </w:t>
      </w:r>
      <w:r w:rsidRPr="00F1660D">
        <w:rPr>
          <w:lang w:val="fr-FR"/>
        </w:rPr>
        <w:t>associations professionnelles encouragent</w:t>
      </w:r>
      <w:r w:rsidR="00A50629" w:rsidRPr="00F1660D">
        <w:rPr>
          <w:lang w:val="fr-FR"/>
        </w:rPr>
        <w:t xml:space="preserve"> le </w:t>
      </w:r>
      <w:r w:rsidRPr="00F1660D">
        <w:rPr>
          <w:lang w:val="fr-FR"/>
        </w:rPr>
        <w:t>changement vers</w:t>
      </w:r>
      <w:r w:rsidR="00A50629" w:rsidRPr="00F1660D">
        <w:rPr>
          <w:lang w:val="fr-FR"/>
        </w:rPr>
        <w:t xml:space="preserve"> la </w:t>
      </w:r>
      <w:r w:rsidRPr="00F1660D">
        <w:rPr>
          <w:lang w:val="fr-FR"/>
        </w:rPr>
        <w:t>durabilité et</w:t>
      </w:r>
      <w:r w:rsidR="00A50629" w:rsidRPr="00F1660D">
        <w:rPr>
          <w:lang w:val="fr-FR"/>
        </w:rPr>
        <w:t xml:space="preserve"> la </w:t>
      </w:r>
      <w:r w:rsidRPr="00F1660D">
        <w:rPr>
          <w:lang w:val="fr-FR"/>
        </w:rPr>
        <w:t>gestion sûre</w:t>
      </w:r>
      <w:r w:rsidR="00A50629" w:rsidRPr="00F1660D">
        <w:rPr>
          <w:lang w:val="fr-FR"/>
        </w:rPr>
        <w:t xml:space="preserve"> des </w:t>
      </w:r>
      <w:r w:rsidRPr="00F1660D">
        <w:rPr>
          <w:lang w:val="fr-FR"/>
        </w:rPr>
        <w:t>déchets et</w:t>
      </w:r>
      <w:r w:rsidR="00A50629" w:rsidRPr="00F1660D">
        <w:rPr>
          <w:lang w:val="fr-FR"/>
        </w:rPr>
        <w:t xml:space="preserve"> des </w:t>
      </w:r>
      <w:r w:rsidRPr="00F1660D">
        <w:rPr>
          <w:lang w:val="fr-FR"/>
        </w:rPr>
        <w:t>produits chimiques ainsi que</w:t>
      </w:r>
      <w:r w:rsidR="00A50629" w:rsidRPr="00F1660D">
        <w:rPr>
          <w:lang w:val="fr-FR"/>
        </w:rPr>
        <w:t xml:space="preserve"> des </w:t>
      </w:r>
      <w:r w:rsidRPr="00F1660D">
        <w:rPr>
          <w:lang w:val="fr-FR"/>
        </w:rPr>
        <w:t>produits de consommation tout</w:t>
      </w:r>
      <w:r w:rsidR="00A50629" w:rsidRPr="00F1660D">
        <w:rPr>
          <w:lang w:val="fr-FR"/>
        </w:rPr>
        <w:t xml:space="preserve"> au </w:t>
      </w:r>
      <w:r w:rsidRPr="00F1660D">
        <w:rPr>
          <w:lang w:val="fr-FR"/>
        </w:rPr>
        <w:t>long de leur cycle de vie, en recourant notamment à l’échange d’informations et</w:t>
      </w:r>
      <w:r w:rsidR="00A50629" w:rsidRPr="00F1660D">
        <w:rPr>
          <w:lang w:val="fr-FR"/>
        </w:rPr>
        <w:t xml:space="preserve"> au </w:t>
      </w:r>
      <w:r w:rsidRPr="00F1660D">
        <w:rPr>
          <w:lang w:val="fr-FR"/>
        </w:rPr>
        <w:t>renforcement</w:t>
      </w:r>
      <w:r w:rsidR="00A50629" w:rsidRPr="00F1660D">
        <w:rPr>
          <w:lang w:val="fr-FR"/>
        </w:rPr>
        <w:t xml:space="preserve"> des </w:t>
      </w:r>
      <w:r w:rsidRPr="00F1660D">
        <w:rPr>
          <w:lang w:val="fr-FR"/>
        </w:rPr>
        <w:t>capacités</w:t>
      </w:r>
      <w:r w:rsidR="00A50629" w:rsidRPr="00F1660D">
        <w:rPr>
          <w:lang w:val="fr-FR"/>
        </w:rPr>
        <w:t xml:space="preserve"> des </w:t>
      </w:r>
      <w:r w:rsidRPr="00F1660D">
        <w:rPr>
          <w:lang w:val="fr-FR"/>
        </w:rPr>
        <w:t>petites et moyennes entreprises afin de réduire</w:t>
      </w:r>
      <w:r w:rsidR="00A50629" w:rsidRPr="00F1660D">
        <w:rPr>
          <w:lang w:val="fr-FR"/>
        </w:rPr>
        <w:t xml:space="preserve"> les </w:t>
      </w:r>
      <w:r w:rsidRPr="00F1660D">
        <w:rPr>
          <w:lang w:val="fr-FR"/>
        </w:rPr>
        <w:t>risques.</w:t>
      </w:r>
    </w:p>
    <w:p w14:paraId="41C1C1AB" w14:textId="77777777" w:rsidR="001420CF" w:rsidRPr="00F1660D" w:rsidRDefault="001420CF" w:rsidP="001420CF">
      <w:pPr>
        <w:pStyle w:val="CH3"/>
        <w:spacing w:before="240"/>
        <w:rPr>
          <w:rFonts w:asciiTheme="majorBidi" w:hAnsiTheme="majorBidi" w:cstheme="majorBidi"/>
          <w:b w:val="0"/>
          <w:bCs/>
          <w:lang w:val="fr-FR"/>
        </w:rPr>
      </w:pPr>
      <w:r w:rsidRPr="00F1660D">
        <w:rPr>
          <w:bCs/>
          <w:lang w:val="fr-FR"/>
        </w:rPr>
        <w:tab/>
      </w:r>
      <w:r w:rsidRPr="00F1660D">
        <w:rPr>
          <w:bCs/>
          <w:lang w:val="fr-FR"/>
        </w:rPr>
        <w:tab/>
        <w:t>Cibles de l’objectif stratégique E :</w:t>
      </w:r>
      <w:r w:rsidRPr="00F1660D">
        <w:rPr>
          <w:lang w:val="fr-FR"/>
        </w:rPr>
        <w:t xml:space="preserve"> </w:t>
      </w:r>
    </w:p>
    <w:p w14:paraId="412F8A5F" w14:textId="7BF78786" w:rsidR="001420CF" w:rsidRPr="00F1660D" w:rsidRDefault="001420CF" w:rsidP="001420CF">
      <w:pPr>
        <w:pStyle w:val="NormalNonumber"/>
        <w:rPr>
          <w:rFonts w:asciiTheme="majorBidi" w:hAnsiTheme="majorBidi" w:cstheme="majorBidi"/>
          <w:bCs/>
          <w:lang w:val="fr-FR"/>
        </w:rPr>
      </w:pPr>
      <w:r w:rsidRPr="00F1660D">
        <w:rPr>
          <w:b/>
          <w:bCs/>
          <w:lang w:val="fr-FR"/>
        </w:rPr>
        <w:t>Cible E.1 :</w:t>
      </w:r>
      <w:r w:rsidR="00A50629" w:rsidRPr="00F1660D">
        <w:rPr>
          <w:lang w:val="fr-FR"/>
        </w:rPr>
        <w:t xml:space="preserve"> Les </w:t>
      </w:r>
      <w:r w:rsidRPr="00F1660D">
        <w:rPr>
          <w:lang w:val="fr-FR"/>
        </w:rPr>
        <w:t>niveaux</w:t>
      </w:r>
      <w:r w:rsidR="00A50629" w:rsidRPr="00F1660D">
        <w:rPr>
          <w:lang w:val="fr-FR"/>
        </w:rPr>
        <w:t xml:space="preserve"> les </w:t>
      </w:r>
      <w:r w:rsidRPr="00F1660D">
        <w:rPr>
          <w:lang w:val="fr-FR"/>
        </w:rPr>
        <w:t>plus élevés</w:t>
      </w:r>
      <w:r w:rsidR="00A50629" w:rsidRPr="00F1660D">
        <w:rPr>
          <w:lang w:val="fr-FR"/>
        </w:rPr>
        <w:t xml:space="preserve"> des </w:t>
      </w:r>
      <w:r w:rsidRPr="00F1660D">
        <w:rPr>
          <w:lang w:val="fr-FR"/>
        </w:rPr>
        <w:t>organisations de parties prenantes, notamment</w:t>
      </w:r>
      <w:r w:rsidR="00A50629" w:rsidRPr="00F1660D">
        <w:rPr>
          <w:lang w:val="fr-FR"/>
        </w:rPr>
        <w:t xml:space="preserve"> le </w:t>
      </w:r>
      <w:r w:rsidRPr="00F1660D">
        <w:rPr>
          <w:lang w:val="fr-FR"/>
        </w:rPr>
        <w:t>gouvernement, l’industrie,</w:t>
      </w:r>
      <w:r w:rsidR="00A50629" w:rsidRPr="00F1660D">
        <w:rPr>
          <w:lang w:val="fr-FR"/>
        </w:rPr>
        <w:t xml:space="preserve"> la </w:t>
      </w:r>
      <w:r w:rsidRPr="00F1660D">
        <w:rPr>
          <w:lang w:val="fr-FR"/>
        </w:rPr>
        <w:t>société civile et</w:t>
      </w:r>
      <w:r w:rsidR="00A50629" w:rsidRPr="00F1660D">
        <w:rPr>
          <w:lang w:val="fr-FR"/>
        </w:rPr>
        <w:t xml:space="preserve"> les </w:t>
      </w:r>
      <w:r w:rsidRPr="00F1660D">
        <w:rPr>
          <w:lang w:val="fr-FR"/>
        </w:rPr>
        <w:t>organisations internationales dans tous</w:t>
      </w:r>
      <w:r w:rsidR="00A50629" w:rsidRPr="00F1660D">
        <w:rPr>
          <w:lang w:val="fr-FR"/>
        </w:rPr>
        <w:t xml:space="preserve"> les </w:t>
      </w:r>
      <w:r w:rsidRPr="00F1660D">
        <w:rPr>
          <w:lang w:val="fr-FR"/>
        </w:rPr>
        <w:t>secteurs concernés</w:t>
      </w:r>
      <w:r w:rsidR="00060D00" w:rsidRPr="00F1660D">
        <w:rPr>
          <w:lang w:val="fr-FR"/>
        </w:rPr>
        <w:t>,</w:t>
      </w:r>
      <w:r w:rsidRPr="00F1660D">
        <w:rPr>
          <w:lang w:val="fr-FR"/>
        </w:rPr>
        <w:t xml:space="preserve"> reconnaissent formellement qu’il est essentiel d’agir dans</w:t>
      </w:r>
      <w:r w:rsidR="00A50629" w:rsidRPr="00F1660D">
        <w:rPr>
          <w:lang w:val="fr-FR"/>
        </w:rPr>
        <w:t xml:space="preserve"> le </w:t>
      </w:r>
      <w:r w:rsidRPr="00F1660D">
        <w:rPr>
          <w:lang w:val="fr-FR"/>
        </w:rPr>
        <w:t>domaine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s’engagent à</w:t>
      </w:r>
      <w:r w:rsidR="00A50629" w:rsidRPr="00F1660D">
        <w:rPr>
          <w:lang w:val="fr-FR"/>
        </w:rPr>
        <w:t xml:space="preserve"> le </w:t>
      </w:r>
      <w:r w:rsidRPr="00F1660D">
        <w:rPr>
          <w:lang w:val="fr-FR"/>
        </w:rPr>
        <w:t>faire et confirment</w:t>
      </w:r>
      <w:r w:rsidR="00A50629" w:rsidRPr="00F1660D">
        <w:rPr>
          <w:lang w:val="fr-FR"/>
        </w:rPr>
        <w:t xml:space="preserve"> la </w:t>
      </w:r>
      <w:r w:rsidRPr="00F1660D">
        <w:rPr>
          <w:lang w:val="fr-FR"/>
        </w:rPr>
        <w:t>pertinence d’une telle gestion pour</w:t>
      </w:r>
      <w:r w:rsidR="00A50629" w:rsidRPr="00F1660D">
        <w:rPr>
          <w:lang w:val="fr-FR"/>
        </w:rPr>
        <w:t xml:space="preserve"> le </w:t>
      </w:r>
      <w:r w:rsidRPr="00F1660D">
        <w:rPr>
          <w:lang w:val="fr-FR"/>
        </w:rPr>
        <w:t>développement durable.</w:t>
      </w:r>
    </w:p>
    <w:p w14:paraId="57DC42C4" w14:textId="6591D59D" w:rsidR="001420CF" w:rsidRPr="00F1660D" w:rsidRDefault="001420CF" w:rsidP="001420CF">
      <w:pPr>
        <w:pStyle w:val="NormalNonumber"/>
        <w:rPr>
          <w:rFonts w:asciiTheme="majorBidi" w:hAnsiTheme="majorBidi" w:cstheme="majorBidi"/>
          <w:bCs/>
          <w:lang w:val="fr-FR"/>
        </w:rPr>
      </w:pPr>
      <w:r w:rsidRPr="00F1660D">
        <w:rPr>
          <w:b/>
          <w:bCs/>
          <w:lang w:val="fr-FR"/>
        </w:rPr>
        <w:t>Cible E.2 :</w:t>
      </w:r>
      <w:r w:rsidR="00A50629" w:rsidRPr="00F1660D">
        <w:rPr>
          <w:lang w:val="fr-FR"/>
        </w:rPr>
        <w:t xml:space="preserve"> Les </w:t>
      </w:r>
      <w:r w:rsidRPr="00F1660D">
        <w:rPr>
          <w:lang w:val="fr-FR"/>
        </w:rPr>
        <w:t>politiques et procédures de gestion</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sont intégrées dans</w:t>
      </w:r>
      <w:r w:rsidR="00A50629" w:rsidRPr="00F1660D">
        <w:rPr>
          <w:lang w:val="fr-FR"/>
        </w:rPr>
        <w:t xml:space="preserve"> les </w:t>
      </w:r>
      <w:r w:rsidRPr="00F1660D">
        <w:rPr>
          <w:lang w:val="fr-FR"/>
        </w:rPr>
        <w:t>stratégies de développement nationales et régionales.</w:t>
      </w:r>
    </w:p>
    <w:p w14:paraId="37FA3464" w14:textId="0DF32C2C" w:rsidR="001420CF" w:rsidRPr="00F1660D" w:rsidRDefault="001420CF" w:rsidP="001420CF">
      <w:pPr>
        <w:pStyle w:val="NormalNonumber"/>
        <w:rPr>
          <w:lang w:val="fr-FR"/>
        </w:rPr>
      </w:pPr>
      <w:r w:rsidRPr="00F1660D">
        <w:rPr>
          <w:b/>
          <w:bCs/>
          <w:lang w:val="fr-FR"/>
        </w:rPr>
        <w:t>Cible E.3 :</w:t>
      </w:r>
      <w:r w:rsidR="00A50629" w:rsidRPr="00F1660D">
        <w:rPr>
          <w:lang w:val="fr-FR"/>
        </w:rPr>
        <w:t xml:space="preserve"> Des </w:t>
      </w:r>
      <w:r w:rsidRPr="00F1660D">
        <w:rPr>
          <w:lang w:val="fr-FR"/>
        </w:rPr>
        <w:t xml:space="preserve">partenariats, réseaux et mécanismes de collaboration inter- et </w:t>
      </w:r>
      <w:proofErr w:type="spellStart"/>
      <w:r w:rsidRPr="00F1660D">
        <w:rPr>
          <w:lang w:val="fr-FR"/>
        </w:rPr>
        <w:t>intrasectoriels</w:t>
      </w:r>
      <w:proofErr w:type="spellEnd"/>
      <w:r w:rsidRPr="00F1660D">
        <w:rPr>
          <w:lang w:val="fr-FR"/>
        </w:rPr>
        <w:t xml:space="preserve"> sont mis en place aux fins de mobiliser</w:t>
      </w:r>
      <w:r w:rsidR="00A50629" w:rsidRPr="00F1660D">
        <w:rPr>
          <w:lang w:val="fr-FR"/>
        </w:rPr>
        <w:t xml:space="preserve"> les </w:t>
      </w:r>
      <w:r w:rsidRPr="00F1660D">
        <w:rPr>
          <w:lang w:val="fr-FR"/>
        </w:rPr>
        <w:t>ressources, de partager</w:t>
      </w:r>
      <w:r w:rsidR="00A50629" w:rsidRPr="00F1660D">
        <w:rPr>
          <w:lang w:val="fr-FR"/>
        </w:rPr>
        <w:t xml:space="preserve"> les </w:t>
      </w:r>
      <w:r w:rsidRPr="00F1660D">
        <w:rPr>
          <w:lang w:val="fr-FR"/>
        </w:rPr>
        <w:t>informations,</w:t>
      </w:r>
      <w:r w:rsidR="00A50629" w:rsidRPr="00F1660D">
        <w:rPr>
          <w:lang w:val="fr-FR"/>
        </w:rPr>
        <w:t xml:space="preserve"> les </w:t>
      </w:r>
      <w:r w:rsidRPr="00F1660D">
        <w:rPr>
          <w:lang w:val="fr-FR"/>
        </w:rPr>
        <w:t>expériences et</w:t>
      </w:r>
      <w:r w:rsidR="00A50629" w:rsidRPr="00F1660D">
        <w:rPr>
          <w:lang w:val="fr-FR"/>
        </w:rPr>
        <w:t xml:space="preserve"> les </w:t>
      </w:r>
      <w:r w:rsidRPr="00F1660D">
        <w:rPr>
          <w:lang w:val="fr-FR"/>
        </w:rPr>
        <w:t>enseignements tirés, et de promouvoir une action coordonnée aux niveaux régional et international.</w:t>
      </w:r>
    </w:p>
    <w:p w14:paraId="14B8BC58" w14:textId="543FF075" w:rsidR="001420CF" w:rsidRPr="00F1660D" w:rsidRDefault="001420CF" w:rsidP="001420CF">
      <w:pPr>
        <w:pStyle w:val="CH2"/>
        <w:rPr>
          <w:lang w:val="fr-FR"/>
        </w:rPr>
      </w:pPr>
      <w:r w:rsidRPr="00F1660D">
        <w:rPr>
          <w:lang w:val="fr-FR"/>
        </w:rPr>
        <w:tab/>
        <w:t>B.</w:t>
      </w:r>
      <w:r w:rsidRPr="00F1660D">
        <w:rPr>
          <w:lang w:val="fr-FR"/>
        </w:rPr>
        <w:tab/>
        <w:t>Autres recommandations visant à appuyer et/ou éclairer</w:t>
      </w:r>
      <w:r w:rsidR="00A50629" w:rsidRPr="00F1660D">
        <w:rPr>
          <w:lang w:val="fr-FR"/>
        </w:rPr>
        <w:t xml:space="preserve"> le </w:t>
      </w:r>
      <w:r w:rsidRPr="00F1660D">
        <w:rPr>
          <w:lang w:val="fr-FR"/>
        </w:rPr>
        <w:t>processus intersessions</w:t>
      </w:r>
    </w:p>
    <w:p w14:paraId="0E1E318C" w14:textId="4CB088D4" w:rsidR="001420CF" w:rsidRPr="00F1660D" w:rsidRDefault="001420CF" w:rsidP="001420CF">
      <w:pPr>
        <w:pStyle w:val="Normalnumber"/>
        <w:numPr>
          <w:ilvl w:val="0"/>
          <w:numId w:val="9"/>
        </w:numPr>
        <w:rPr>
          <w:rFonts w:eastAsia="Calibri"/>
          <w:lang w:val="fr-FR"/>
        </w:rPr>
      </w:pPr>
      <w:r w:rsidRPr="00F1660D">
        <w:rPr>
          <w:lang w:val="fr-FR"/>
        </w:rPr>
        <w:t>Nous recommandons, avec l’appui du secrétariat de l’Approche stratégique, sous réserve de</w:t>
      </w:r>
      <w:r w:rsidR="00A50629" w:rsidRPr="00F1660D">
        <w:rPr>
          <w:lang w:val="fr-FR"/>
        </w:rPr>
        <w:t xml:space="preserve"> la </w:t>
      </w:r>
      <w:r w:rsidRPr="00F1660D">
        <w:rPr>
          <w:lang w:val="fr-FR"/>
        </w:rPr>
        <w:t>disponibilité de ressources et en consultation avec</w:t>
      </w:r>
      <w:r w:rsidR="00A50629" w:rsidRPr="00F1660D">
        <w:rPr>
          <w:lang w:val="fr-FR"/>
        </w:rPr>
        <w:t xml:space="preserve"> le </w:t>
      </w:r>
      <w:r w:rsidRPr="00F1660D">
        <w:rPr>
          <w:lang w:val="fr-FR"/>
        </w:rPr>
        <w:t>Bureau, que</w:t>
      </w:r>
      <w:r w:rsidR="00A50629" w:rsidRPr="00F1660D">
        <w:rPr>
          <w:lang w:val="fr-FR"/>
        </w:rPr>
        <w:t xml:space="preserve"> la </w:t>
      </w:r>
      <w:r w:rsidRPr="00F1660D">
        <w:rPr>
          <w:lang w:val="fr-FR"/>
        </w:rPr>
        <w:t>coprésidence du processus intersessions entreprenne</w:t>
      </w:r>
      <w:r w:rsidR="00A50629" w:rsidRPr="00F1660D">
        <w:rPr>
          <w:lang w:val="fr-FR"/>
        </w:rPr>
        <w:t xml:space="preserve"> des </w:t>
      </w:r>
      <w:r w:rsidRPr="00F1660D">
        <w:rPr>
          <w:lang w:val="fr-FR"/>
        </w:rPr>
        <w:t>travaux supplémentaires sur</w:t>
      </w:r>
      <w:r w:rsidR="00A50629" w:rsidRPr="00F1660D">
        <w:rPr>
          <w:lang w:val="fr-FR"/>
        </w:rPr>
        <w:t xml:space="preserve"> les </w:t>
      </w:r>
      <w:r w:rsidRPr="00F1660D">
        <w:rPr>
          <w:lang w:val="fr-FR"/>
        </w:rPr>
        <w:t>questions suivantes, en vue de contribuer</w:t>
      </w:r>
      <w:r w:rsidR="00A50629" w:rsidRPr="00F1660D">
        <w:rPr>
          <w:lang w:val="fr-FR"/>
        </w:rPr>
        <w:t xml:space="preserve"> au </w:t>
      </w:r>
      <w:r w:rsidRPr="00F1660D">
        <w:rPr>
          <w:lang w:val="fr-FR"/>
        </w:rPr>
        <w:t>processus intersessions :</w:t>
      </w:r>
    </w:p>
    <w:p w14:paraId="375F7677" w14:textId="5B506500" w:rsidR="001420CF" w:rsidRPr="00F1660D" w:rsidRDefault="001420CF" w:rsidP="001420CF">
      <w:pPr>
        <w:pStyle w:val="NormalNonumber"/>
        <w:ind w:left="2381" w:hanging="1134"/>
        <w:rPr>
          <w:rFonts w:eastAsia="Calibri"/>
          <w:lang w:val="fr-FR"/>
        </w:rPr>
      </w:pPr>
      <w:r w:rsidRPr="00F1660D">
        <w:rPr>
          <w:lang w:val="fr-FR"/>
        </w:rPr>
        <w:tab/>
        <w:t>i)</w:t>
      </w:r>
      <w:r w:rsidRPr="00F1660D">
        <w:rPr>
          <w:lang w:val="fr-FR"/>
        </w:rPr>
        <w:tab/>
        <w:t>Autres mécanismes d’appui à</w:t>
      </w:r>
      <w:r w:rsidR="00A50629" w:rsidRPr="00F1660D">
        <w:rPr>
          <w:lang w:val="fr-FR"/>
        </w:rPr>
        <w:t xml:space="preserve"> la </w:t>
      </w:r>
      <w:r w:rsidRPr="00F1660D">
        <w:rPr>
          <w:lang w:val="fr-FR"/>
        </w:rPr>
        <w:t>mise en œuvre.</w:t>
      </w:r>
    </w:p>
    <w:p w14:paraId="64508C51" w14:textId="77777777" w:rsidR="001420CF" w:rsidRPr="00F1660D" w:rsidRDefault="001420CF" w:rsidP="001420CF">
      <w:pPr>
        <w:pStyle w:val="NormalNonumber"/>
        <w:ind w:left="2381" w:hanging="1134"/>
        <w:rPr>
          <w:rFonts w:eastAsia="Calibri"/>
          <w:lang w:val="fr-FR"/>
        </w:rPr>
      </w:pPr>
      <w:r w:rsidRPr="00F1660D">
        <w:rPr>
          <w:lang w:val="fr-FR"/>
        </w:rPr>
        <w:tab/>
        <w:t>ii)</w:t>
      </w:r>
      <w:r w:rsidRPr="00F1660D">
        <w:rPr>
          <w:lang w:val="fr-FR"/>
        </w:rPr>
        <w:tab/>
        <w:t>Mesures supplémentaires en vue d’une participation multisectorielle.</w:t>
      </w:r>
    </w:p>
    <w:p w14:paraId="0123FE82" w14:textId="77777777" w:rsidR="001420CF" w:rsidRPr="00F1660D" w:rsidRDefault="001420CF" w:rsidP="001420CF">
      <w:pPr>
        <w:pStyle w:val="NormalNonumber"/>
        <w:ind w:left="2381" w:hanging="1134"/>
        <w:rPr>
          <w:rFonts w:eastAsia="Calibri"/>
          <w:lang w:val="fr-FR"/>
        </w:rPr>
      </w:pPr>
      <w:r w:rsidRPr="00F1660D">
        <w:rPr>
          <w:lang w:val="fr-FR"/>
        </w:rPr>
        <w:tab/>
        <w:t>iii)</w:t>
      </w:r>
      <w:r w:rsidRPr="00F1660D">
        <w:rPr>
          <w:lang w:val="fr-FR"/>
        </w:rPr>
        <w:tab/>
        <w:t>Sujets de préoccupation.</w:t>
      </w:r>
    </w:p>
    <w:p w14:paraId="5CE77719" w14:textId="45F32AAB" w:rsidR="001420CF" w:rsidRPr="00F1660D" w:rsidRDefault="001420CF" w:rsidP="001420CF">
      <w:pPr>
        <w:pStyle w:val="NormalNonumber"/>
        <w:ind w:left="2381" w:hanging="1134"/>
        <w:rPr>
          <w:rFonts w:eastAsia="Calibri"/>
          <w:lang w:val="fr-FR"/>
        </w:rPr>
      </w:pPr>
      <w:r w:rsidRPr="00F1660D">
        <w:rPr>
          <w:lang w:val="fr-FR"/>
        </w:rPr>
        <w:tab/>
        <w:t>iv)</w:t>
      </w:r>
      <w:r w:rsidRPr="00F1660D">
        <w:rPr>
          <w:lang w:val="fr-FR"/>
        </w:rPr>
        <w:tab/>
        <w:t>Examen</w:t>
      </w:r>
      <w:r w:rsidR="00A50629" w:rsidRPr="00F1660D">
        <w:rPr>
          <w:lang w:val="fr-FR"/>
        </w:rPr>
        <w:t xml:space="preserve"> des </w:t>
      </w:r>
      <w:r w:rsidRPr="00F1660D">
        <w:rPr>
          <w:lang w:val="fr-FR"/>
        </w:rPr>
        <w:t>Principes et approches établis dans</w:t>
      </w:r>
      <w:r w:rsidR="00A50629" w:rsidRPr="00F1660D">
        <w:rPr>
          <w:lang w:val="fr-FR"/>
        </w:rPr>
        <w:t xml:space="preserve"> le </w:t>
      </w:r>
      <w:r w:rsidRPr="00F1660D">
        <w:rPr>
          <w:lang w:val="fr-FR"/>
        </w:rPr>
        <w:t>document portant</w:t>
      </w:r>
      <w:r w:rsidR="00A50629" w:rsidRPr="00F1660D">
        <w:rPr>
          <w:lang w:val="fr-FR"/>
        </w:rPr>
        <w:t xml:space="preserve"> la </w:t>
      </w:r>
      <w:r w:rsidRPr="00F1660D">
        <w:rPr>
          <w:lang w:val="fr-FR"/>
        </w:rPr>
        <w:t>cote SAICM/OEWG.3/4, sur</w:t>
      </w:r>
      <w:r w:rsidR="00A50629" w:rsidRPr="00F1660D">
        <w:rPr>
          <w:lang w:val="fr-FR"/>
        </w:rPr>
        <w:t xml:space="preserve"> la </w:t>
      </w:r>
      <w:r w:rsidRPr="00F1660D">
        <w:rPr>
          <w:lang w:val="fr-FR"/>
        </w:rPr>
        <w:t>base</w:t>
      </w:r>
      <w:r w:rsidR="00A50629" w:rsidRPr="00F1660D">
        <w:rPr>
          <w:lang w:val="fr-FR"/>
        </w:rPr>
        <w:t xml:space="preserve"> des </w:t>
      </w:r>
      <w:r w:rsidRPr="00F1660D">
        <w:rPr>
          <w:lang w:val="fr-FR"/>
        </w:rPr>
        <w:t>contributions</w:t>
      </w:r>
      <w:r w:rsidR="00A50629" w:rsidRPr="00F1660D">
        <w:rPr>
          <w:lang w:val="fr-FR"/>
        </w:rPr>
        <w:t xml:space="preserve"> des </w:t>
      </w:r>
      <w:r w:rsidRPr="00F1660D">
        <w:rPr>
          <w:lang w:val="fr-FR"/>
        </w:rPr>
        <w:t xml:space="preserve">parties prenantes. </w:t>
      </w:r>
    </w:p>
    <w:p w14:paraId="36D0EAED" w14:textId="2E0E98AB" w:rsidR="001420CF" w:rsidRPr="00F1660D" w:rsidRDefault="001420CF" w:rsidP="001420CF">
      <w:pPr>
        <w:pStyle w:val="Normalnumber"/>
        <w:numPr>
          <w:ilvl w:val="0"/>
          <w:numId w:val="9"/>
        </w:numPr>
        <w:rPr>
          <w:lang w:val="fr-FR"/>
        </w:rPr>
      </w:pPr>
      <w:r w:rsidRPr="00F1660D">
        <w:rPr>
          <w:lang w:val="fr-FR"/>
        </w:rPr>
        <w:t>Nous invitons</w:t>
      </w:r>
      <w:r w:rsidR="00A50629" w:rsidRPr="00F1660D">
        <w:rPr>
          <w:lang w:val="fr-FR"/>
        </w:rPr>
        <w:t xml:space="preserve"> le </w:t>
      </w:r>
      <w:r w:rsidRPr="00F1660D">
        <w:rPr>
          <w:lang w:val="fr-FR"/>
        </w:rPr>
        <w:t xml:space="preserve">secrétariat à entreprendre ce qui suit : </w:t>
      </w:r>
    </w:p>
    <w:p w14:paraId="07D15A2C" w14:textId="5D7DB85F" w:rsidR="001420CF" w:rsidRPr="00F1660D" w:rsidRDefault="001420CF" w:rsidP="001420CF">
      <w:pPr>
        <w:pStyle w:val="Normalnumber"/>
        <w:numPr>
          <w:ilvl w:val="1"/>
          <w:numId w:val="9"/>
        </w:numPr>
        <w:rPr>
          <w:lang w:val="fr-FR"/>
        </w:rPr>
      </w:pPr>
      <w:r w:rsidRPr="00F1660D">
        <w:rPr>
          <w:lang w:val="fr-FR"/>
        </w:rPr>
        <w:t>Élaborer un rapport, en prévision</w:t>
      </w:r>
      <w:r w:rsidR="00A50629" w:rsidRPr="00F1660D">
        <w:rPr>
          <w:lang w:val="fr-FR"/>
        </w:rPr>
        <w:t xml:space="preserve"> des </w:t>
      </w:r>
      <w:r w:rsidRPr="00F1660D">
        <w:rPr>
          <w:lang w:val="fr-FR"/>
        </w:rPr>
        <w:t xml:space="preserve">troisième et </w:t>
      </w:r>
      <w:proofErr w:type="gramStart"/>
      <w:r w:rsidRPr="00F1660D">
        <w:rPr>
          <w:lang w:val="fr-FR"/>
        </w:rPr>
        <w:t>quatrième plans</w:t>
      </w:r>
      <w:proofErr w:type="gramEnd"/>
      <w:r w:rsidRPr="00F1660D">
        <w:rPr>
          <w:lang w:val="fr-FR"/>
        </w:rPr>
        <w:t xml:space="preserve"> de mise en œuvre, sur</w:t>
      </w:r>
      <w:r w:rsidR="00A50629" w:rsidRPr="00F1660D">
        <w:rPr>
          <w:lang w:val="fr-FR"/>
        </w:rPr>
        <w:t xml:space="preserve"> les </w:t>
      </w:r>
      <w:r w:rsidRPr="00F1660D">
        <w:rPr>
          <w:lang w:val="fr-FR"/>
        </w:rPr>
        <w:t>exemples de mécanismes efficaces de recouvrement</w:t>
      </w:r>
      <w:r w:rsidR="00A50629" w:rsidRPr="00F1660D">
        <w:rPr>
          <w:lang w:val="fr-FR"/>
        </w:rPr>
        <w:t xml:space="preserve"> des </w:t>
      </w:r>
      <w:r w:rsidRPr="00F1660D">
        <w:rPr>
          <w:lang w:val="fr-FR"/>
        </w:rPr>
        <w:t>coûts et de mise en œuvre du principe du pollueur-payeur pour financer</w:t>
      </w:r>
      <w:r w:rsidR="00A50629" w:rsidRPr="00F1660D">
        <w:rPr>
          <w:lang w:val="fr-FR"/>
        </w:rPr>
        <w:t xml:space="preserve"> les </w:t>
      </w:r>
      <w:r w:rsidRPr="00F1660D">
        <w:rPr>
          <w:lang w:val="fr-FR"/>
        </w:rPr>
        <w:t>activités de gestion et de réduction</w:t>
      </w:r>
      <w:r w:rsidR="00A50629" w:rsidRPr="00F1660D">
        <w:rPr>
          <w:lang w:val="fr-FR"/>
        </w:rPr>
        <w:t xml:space="preserve"> des </w:t>
      </w:r>
      <w:r w:rsidRPr="00F1660D">
        <w:rPr>
          <w:lang w:val="fr-FR"/>
        </w:rPr>
        <w:t>risques à l’échelle nationale,</w:t>
      </w:r>
      <w:r w:rsidR="00A50629" w:rsidRPr="00F1660D">
        <w:rPr>
          <w:lang w:val="fr-FR"/>
        </w:rPr>
        <w:t xml:space="preserve"> y </w:t>
      </w:r>
      <w:r w:rsidRPr="00F1660D">
        <w:rPr>
          <w:lang w:val="fr-FR"/>
        </w:rPr>
        <w:t>compris examiner</w:t>
      </w:r>
      <w:r w:rsidR="00A50629" w:rsidRPr="00F1660D">
        <w:rPr>
          <w:lang w:val="fr-FR"/>
        </w:rPr>
        <w:t xml:space="preserve"> les </w:t>
      </w:r>
      <w:r w:rsidRPr="00F1660D">
        <w:rPr>
          <w:lang w:val="fr-FR"/>
        </w:rPr>
        <w:t>conclusions et</w:t>
      </w:r>
      <w:r w:rsidR="00A50629" w:rsidRPr="00F1660D">
        <w:rPr>
          <w:lang w:val="fr-FR"/>
        </w:rPr>
        <w:t xml:space="preserve"> des </w:t>
      </w:r>
      <w:r w:rsidRPr="00F1660D">
        <w:rPr>
          <w:lang w:val="fr-FR"/>
        </w:rPr>
        <w:t xml:space="preserve">recommandations </w:t>
      </w:r>
      <w:r w:rsidR="004E1A8E" w:rsidRPr="00F1660D">
        <w:rPr>
          <w:lang w:val="fr-FR"/>
        </w:rPr>
        <w:t xml:space="preserve">formulées </w:t>
      </w:r>
      <w:r w:rsidRPr="00F1660D">
        <w:rPr>
          <w:lang w:val="fr-FR"/>
        </w:rPr>
        <w:t>dans</w:t>
      </w:r>
      <w:r w:rsidR="00A50629" w:rsidRPr="00F1660D">
        <w:rPr>
          <w:lang w:val="fr-FR"/>
        </w:rPr>
        <w:t xml:space="preserve"> le </w:t>
      </w:r>
      <w:r w:rsidRPr="00F1660D">
        <w:rPr>
          <w:lang w:val="fr-FR"/>
        </w:rPr>
        <w:t xml:space="preserve">document SAICM/OEWG.3/INF/11. </w:t>
      </w:r>
    </w:p>
    <w:p w14:paraId="057CF5D2" w14:textId="1CBCE5B1" w:rsidR="001420CF" w:rsidRPr="00F1660D" w:rsidRDefault="001420CF" w:rsidP="001420CF">
      <w:pPr>
        <w:pStyle w:val="Normalnumber"/>
        <w:numPr>
          <w:ilvl w:val="1"/>
          <w:numId w:val="9"/>
        </w:numPr>
        <w:rPr>
          <w:lang w:val="fr-FR"/>
        </w:rPr>
      </w:pPr>
      <w:r w:rsidRPr="00F1660D">
        <w:rPr>
          <w:lang w:val="fr-FR"/>
        </w:rPr>
        <w:t>Rédiger un projet de stratégie de mobilisation</w:t>
      </w:r>
      <w:r w:rsidR="00A50629" w:rsidRPr="00F1660D">
        <w:rPr>
          <w:lang w:val="fr-FR"/>
        </w:rPr>
        <w:t xml:space="preserve"> des </w:t>
      </w:r>
      <w:r w:rsidRPr="00F1660D">
        <w:rPr>
          <w:lang w:val="fr-FR"/>
        </w:rPr>
        <w:t>ressources, de sorte que</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 xml:space="preserve">produits chimiques l’examine à sa cinquième session. </w:t>
      </w:r>
    </w:p>
    <w:p w14:paraId="25EF36BB" w14:textId="60B6BE1A" w:rsidR="001420CF" w:rsidRPr="00F1660D" w:rsidRDefault="001420CF" w:rsidP="001420CF">
      <w:pPr>
        <w:pStyle w:val="Normalnumber"/>
        <w:numPr>
          <w:ilvl w:val="0"/>
          <w:numId w:val="9"/>
        </w:numPr>
        <w:rPr>
          <w:rFonts w:eastAsia="Calibri"/>
          <w:lang w:val="fr-FR"/>
        </w:rPr>
      </w:pPr>
      <w:r w:rsidRPr="00F1660D">
        <w:rPr>
          <w:lang w:val="fr-FR"/>
        </w:rPr>
        <w:t>L’évaluation par</w:t>
      </w:r>
      <w:r w:rsidR="00A50629" w:rsidRPr="00F1660D">
        <w:rPr>
          <w:lang w:val="fr-FR"/>
        </w:rPr>
        <w:t xml:space="preserve"> la </w:t>
      </w:r>
      <w:r w:rsidRPr="00F1660D">
        <w:rPr>
          <w:lang w:val="fr-FR"/>
        </w:rPr>
        <w:t>Directrice exécutive de</w:t>
      </w:r>
      <w:r w:rsidR="00A50629" w:rsidRPr="00F1660D">
        <w:rPr>
          <w:lang w:val="fr-FR"/>
        </w:rPr>
        <w:t xml:space="preserve"> la </w:t>
      </w:r>
      <w:r w:rsidRPr="00F1660D">
        <w:rPr>
          <w:lang w:val="fr-FR"/>
        </w:rPr>
        <w:t>mise en œuvre de l’approche intégrée pour</w:t>
      </w:r>
      <w:r w:rsidR="00A50629" w:rsidRPr="00F1660D">
        <w:rPr>
          <w:lang w:val="fr-FR"/>
        </w:rPr>
        <w:t xml:space="preserve"> le </w:t>
      </w:r>
      <w:r w:rsidRPr="00F1660D">
        <w:rPr>
          <w:lang w:val="fr-FR"/>
        </w:rPr>
        <w:t>financement de</w:t>
      </w:r>
      <w:r w:rsidR="00A50629" w:rsidRPr="00F1660D">
        <w:rPr>
          <w:lang w:val="fr-FR"/>
        </w:rPr>
        <w:t xml:space="preserve"> la </w:t>
      </w:r>
      <w:r w:rsidRPr="00F1660D">
        <w:rPr>
          <w:lang w:val="fr-FR"/>
        </w:rPr>
        <w:t>gestion rationnelle</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intéresse</w:t>
      </w:r>
      <w:r w:rsidR="00A50629" w:rsidRPr="00F1660D">
        <w:rPr>
          <w:lang w:val="fr-FR"/>
        </w:rPr>
        <w:t xml:space="preserve"> les </w:t>
      </w:r>
      <w:r w:rsidRPr="00F1660D">
        <w:rPr>
          <w:lang w:val="fr-FR"/>
        </w:rPr>
        <w:t>futurs travaux intersessions visant à élaborer</w:t>
      </w:r>
      <w:r w:rsidR="00A50629" w:rsidRPr="00F1660D">
        <w:rPr>
          <w:lang w:val="fr-FR"/>
        </w:rPr>
        <w:t xml:space="preserve"> des </w:t>
      </w:r>
      <w:r w:rsidRPr="00F1660D">
        <w:rPr>
          <w:lang w:val="fr-FR"/>
        </w:rPr>
        <w:t>cibles et</w:t>
      </w:r>
      <w:r w:rsidR="00A50629" w:rsidRPr="00F1660D">
        <w:rPr>
          <w:lang w:val="fr-FR"/>
        </w:rPr>
        <w:t xml:space="preserve"> des </w:t>
      </w:r>
      <w:r w:rsidRPr="00F1660D">
        <w:rPr>
          <w:lang w:val="fr-FR"/>
        </w:rPr>
        <w:t xml:space="preserve">indicateurs et devrait être examinée en conséquence. </w:t>
      </w:r>
    </w:p>
    <w:p w14:paraId="65137BAC" w14:textId="36010EFE" w:rsidR="001420CF" w:rsidRPr="00F1660D" w:rsidRDefault="001420CF" w:rsidP="001420CF">
      <w:pPr>
        <w:pStyle w:val="Normalnumber"/>
        <w:numPr>
          <w:ilvl w:val="0"/>
          <w:numId w:val="9"/>
        </w:numPr>
        <w:rPr>
          <w:rFonts w:eastAsia="Calibri"/>
          <w:lang w:val="fr-FR"/>
        </w:rPr>
      </w:pPr>
      <w:r w:rsidRPr="00F1660D">
        <w:rPr>
          <w:lang w:val="fr-FR"/>
        </w:rPr>
        <w:t>Les éléments soulevés par</w:t>
      </w:r>
      <w:r w:rsidR="00A50629" w:rsidRPr="00F1660D">
        <w:rPr>
          <w:lang w:val="fr-FR"/>
        </w:rPr>
        <w:t xml:space="preserve"> le </w:t>
      </w:r>
      <w:r w:rsidRPr="00F1660D">
        <w:rPr>
          <w:lang w:val="fr-FR"/>
        </w:rPr>
        <w:t>groupe</w:t>
      </w:r>
      <w:r w:rsidR="00A50629" w:rsidRPr="00F1660D">
        <w:rPr>
          <w:lang w:val="fr-FR"/>
        </w:rPr>
        <w:t xml:space="preserve"> des </w:t>
      </w:r>
      <w:r w:rsidRPr="00F1660D">
        <w:rPr>
          <w:lang w:val="fr-FR"/>
        </w:rPr>
        <w:t>amis de</w:t>
      </w:r>
      <w:r w:rsidR="00A50629" w:rsidRPr="00F1660D">
        <w:rPr>
          <w:lang w:val="fr-FR"/>
        </w:rPr>
        <w:t xml:space="preserve"> la </w:t>
      </w:r>
      <w:r w:rsidRPr="00F1660D">
        <w:rPr>
          <w:lang w:val="fr-FR"/>
        </w:rPr>
        <w:t>présidence durant</w:t>
      </w:r>
      <w:r w:rsidR="00A50629" w:rsidRPr="00F1660D">
        <w:rPr>
          <w:lang w:val="fr-FR"/>
        </w:rPr>
        <w:t xml:space="preserve"> la </w:t>
      </w:r>
      <w:r w:rsidRPr="00F1660D">
        <w:rPr>
          <w:lang w:val="fr-FR"/>
        </w:rPr>
        <w:t>troisième</w:t>
      </w:r>
      <w:r w:rsidR="0098097D" w:rsidRPr="00F1660D">
        <w:rPr>
          <w:lang w:val="fr-FR"/>
        </w:rPr>
        <w:t> réunion</w:t>
      </w:r>
      <w:r w:rsidRPr="00F1660D">
        <w:rPr>
          <w:lang w:val="fr-FR"/>
        </w:rPr>
        <w:t xml:space="preserve"> du Groupe de travail à composition non limitée devraient être examinés plus avant dans</w:t>
      </w:r>
      <w:r w:rsidR="00A50629" w:rsidRPr="00F1660D">
        <w:rPr>
          <w:lang w:val="fr-FR"/>
        </w:rPr>
        <w:t xml:space="preserve"> le </w:t>
      </w:r>
      <w:r w:rsidRPr="00F1660D">
        <w:rPr>
          <w:lang w:val="fr-FR"/>
        </w:rPr>
        <w:t>cadre du processus intersessions.</w:t>
      </w:r>
    </w:p>
    <w:p w14:paraId="377C6A39" w14:textId="5F2C94FE" w:rsidR="001420CF" w:rsidRPr="00F1660D" w:rsidRDefault="001420CF" w:rsidP="001420CF">
      <w:pPr>
        <w:pStyle w:val="Normalnumber"/>
        <w:numPr>
          <w:ilvl w:val="0"/>
          <w:numId w:val="9"/>
        </w:numPr>
        <w:rPr>
          <w:rFonts w:eastAsia="Calibri"/>
          <w:lang w:val="fr-FR"/>
        </w:rPr>
      </w:pPr>
      <w:r w:rsidRPr="00F1660D">
        <w:rPr>
          <w:lang w:val="fr-FR"/>
        </w:rPr>
        <w:t>Nous invitons</w:t>
      </w:r>
      <w:r w:rsidR="00A50629" w:rsidRPr="00F1660D">
        <w:rPr>
          <w:lang w:val="fr-FR"/>
        </w:rPr>
        <w:t xml:space="preserve"> le </w:t>
      </w:r>
      <w:r w:rsidRPr="00F1660D">
        <w:rPr>
          <w:lang w:val="fr-FR"/>
        </w:rPr>
        <w:t>PNUE à fournir une évaluation</w:t>
      </w:r>
      <w:r w:rsidR="00A50629" w:rsidRPr="00F1660D">
        <w:rPr>
          <w:lang w:val="fr-FR"/>
        </w:rPr>
        <w:t xml:space="preserve"> des </w:t>
      </w:r>
      <w:r w:rsidRPr="00F1660D">
        <w:rPr>
          <w:lang w:val="fr-FR"/>
        </w:rPr>
        <w:t>liens avec d’autres groupes relatifs à</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et</w:t>
      </w:r>
      <w:r w:rsidR="00A50629" w:rsidRPr="00F1660D">
        <w:rPr>
          <w:lang w:val="fr-FR"/>
        </w:rPr>
        <w:t xml:space="preserve"> des </w:t>
      </w:r>
      <w:r w:rsidRPr="00F1660D">
        <w:rPr>
          <w:lang w:val="fr-FR"/>
        </w:rPr>
        <w:t>déchets, ainsi que</w:t>
      </w:r>
      <w:r w:rsidR="00A50629" w:rsidRPr="00F1660D">
        <w:rPr>
          <w:lang w:val="fr-FR"/>
        </w:rPr>
        <w:t xml:space="preserve"> des </w:t>
      </w:r>
      <w:r w:rsidRPr="00F1660D">
        <w:rPr>
          <w:lang w:val="fr-FR"/>
        </w:rPr>
        <w:t>solutions aux fins de</w:t>
      </w:r>
      <w:r w:rsidR="00A50629" w:rsidRPr="00F1660D">
        <w:rPr>
          <w:lang w:val="fr-FR"/>
        </w:rPr>
        <w:t xml:space="preserve"> la </w:t>
      </w:r>
      <w:r w:rsidRPr="00F1660D">
        <w:rPr>
          <w:lang w:val="fr-FR"/>
        </w:rPr>
        <w:t>coordination et de</w:t>
      </w:r>
      <w:r w:rsidR="00A50629" w:rsidRPr="00F1660D">
        <w:rPr>
          <w:lang w:val="fr-FR"/>
        </w:rPr>
        <w:t xml:space="preserve"> la </w:t>
      </w:r>
      <w:r w:rsidRPr="00F1660D">
        <w:rPr>
          <w:lang w:val="fr-FR"/>
        </w:rPr>
        <w:t>coopération dans</w:t>
      </w:r>
      <w:r w:rsidR="00A50629" w:rsidRPr="00F1660D">
        <w:rPr>
          <w:lang w:val="fr-FR"/>
        </w:rPr>
        <w:t xml:space="preserve"> les </w:t>
      </w:r>
      <w:r w:rsidRPr="00F1660D">
        <w:rPr>
          <w:lang w:val="fr-FR"/>
        </w:rPr>
        <w:t xml:space="preserve">domaines d’intérêt commun. </w:t>
      </w:r>
    </w:p>
    <w:p w14:paraId="3B03E666" w14:textId="77B5832C" w:rsidR="001420CF" w:rsidRPr="00F1660D" w:rsidRDefault="001420CF" w:rsidP="001420CF">
      <w:pPr>
        <w:pStyle w:val="Normalnumber"/>
        <w:numPr>
          <w:ilvl w:val="0"/>
          <w:numId w:val="9"/>
        </w:numPr>
        <w:rPr>
          <w:lang w:val="fr-FR"/>
        </w:rPr>
      </w:pPr>
      <w:r w:rsidRPr="00F1660D">
        <w:rPr>
          <w:lang w:val="fr-FR"/>
        </w:rPr>
        <w:t>Nous recommandons que</w:t>
      </w:r>
      <w:r w:rsidR="00A50629" w:rsidRPr="00F1660D">
        <w:rPr>
          <w:lang w:val="fr-FR"/>
        </w:rPr>
        <w:t xml:space="preserve"> le </w:t>
      </w:r>
      <w:r w:rsidRPr="00F1660D">
        <w:rPr>
          <w:lang w:val="fr-FR"/>
        </w:rPr>
        <w:t>processus intersessions tienne une quatrième réunion afin de jeter</w:t>
      </w:r>
      <w:r w:rsidR="00A50629" w:rsidRPr="00F1660D">
        <w:rPr>
          <w:lang w:val="fr-FR"/>
        </w:rPr>
        <w:t xml:space="preserve"> les </w:t>
      </w:r>
      <w:r w:rsidRPr="00F1660D">
        <w:rPr>
          <w:lang w:val="fr-FR"/>
        </w:rPr>
        <w:t>bases</w:t>
      </w:r>
      <w:r w:rsidR="00A50629" w:rsidRPr="00F1660D">
        <w:rPr>
          <w:lang w:val="fr-FR"/>
        </w:rPr>
        <w:t xml:space="preserve"> des </w:t>
      </w:r>
      <w:r w:rsidRPr="00F1660D">
        <w:rPr>
          <w:lang w:val="fr-FR"/>
        </w:rPr>
        <w:t>décisions que</w:t>
      </w:r>
      <w:r w:rsidR="00A50629" w:rsidRPr="00F1660D">
        <w:rPr>
          <w:lang w:val="fr-FR"/>
        </w:rPr>
        <w:t xml:space="preserve"> la </w:t>
      </w:r>
      <w:r w:rsidRPr="00F1660D">
        <w:rPr>
          <w:lang w:val="fr-FR"/>
        </w:rPr>
        <w:t>Conférence internationale sur</w:t>
      </w:r>
      <w:r w:rsidR="00A50629" w:rsidRPr="00F1660D">
        <w:rPr>
          <w:lang w:val="fr-FR"/>
        </w:rPr>
        <w:t xml:space="preserve"> la </w:t>
      </w:r>
      <w:r w:rsidRPr="00F1660D">
        <w:rPr>
          <w:lang w:val="fr-FR"/>
        </w:rPr>
        <w:t>gestion</w:t>
      </w:r>
      <w:r w:rsidR="00A50629" w:rsidRPr="00F1660D">
        <w:rPr>
          <w:lang w:val="fr-FR"/>
        </w:rPr>
        <w:t xml:space="preserve"> des </w:t>
      </w:r>
      <w:r w:rsidRPr="00F1660D">
        <w:rPr>
          <w:lang w:val="fr-FR"/>
        </w:rPr>
        <w:t>produits chimiques prendra à sa cinquième session, selon qu’il convient et sous réserve de</w:t>
      </w:r>
      <w:r w:rsidR="00A50629" w:rsidRPr="00F1660D">
        <w:rPr>
          <w:lang w:val="fr-FR"/>
        </w:rPr>
        <w:t xml:space="preserve"> la </w:t>
      </w:r>
      <w:r w:rsidRPr="00F1660D">
        <w:rPr>
          <w:lang w:val="fr-FR"/>
        </w:rPr>
        <w:t>disponibilité de ressources.</w:t>
      </w:r>
    </w:p>
    <w:p w14:paraId="275E307B" w14:textId="77777777" w:rsidR="00B07118" w:rsidRPr="00F1660D" w:rsidRDefault="00B07118" w:rsidP="00B07118">
      <w:pPr>
        <w:pStyle w:val="Normal-pool"/>
        <w:rPr>
          <w:lang w:val="fr-FR"/>
        </w:rPr>
      </w:pPr>
      <w:r w:rsidRPr="00F1660D">
        <w:rPr>
          <w:lang w:val="fr-FR"/>
        </w:rPr>
        <w:br w:type="page"/>
      </w:r>
    </w:p>
    <w:p w14:paraId="792036DD" w14:textId="42E04B39" w:rsidR="001D7FFD" w:rsidRPr="00F1660D" w:rsidRDefault="001D7FFD" w:rsidP="001D7FFD">
      <w:pPr>
        <w:pStyle w:val="ZZAnxheader"/>
        <w:rPr>
          <w:lang w:val="fr-FR"/>
        </w:rPr>
      </w:pPr>
      <w:r w:rsidRPr="00F1660D">
        <w:rPr>
          <w:lang w:val="fr-FR"/>
        </w:rPr>
        <w:t>Annexe II</w:t>
      </w:r>
    </w:p>
    <w:p w14:paraId="4E90CC50" w14:textId="22609EDC" w:rsidR="001D7FFD" w:rsidRPr="00F1660D" w:rsidRDefault="001D7FFD" w:rsidP="001D7FFD">
      <w:pPr>
        <w:pStyle w:val="ZZAnxtitle"/>
        <w:rPr>
          <w:lang w:val="fr-FR"/>
        </w:rPr>
      </w:pPr>
      <w:r w:rsidRPr="00F1660D">
        <w:rPr>
          <w:lang w:val="fr-FR"/>
        </w:rPr>
        <w:t>Budget du secrétariat de l’Approche stratégique pour la</w:t>
      </w:r>
      <w:r w:rsidR="0080091E" w:rsidRPr="00F1660D">
        <w:rPr>
          <w:lang w:val="fr-FR"/>
        </w:rPr>
        <w:t> </w:t>
      </w:r>
      <w:r w:rsidRPr="00F1660D">
        <w:rPr>
          <w:lang w:val="fr-FR"/>
        </w:rPr>
        <w:t>période 2019-2020</w:t>
      </w:r>
    </w:p>
    <w:p w14:paraId="23FAEB1C" w14:textId="77777777" w:rsidR="001D7FFD" w:rsidRPr="00F1660D" w:rsidRDefault="001D7FFD" w:rsidP="001D7FFD">
      <w:pPr>
        <w:pStyle w:val="NormalNonumber"/>
        <w:spacing w:after="60"/>
        <w:rPr>
          <w:b/>
          <w:sz w:val="17"/>
          <w:szCs w:val="17"/>
          <w:lang w:val="fr-FR"/>
        </w:rPr>
      </w:pPr>
      <w:r w:rsidRPr="00F1660D">
        <w:rPr>
          <w:lang w:val="fr-FR"/>
        </w:rPr>
        <w:t>(</w:t>
      </w:r>
      <w:proofErr w:type="gramStart"/>
      <w:r w:rsidRPr="00F1660D">
        <w:rPr>
          <w:lang w:val="fr-FR"/>
        </w:rPr>
        <w:t>en</w:t>
      </w:r>
      <w:proofErr w:type="gramEnd"/>
      <w:r w:rsidRPr="00F1660D">
        <w:rPr>
          <w:lang w:val="fr-FR"/>
        </w:rPr>
        <w:t xml:space="preserve"> dollars des États-Unis)</w:t>
      </w:r>
    </w:p>
    <w:tbl>
      <w:tblPr>
        <w:tblStyle w:val="Tabledocright"/>
        <w:tblW w:w="8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
        <w:gridCol w:w="474"/>
        <w:gridCol w:w="520"/>
        <w:gridCol w:w="4394"/>
        <w:gridCol w:w="992"/>
        <w:gridCol w:w="1531"/>
      </w:tblGrid>
      <w:tr w:rsidR="001D7FFD" w:rsidRPr="00F1660D" w14:paraId="393DFAB9" w14:textId="77777777" w:rsidTr="0080091E">
        <w:trPr>
          <w:trHeight w:val="57"/>
          <w:tblHeader/>
        </w:trPr>
        <w:tc>
          <w:tcPr>
            <w:tcW w:w="424" w:type="dxa"/>
            <w:tcBorders>
              <w:top w:val="single" w:sz="4" w:space="0" w:color="auto"/>
              <w:bottom w:val="single" w:sz="12" w:space="0" w:color="auto"/>
            </w:tcBorders>
          </w:tcPr>
          <w:p w14:paraId="6C1A670A" w14:textId="77777777" w:rsidR="001D7FFD" w:rsidRPr="00F1660D" w:rsidRDefault="001D7FFD" w:rsidP="0080091E">
            <w:pPr>
              <w:pStyle w:val="Normal-pool"/>
              <w:rPr>
                <w:lang w:val="fr-FR"/>
              </w:rPr>
            </w:pPr>
          </w:p>
        </w:tc>
        <w:tc>
          <w:tcPr>
            <w:tcW w:w="474" w:type="dxa"/>
            <w:tcBorders>
              <w:top w:val="single" w:sz="4" w:space="0" w:color="auto"/>
              <w:bottom w:val="single" w:sz="12" w:space="0" w:color="auto"/>
            </w:tcBorders>
          </w:tcPr>
          <w:p w14:paraId="4BEFCA9E" w14:textId="77777777" w:rsidR="001D7FFD" w:rsidRPr="00F1660D" w:rsidRDefault="001D7FFD" w:rsidP="0080091E">
            <w:pPr>
              <w:pStyle w:val="Normal-pool"/>
              <w:rPr>
                <w:lang w:val="fr-FR"/>
              </w:rPr>
            </w:pPr>
          </w:p>
        </w:tc>
        <w:tc>
          <w:tcPr>
            <w:tcW w:w="520" w:type="dxa"/>
            <w:tcBorders>
              <w:top w:val="single" w:sz="4" w:space="0" w:color="auto"/>
              <w:bottom w:val="single" w:sz="12" w:space="0" w:color="auto"/>
            </w:tcBorders>
          </w:tcPr>
          <w:p w14:paraId="493CDD19" w14:textId="77777777" w:rsidR="001D7FFD" w:rsidRPr="00F1660D" w:rsidRDefault="001D7FFD" w:rsidP="0080091E">
            <w:pPr>
              <w:pStyle w:val="Normal-pool"/>
              <w:rPr>
                <w:i/>
                <w:lang w:val="fr-FR"/>
              </w:rPr>
            </w:pPr>
          </w:p>
        </w:tc>
        <w:tc>
          <w:tcPr>
            <w:tcW w:w="4394" w:type="dxa"/>
            <w:tcBorders>
              <w:top w:val="single" w:sz="4" w:space="0" w:color="auto"/>
              <w:bottom w:val="single" w:sz="12" w:space="0" w:color="auto"/>
            </w:tcBorders>
          </w:tcPr>
          <w:p w14:paraId="3EFAEFC8" w14:textId="77777777" w:rsidR="001D7FFD" w:rsidRPr="00F1660D" w:rsidRDefault="001D7FFD" w:rsidP="0080091E">
            <w:pPr>
              <w:pStyle w:val="Normal-pool"/>
              <w:rPr>
                <w:i/>
                <w:lang w:val="fr-FR"/>
              </w:rPr>
            </w:pPr>
          </w:p>
        </w:tc>
        <w:tc>
          <w:tcPr>
            <w:tcW w:w="992" w:type="dxa"/>
            <w:tcBorders>
              <w:top w:val="single" w:sz="4" w:space="0" w:color="auto"/>
              <w:bottom w:val="single" w:sz="12" w:space="0" w:color="auto"/>
            </w:tcBorders>
          </w:tcPr>
          <w:p w14:paraId="3BCDB47B" w14:textId="77777777" w:rsidR="001D7FFD" w:rsidRPr="00F1660D" w:rsidRDefault="001D7FFD" w:rsidP="0080091E">
            <w:pPr>
              <w:pStyle w:val="Normal-pool"/>
              <w:jc w:val="center"/>
              <w:rPr>
                <w:i/>
                <w:lang w:val="fr-FR"/>
              </w:rPr>
            </w:pPr>
            <w:r w:rsidRPr="00F1660D">
              <w:rPr>
                <w:i/>
                <w:iCs/>
                <w:lang w:val="fr-FR"/>
              </w:rPr>
              <w:t>2019</w:t>
            </w:r>
          </w:p>
        </w:tc>
        <w:tc>
          <w:tcPr>
            <w:tcW w:w="1531" w:type="dxa"/>
            <w:tcBorders>
              <w:top w:val="single" w:sz="4" w:space="0" w:color="auto"/>
              <w:bottom w:val="single" w:sz="12" w:space="0" w:color="auto"/>
            </w:tcBorders>
          </w:tcPr>
          <w:p w14:paraId="5D91B0F1" w14:textId="77777777" w:rsidR="001D7FFD" w:rsidRPr="00F1660D" w:rsidRDefault="001D7FFD" w:rsidP="0080091E">
            <w:pPr>
              <w:pStyle w:val="Normal-pool"/>
              <w:jc w:val="center"/>
              <w:rPr>
                <w:i/>
                <w:lang w:val="fr-FR"/>
              </w:rPr>
            </w:pPr>
            <w:r w:rsidRPr="00F1660D">
              <w:rPr>
                <w:i/>
                <w:iCs/>
                <w:lang w:val="fr-FR"/>
              </w:rPr>
              <w:t>2020</w:t>
            </w:r>
          </w:p>
        </w:tc>
      </w:tr>
      <w:tr w:rsidR="001D7FFD" w:rsidRPr="00F1660D" w14:paraId="02384AD9" w14:textId="77777777" w:rsidTr="0080091E">
        <w:trPr>
          <w:trHeight w:val="57"/>
        </w:trPr>
        <w:tc>
          <w:tcPr>
            <w:tcW w:w="424" w:type="dxa"/>
            <w:tcBorders>
              <w:top w:val="single" w:sz="12" w:space="0" w:color="auto"/>
            </w:tcBorders>
          </w:tcPr>
          <w:p w14:paraId="19C857A3" w14:textId="77777777" w:rsidR="001D7FFD" w:rsidRPr="00F1660D" w:rsidRDefault="001D7FFD" w:rsidP="0080091E">
            <w:pPr>
              <w:pStyle w:val="Normal-pool"/>
              <w:rPr>
                <w:lang w:val="fr-FR"/>
              </w:rPr>
            </w:pPr>
          </w:p>
        </w:tc>
        <w:tc>
          <w:tcPr>
            <w:tcW w:w="474" w:type="dxa"/>
            <w:tcBorders>
              <w:top w:val="single" w:sz="12" w:space="0" w:color="auto"/>
            </w:tcBorders>
          </w:tcPr>
          <w:p w14:paraId="35D6C62E" w14:textId="77777777" w:rsidR="001D7FFD" w:rsidRPr="00F1660D" w:rsidRDefault="001D7FFD" w:rsidP="0080091E">
            <w:pPr>
              <w:pStyle w:val="Normal-pool"/>
              <w:rPr>
                <w:lang w:val="fr-FR"/>
              </w:rPr>
            </w:pPr>
            <w:r w:rsidRPr="00F1660D">
              <w:rPr>
                <w:b/>
                <w:bCs/>
                <w:lang w:val="fr-FR"/>
              </w:rPr>
              <w:t>1100</w:t>
            </w:r>
          </w:p>
        </w:tc>
        <w:tc>
          <w:tcPr>
            <w:tcW w:w="520" w:type="dxa"/>
            <w:tcBorders>
              <w:top w:val="single" w:sz="12" w:space="0" w:color="auto"/>
            </w:tcBorders>
          </w:tcPr>
          <w:p w14:paraId="0B7DB4DF" w14:textId="77777777" w:rsidR="001D7FFD" w:rsidRPr="00F1660D" w:rsidRDefault="001D7FFD" w:rsidP="0080091E">
            <w:pPr>
              <w:pStyle w:val="Normal-pool"/>
              <w:rPr>
                <w:lang w:val="fr-FR"/>
              </w:rPr>
            </w:pPr>
            <w:r w:rsidRPr="00F1660D">
              <w:rPr>
                <w:lang w:val="fr-FR"/>
              </w:rPr>
              <w:t>1102</w:t>
            </w:r>
          </w:p>
        </w:tc>
        <w:tc>
          <w:tcPr>
            <w:tcW w:w="4394" w:type="dxa"/>
            <w:tcBorders>
              <w:top w:val="single" w:sz="12" w:space="0" w:color="auto"/>
            </w:tcBorders>
          </w:tcPr>
          <w:p w14:paraId="70908089" w14:textId="77777777" w:rsidR="001D7FFD" w:rsidRPr="00F1660D" w:rsidRDefault="001D7FFD" w:rsidP="0080091E">
            <w:pPr>
              <w:pStyle w:val="Normal-pool"/>
              <w:rPr>
                <w:lang w:val="fr-FR"/>
              </w:rPr>
            </w:pPr>
            <w:r w:rsidRPr="00F1660D">
              <w:rPr>
                <w:lang w:val="fr-FR"/>
              </w:rPr>
              <w:t>Administrateur(</w:t>
            </w:r>
            <w:proofErr w:type="spellStart"/>
            <w:r w:rsidRPr="00F1660D">
              <w:rPr>
                <w:lang w:val="fr-FR"/>
              </w:rPr>
              <w:t>trice</w:t>
            </w:r>
            <w:proofErr w:type="spellEnd"/>
            <w:r w:rsidRPr="00F1660D">
              <w:rPr>
                <w:lang w:val="fr-FR"/>
              </w:rPr>
              <w:t xml:space="preserve">) de programme (P-5) </w:t>
            </w:r>
            <w:r w:rsidRPr="00F1660D">
              <w:rPr>
                <w:lang w:val="fr-FR"/>
              </w:rPr>
              <w:br/>
              <w:t>(Approche stratégique en général)</w:t>
            </w:r>
          </w:p>
        </w:tc>
        <w:tc>
          <w:tcPr>
            <w:tcW w:w="992" w:type="dxa"/>
            <w:tcBorders>
              <w:top w:val="single" w:sz="12" w:space="0" w:color="auto"/>
            </w:tcBorders>
          </w:tcPr>
          <w:p w14:paraId="72A00A71" w14:textId="77777777" w:rsidR="001D7FFD" w:rsidRPr="00F1660D" w:rsidRDefault="001D7FFD" w:rsidP="0080091E">
            <w:pPr>
              <w:pStyle w:val="Normal-pool"/>
              <w:jc w:val="right"/>
              <w:rPr>
                <w:color w:val="000000"/>
                <w:lang w:val="fr-FR"/>
              </w:rPr>
            </w:pPr>
            <w:r w:rsidRPr="00F1660D">
              <w:rPr>
                <w:lang w:val="fr-FR"/>
              </w:rPr>
              <w:t>–</w:t>
            </w:r>
          </w:p>
        </w:tc>
        <w:tc>
          <w:tcPr>
            <w:tcW w:w="1531" w:type="dxa"/>
            <w:tcBorders>
              <w:top w:val="single" w:sz="12" w:space="0" w:color="auto"/>
            </w:tcBorders>
          </w:tcPr>
          <w:p w14:paraId="00BD88DE"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52983D48" w14:textId="77777777" w:rsidTr="0080091E">
        <w:trPr>
          <w:trHeight w:val="57"/>
        </w:trPr>
        <w:tc>
          <w:tcPr>
            <w:tcW w:w="424" w:type="dxa"/>
          </w:tcPr>
          <w:p w14:paraId="449C2207" w14:textId="77777777" w:rsidR="001D7FFD" w:rsidRPr="00F1660D" w:rsidRDefault="001D7FFD" w:rsidP="0080091E">
            <w:pPr>
              <w:pStyle w:val="Normal-pool"/>
              <w:rPr>
                <w:lang w:val="fr-FR"/>
              </w:rPr>
            </w:pPr>
          </w:p>
        </w:tc>
        <w:tc>
          <w:tcPr>
            <w:tcW w:w="474" w:type="dxa"/>
          </w:tcPr>
          <w:p w14:paraId="34D2388D" w14:textId="77777777" w:rsidR="001D7FFD" w:rsidRPr="00F1660D" w:rsidRDefault="001D7FFD" w:rsidP="0080091E">
            <w:pPr>
              <w:pStyle w:val="Normal-pool"/>
              <w:rPr>
                <w:lang w:val="fr-FR"/>
              </w:rPr>
            </w:pPr>
          </w:p>
        </w:tc>
        <w:tc>
          <w:tcPr>
            <w:tcW w:w="520" w:type="dxa"/>
            <w:vAlign w:val="center"/>
          </w:tcPr>
          <w:p w14:paraId="7FD047D2" w14:textId="77777777" w:rsidR="001D7FFD" w:rsidRPr="00F1660D" w:rsidRDefault="001D7FFD" w:rsidP="0080091E">
            <w:pPr>
              <w:pStyle w:val="Normal-pool"/>
              <w:rPr>
                <w:color w:val="000000"/>
                <w:lang w:val="fr-FR"/>
              </w:rPr>
            </w:pPr>
            <w:r w:rsidRPr="00F1660D">
              <w:rPr>
                <w:lang w:val="fr-FR"/>
              </w:rPr>
              <w:t>1103</w:t>
            </w:r>
          </w:p>
        </w:tc>
        <w:tc>
          <w:tcPr>
            <w:tcW w:w="4394" w:type="dxa"/>
            <w:vAlign w:val="center"/>
          </w:tcPr>
          <w:p w14:paraId="746031E1" w14:textId="77777777" w:rsidR="001D7FFD" w:rsidRPr="00F1660D" w:rsidRDefault="001D7FFD" w:rsidP="0080091E">
            <w:pPr>
              <w:pStyle w:val="Normal-pool"/>
              <w:rPr>
                <w:color w:val="000000"/>
                <w:lang w:val="fr-FR"/>
              </w:rPr>
            </w:pPr>
            <w:r w:rsidRPr="00F1660D">
              <w:rPr>
                <w:lang w:val="fr-FR"/>
              </w:rPr>
              <w:t>Administrateur(</w:t>
            </w:r>
            <w:proofErr w:type="spellStart"/>
            <w:r w:rsidRPr="00F1660D">
              <w:rPr>
                <w:lang w:val="fr-FR"/>
              </w:rPr>
              <w:t>trice</w:t>
            </w:r>
            <w:proofErr w:type="spellEnd"/>
            <w:r w:rsidRPr="00F1660D">
              <w:rPr>
                <w:lang w:val="fr-FR"/>
              </w:rPr>
              <w:t xml:space="preserve">) de programme (P-4) </w:t>
            </w:r>
            <w:r w:rsidRPr="00F1660D">
              <w:rPr>
                <w:lang w:val="fr-FR"/>
              </w:rPr>
              <w:br/>
              <w:t>(Approche stratégique en général)</w:t>
            </w:r>
          </w:p>
        </w:tc>
        <w:tc>
          <w:tcPr>
            <w:tcW w:w="992" w:type="dxa"/>
            <w:vAlign w:val="center"/>
          </w:tcPr>
          <w:p w14:paraId="296688D7" w14:textId="77777777" w:rsidR="001D7FFD" w:rsidRPr="00F1660D" w:rsidRDefault="001D7FFD" w:rsidP="0080091E">
            <w:pPr>
              <w:pStyle w:val="Normal-pool"/>
              <w:jc w:val="right"/>
              <w:rPr>
                <w:color w:val="000000"/>
                <w:lang w:val="fr-FR"/>
              </w:rPr>
            </w:pPr>
            <w:r w:rsidRPr="00F1660D">
              <w:rPr>
                <w:lang w:val="fr-FR"/>
              </w:rPr>
              <w:t>278 426</w:t>
            </w:r>
          </w:p>
        </w:tc>
        <w:tc>
          <w:tcPr>
            <w:tcW w:w="1531" w:type="dxa"/>
            <w:vAlign w:val="center"/>
          </w:tcPr>
          <w:p w14:paraId="5D9C5C92" w14:textId="77777777" w:rsidR="001D7FFD" w:rsidRPr="00F1660D" w:rsidRDefault="001D7FFD" w:rsidP="0080091E">
            <w:pPr>
              <w:pStyle w:val="Normal-pool"/>
              <w:jc w:val="right"/>
              <w:rPr>
                <w:color w:val="000000"/>
                <w:lang w:val="fr-FR"/>
              </w:rPr>
            </w:pPr>
            <w:r w:rsidRPr="00F1660D">
              <w:rPr>
                <w:lang w:val="fr-FR"/>
              </w:rPr>
              <w:t>289 563</w:t>
            </w:r>
          </w:p>
        </w:tc>
      </w:tr>
      <w:tr w:rsidR="001D7FFD" w:rsidRPr="00F1660D" w14:paraId="3939C4DF" w14:textId="77777777" w:rsidTr="0080091E">
        <w:trPr>
          <w:trHeight w:val="57"/>
        </w:trPr>
        <w:tc>
          <w:tcPr>
            <w:tcW w:w="424" w:type="dxa"/>
          </w:tcPr>
          <w:p w14:paraId="3573D0BE" w14:textId="77777777" w:rsidR="001D7FFD" w:rsidRPr="00F1660D" w:rsidRDefault="001D7FFD" w:rsidP="0080091E">
            <w:pPr>
              <w:pStyle w:val="Normal-pool"/>
              <w:rPr>
                <w:lang w:val="fr-FR"/>
              </w:rPr>
            </w:pPr>
          </w:p>
        </w:tc>
        <w:tc>
          <w:tcPr>
            <w:tcW w:w="474" w:type="dxa"/>
          </w:tcPr>
          <w:p w14:paraId="371BDDD8" w14:textId="77777777" w:rsidR="001D7FFD" w:rsidRPr="00F1660D" w:rsidRDefault="001D7FFD" w:rsidP="0080091E">
            <w:pPr>
              <w:pStyle w:val="Normal-pool"/>
              <w:rPr>
                <w:lang w:val="fr-FR"/>
              </w:rPr>
            </w:pPr>
          </w:p>
        </w:tc>
        <w:tc>
          <w:tcPr>
            <w:tcW w:w="520" w:type="dxa"/>
            <w:vAlign w:val="center"/>
          </w:tcPr>
          <w:p w14:paraId="431A729F" w14:textId="77777777" w:rsidR="001D7FFD" w:rsidRPr="00F1660D" w:rsidRDefault="001D7FFD" w:rsidP="0080091E">
            <w:pPr>
              <w:pStyle w:val="Normal-pool"/>
              <w:rPr>
                <w:color w:val="000000"/>
                <w:lang w:val="fr-FR"/>
              </w:rPr>
            </w:pPr>
            <w:r w:rsidRPr="00F1660D">
              <w:rPr>
                <w:lang w:val="fr-FR"/>
              </w:rPr>
              <w:t>1104</w:t>
            </w:r>
          </w:p>
        </w:tc>
        <w:tc>
          <w:tcPr>
            <w:tcW w:w="4394" w:type="dxa"/>
            <w:vAlign w:val="center"/>
          </w:tcPr>
          <w:p w14:paraId="68AC1EB7" w14:textId="77777777" w:rsidR="001D7FFD" w:rsidRPr="00F1660D" w:rsidRDefault="001D7FFD" w:rsidP="0080091E">
            <w:pPr>
              <w:pStyle w:val="Normal-pool"/>
              <w:rPr>
                <w:color w:val="000000"/>
                <w:lang w:val="fr-FR"/>
              </w:rPr>
            </w:pPr>
            <w:r w:rsidRPr="00F1660D">
              <w:rPr>
                <w:lang w:val="fr-FR"/>
              </w:rPr>
              <w:t>Administrateur(</w:t>
            </w:r>
            <w:proofErr w:type="spellStart"/>
            <w:r w:rsidRPr="00F1660D">
              <w:rPr>
                <w:lang w:val="fr-FR"/>
              </w:rPr>
              <w:t>trice</w:t>
            </w:r>
            <w:proofErr w:type="spellEnd"/>
            <w:r w:rsidRPr="00F1660D">
              <w:rPr>
                <w:lang w:val="fr-FR"/>
              </w:rPr>
              <w:t xml:space="preserve">) de programme (P-3) </w:t>
            </w:r>
            <w:r w:rsidRPr="00F1660D">
              <w:rPr>
                <w:lang w:val="fr-FR"/>
              </w:rPr>
              <w:br/>
              <w:t xml:space="preserve">(gestion des </w:t>
            </w:r>
            <w:proofErr w:type="spellStart"/>
            <w:r w:rsidRPr="00F1660D">
              <w:rPr>
                <w:lang w:val="fr-FR"/>
              </w:rPr>
              <w:t>connaissances</w:t>
            </w:r>
            <w:r w:rsidRPr="00F1660D">
              <w:rPr>
                <w:vertAlign w:val="superscript"/>
                <w:lang w:val="fr-FR"/>
              </w:rPr>
              <w:t>a</w:t>
            </w:r>
            <w:proofErr w:type="spellEnd"/>
          </w:p>
        </w:tc>
        <w:tc>
          <w:tcPr>
            <w:tcW w:w="992" w:type="dxa"/>
            <w:vAlign w:val="center"/>
          </w:tcPr>
          <w:p w14:paraId="2E235455" w14:textId="77777777" w:rsidR="001D7FFD" w:rsidRPr="00F1660D" w:rsidRDefault="001D7FFD" w:rsidP="0080091E">
            <w:pPr>
              <w:pStyle w:val="Normal-pool"/>
              <w:jc w:val="right"/>
              <w:rPr>
                <w:color w:val="000000"/>
                <w:lang w:val="fr-FR"/>
              </w:rPr>
            </w:pPr>
            <w:r w:rsidRPr="00F1660D">
              <w:rPr>
                <w:lang w:val="fr-FR"/>
              </w:rPr>
              <w:t>229 526</w:t>
            </w:r>
          </w:p>
        </w:tc>
        <w:tc>
          <w:tcPr>
            <w:tcW w:w="1531" w:type="dxa"/>
            <w:vAlign w:val="center"/>
          </w:tcPr>
          <w:p w14:paraId="1C671267" w14:textId="77777777" w:rsidR="001D7FFD" w:rsidRPr="00F1660D" w:rsidRDefault="001D7FFD" w:rsidP="0080091E">
            <w:pPr>
              <w:pStyle w:val="Normal-pool"/>
              <w:jc w:val="right"/>
              <w:rPr>
                <w:color w:val="000000"/>
                <w:lang w:val="fr-FR"/>
              </w:rPr>
            </w:pPr>
            <w:r w:rsidRPr="00F1660D">
              <w:rPr>
                <w:lang w:val="fr-FR"/>
              </w:rPr>
              <w:t>238 707</w:t>
            </w:r>
          </w:p>
        </w:tc>
      </w:tr>
      <w:tr w:rsidR="001D7FFD" w:rsidRPr="00F1660D" w14:paraId="51BF05F4" w14:textId="77777777" w:rsidTr="0080091E">
        <w:trPr>
          <w:trHeight w:val="57"/>
        </w:trPr>
        <w:tc>
          <w:tcPr>
            <w:tcW w:w="424" w:type="dxa"/>
          </w:tcPr>
          <w:p w14:paraId="7842757A" w14:textId="77777777" w:rsidR="001D7FFD" w:rsidRPr="00F1660D" w:rsidRDefault="001D7FFD" w:rsidP="0080091E">
            <w:pPr>
              <w:pStyle w:val="Normal-pool"/>
              <w:rPr>
                <w:lang w:val="fr-FR"/>
              </w:rPr>
            </w:pPr>
          </w:p>
        </w:tc>
        <w:tc>
          <w:tcPr>
            <w:tcW w:w="474" w:type="dxa"/>
          </w:tcPr>
          <w:p w14:paraId="28A1BAB0" w14:textId="77777777" w:rsidR="001D7FFD" w:rsidRPr="00F1660D" w:rsidRDefault="001D7FFD" w:rsidP="0080091E">
            <w:pPr>
              <w:pStyle w:val="Normal-pool"/>
              <w:rPr>
                <w:lang w:val="fr-FR"/>
              </w:rPr>
            </w:pPr>
          </w:p>
        </w:tc>
        <w:tc>
          <w:tcPr>
            <w:tcW w:w="520" w:type="dxa"/>
            <w:vAlign w:val="center"/>
          </w:tcPr>
          <w:p w14:paraId="5F83C508" w14:textId="77777777" w:rsidR="001D7FFD" w:rsidRPr="00F1660D" w:rsidRDefault="001D7FFD" w:rsidP="0080091E">
            <w:pPr>
              <w:pStyle w:val="Normal-pool"/>
              <w:rPr>
                <w:color w:val="000000"/>
                <w:lang w:val="fr-FR"/>
              </w:rPr>
            </w:pPr>
            <w:r w:rsidRPr="00F1660D">
              <w:rPr>
                <w:lang w:val="fr-FR"/>
              </w:rPr>
              <w:t>1105</w:t>
            </w:r>
          </w:p>
        </w:tc>
        <w:tc>
          <w:tcPr>
            <w:tcW w:w="4394" w:type="dxa"/>
            <w:vAlign w:val="center"/>
          </w:tcPr>
          <w:p w14:paraId="5D2AAE9A" w14:textId="77777777" w:rsidR="001D7FFD" w:rsidRPr="00F1660D" w:rsidRDefault="001D7FFD" w:rsidP="0080091E">
            <w:pPr>
              <w:pStyle w:val="Normal-pool"/>
              <w:rPr>
                <w:color w:val="000000"/>
                <w:lang w:val="fr-FR"/>
              </w:rPr>
            </w:pPr>
            <w:r w:rsidRPr="00F1660D">
              <w:rPr>
                <w:lang w:val="fr-FR"/>
              </w:rPr>
              <w:t>Administrateur(</w:t>
            </w:r>
            <w:proofErr w:type="spellStart"/>
            <w:r w:rsidRPr="00F1660D">
              <w:rPr>
                <w:lang w:val="fr-FR"/>
              </w:rPr>
              <w:t>trice</w:t>
            </w:r>
            <w:proofErr w:type="spellEnd"/>
            <w:r w:rsidRPr="00F1660D">
              <w:rPr>
                <w:lang w:val="fr-FR"/>
              </w:rPr>
              <w:t xml:space="preserve">) de programme (P-3) </w:t>
            </w:r>
            <w:r w:rsidRPr="00F1660D">
              <w:rPr>
                <w:lang w:val="fr-FR"/>
              </w:rPr>
              <w:br/>
              <w:t>(Programme de démarrage rapide)</w:t>
            </w:r>
          </w:p>
        </w:tc>
        <w:tc>
          <w:tcPr>
            <w:tcW w:w="992" w:type="dxa"/>
            <w:vAlign w:val="center"/>
          </w:tcPr>
          <w:p w14:paraId="49793CF6" w14:textId="77777777" w:rsidR="001D7FFD" w:rsidRPr="00F1660D" w:rsidRDefault="001D7FFD" w:rsidP="0080091E">
            <w:pPr>
              <w:pStyle w:val="Normal-pool"/>
              <w:jc w:val="right"/>
              <w:rPr>
                <w:color w:val="000000"/>
                <w:lang w:val="fr-FR"/>
              </w:rPr>
            </w:pPr>
            <w:r w:rsidRPr="00F1660D">
              <w:rPr>
                <w:lang w:val="fr-FR"/>
              </w:rPr>
              <w:t>229 526</w:t>
            </w:r>
          </w:p>
        </w:tc>
        <w:tc>
          <w:tcPr>
            <w:tcW w:w="1531" w:type="dxa"/>
            <w:vAlign w:val="center"/>
          </w:tcPr>
          <w:p w14:paraId="4B247C3D"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2D63858F" w14:textId="77777777" w:rsidTr="0080091E">
        <w:trPr>
          <w:trHeight w:val="57"/>
        </w:trPr>
        <w:tc>
          <w:tcPr>
            <w:tcW w:w="424" w:type="dxa"/>
          </w:tcPr>
          <w:p w14:paraId="28543AA8" w14:textId="77777777" w:rsidR="001D7FFD" w:rsidRPr="00F1660D" w:rsidRDefault="001D7FFD" w:rsidP="0080091E">
            <w:pPr>
              <w:pStyle w:val="Normal-pool"/>
              <w:rPr>
                <w:lang w:val="fr-FR"/>
              </w:rPr>
            </w:pPr>
          </w:p>
        </w:tc>
        <w:tc>
          <w:tcPr>
            <w:tcW w:w="474" w:type="dxa"/>
          </w:tcPr>
          <w:p w14:paraId="425B10C7" w14:textId="77777777" w:rsidR="001D7FFD" w:rsidRPr="00F1660D" w:rsidRDefault="001D7FFD" w:rsidP="0080091E">
            <w:pPr>
              <w:pStyle w:val="Normal-pool"/>
              <w:rPr>
                <w:lang w:val="fr-FR"/>
              </w:rPr>
            </w:pPr>
          </w:p>
        </w:tc>
        <w:tc>
          <w:tcPr>
            <w:tcW w:w="520" w:type="dxa"/>
            <w:vAlign w:val="center"/>
          </w:tcPr>
          <w:p w14:paraId="3A9F82A7" w14:textId="77777777" w:rsidR="001D7FFD" w:rsidRPr="00F1660D" w:rsidRDefault="001D7FFD" w:rsidP="0080091E">
            <w:pPr>
              <w:pStyle w:val="Normal-pool"/>
              <w:rPr>
                <w:color w:val="000000"/>
                <w:lang w:val="fr-FR"/>
              </w:rPr>
            </w:pPr>
            <w:r w:rsidRPr="00F1660D">
              <w:rPr>
                <w:lang w:val="fr-FR"/>
              </w:rPr>
              <w:t>1106</w:t>
            </w:r>
          </w:p>
        </w:tc>
        <w:tc>
          <w:tcPr>
            <w:tcW w:w="4394" w:type="dxa"/>
            <w:vAlign w:val="center"/>
          </w:tcPr>
          <w:p w14:paraId="14640AC6" w14:textId="77777777" w:rsidR="001D7FFD" w:rsidRPr="00F1660D" w:rsidRDefault="001D7FFD" w:rsidP="0080091E">
            <w:pPr>
              <w:pStyle w:val="Normal-pool"/>
              <w:rPr>
                <w:color w:val="000000"/>
                <w:lang w:val="fr-FR"/>
              </w:rPr>
            </w:pPr>
            <w:r w:rsidRPr="00F1660D">
              <w:rPr>
                <w:lang w:val="fr-FR"/>
              </w:rPr>
              <w:t>Administrateur(</w:t>
            </w:r>
            <w:proofErr w:type="spellStart"/>
            <w:r w:rsidRPr="00F1660D">
              <w:rPr>
                <w:lang w:val="fr-FR"/>
              </w:rPr>
              <w:t>trice</w:t>
            </w:r>
            <w:proofErr w:type="spellEnd"/>
            <w:r w:rsidRPr="00F1660D">
              <w:rPr>
                <w:lang w:val="fr-FR"/>
              </w:rPr>
              <w:t xml:space="preserve">) de programme (P-3) </w:t>
            </w:r>
            <w:r w:rsidRPr="00F1660D">
              <w:rPr>
                <w:lang w:val="fr-FR"/>
              </w:rPr>
              <w:br/>
              <w:t>(Approche stratégique en général)</w:t>
            </w:r>
          </w:p>
        </w:tc>
        <w:tc>
          <w:tcPr>
            <w:tcW w:w="992" w:type="dxa"/>
            <w:vAlign w:val="center"/>
          </w:tcPr>
          <w:p w14:paraId="5CFE1A0E" w14:textId="77777777" w:rsidR="001D7FFD" w:rsidRPr="00F1660D" w:rsidRDefault="001D7FFD" w:rsidP="0080091E">
            <w:pPr>
              <w:pStyle w:val="Normal-pool"/>
              <w:jc w:val="right"/>
              <w:rPr>
                <w:color w:val="000000"/>
                <w:lang w:val="fr-FR"/>
              </w:rPr>
            </w:pPr>
            <w:r w:rsidRPr="00F1660D">
              <w:rPr>
                <w:lang w:val="fr-FR"/>
              </w:rPr>
              <w:t>229 526</w:t>
            </w:r>
          </w:p>
        </w:tc>
        <w:tc>
          <w:tcPr>
            <w:tcW w:w="1531" w:type="dxa"/>
            <w:vAlign w:val="center"/>
          </w:tcPr>
          <w:p w14:paraId="1B3A79E8" w14:textId="77777777" w:rsidR="001D7FFD" w:rsidRPr="00F1660D" w:rsidRDefault="001D7FFD" w:rsidP="0080091E">
            <w:pPr>
              <w:pStyle w:val="Normal-pool"/>
              <w:jc w:val="right"/>
              <w:rPr>
                <w:color w:val="000000"/>
                <w:lang w:val="fr-FR"/>
              </w:rPr>
            </w:pPr>
            <w:r w:rsidRPr="00F1660D">
              <w:rPr>
                <w:lang w:val="fr-FR"/>
              </w:rPr>
              <w:t>238 707</w:t>
            </w:r>
          </w:p>
        </w:tc>
      </w:tr>
      <w:tr w:rsidR="001D7FFD" w:rsidRPr="00F1660D" w14:paraId="2AE4F984" w14:textId="77777777" w:rsidTr="0080091E">
        <w:trPr>
          <w:trHeight w:val="57"/>
        </w:trPr>
        <w:tc>
          <w:tcPr>
            <w:tcW w:w="424" w:type="dxa"/>
          </w:tcPr>
          <w:p w14:paraId="5E079557" w14:textId="77777777" w:rsidR="001D7FFD" w:rsidRPr="00F1660D" w:rsidRDefault="001D7FFD" w:rsidP="0080091E">
            <w:pPr>
              <w:pStyle w:val="Normal-pool"/>
              <w:rPr>
                <w:lang w:val="fr-FR"/>
              </w:rPr>
            </w:pPr>
          </w:p>
        </w:tc>
        <w:tc>
          <w:tcPr>
            <w:tcW w:w="474" w:type="dxa"/>
          </w:tcPr>
          <w:p w14:paraId="63F91500" w14:textId="77777777" w:rsidR="001D7FFD" w:rsidRPr="00F1660D" w:rsidRDefault="001D7FFD" w:rsidP="0080091E">
            <w:pPr>
              <w:pStyle w:val="Normal-pool"/>
              <w:rPr>
                <w:lang w:val="fr-FR"/>
              </w:rPr>
            </w:pPr>
          </w:p>
        </w:tc>
        <w:tc>
          <w:tcPr>
            <w:tcW w:w="520" w:type="dxa"/>
          </w:tcPr>
          <w:p w14:paraId="6A789E37" w14:textId="71C276A8" w:rsidR="001D7FFD" w:rsidRPr="00F1660D" w:rsidRDefault="001D7FFD" w:rsidP="0080091E">
            <w:pPr>
              <w:pStyle w:val="Normal-pool"/>
              <w:rPr>
                <w:color w:val="000000"/>
                <w:lang w:val="fr-FR" w:eastAsia="fr-CH"/>
              </w:rPr>
            </w:pPr>
            <w:r w:rsidRPr="00F1660D">
              <w:rPr>
                <w:lang w:val="fr-FR"/>
              </w:rPr>
              <w:t>1107</w:t>
            </w:r>
          </w:p>
        </w:tc>
        <w:tc>
          <w:tcPr>
            <w:tcW w:w="4394" w:type="dxa"/>
          </w:tcPr>
          <w:p w14:paraId="305A9EA4" w14:textId="683FC702" w:rsidR="001D7FFD" w:rsidRPr="00F1660D" w:rsidRDefault="001D7FFD" w:rsidP="0080091E">
            <w:pPr>
              <w:pStyle w:val="Normal-pool"/>
              <w:rPr>
                <w:lang w:val="fr-FR"/>
              </w:rPr>
            </w:pPr>
            <w:r w:rsidRPr="00F1660D">
              <w:rPr>
                <w:lang w:val="fr-FR"/>
              </w:rPr>
              <w:t>Administrateur(</w:t>
            </w:r>
            <w:proofErr w:type="spellStart"/>
            <w:r w:rsidRPr="00F1660D">
              <w:rPr>
                <w:lang w:val="fr-FR"/>
              </w:rPr>
              <w:t>trice</w:t>
            </w:r>
            <w:proofErr w:type="spellEnd"/>
            <w:r w:rsidRPr="00F1660D">
              <w:rPr>
                <w:lang w:val="fr-FR"/>
              </w:rPr>
              <w:t>) de programme adjoint(e) (P-2) (Administrateur(</w:t>
            </w:r>
            <w:proofErr w:type="spellStart"/>
            <w:r w:rsidRPr="00F1660D">
              <w:rPr>
                <w:lang w:val="fr-FR"/>
              </w:rPr>
              <w:t>trice</w:t>
            </w:r>
            <w:proofErr w:type="spellEnd"/>
            <w:r w:rsidRPr="00F1660D">
              <w:rPr>
                <w:lang w:val="fr-FR"/>
              </w:rPr>
              <w:t>) auxiliaire, Approche stratégique en</w:t>
            </w:r>
            <w:r w:rsidR="0080091E" w:rsidRPr="00F1660D">
              <w:rPr>
                <w:lang w:val="fr-FR"/>
              </w:rPr>
              <w:t> </w:t>
            </w:r>
            <w:r w:rsidRPr="00F1660D">
              <w:rPr>
                <w:lang w:val="fr-FR"/>
              </w:rPr>
              <w:t>général)</w:t>
            </w:r>
          </w:p>
        </w:tc>
        <w:tc>
          <w:tcPr>
            <w:tcW w:w="992" w:type="dxa"/>
          </w:tcPr>
          <w:p w14:paraId="1F84BA52" w14:textId="77777777" w:rsidR="001D7FFD" w:rsidRPr="00F1660D" w:rsidRDefault="001D7FFD" w:rsidP="0080091E">
            <w:pPr>
              <w:pStyle w:val="Normal-pool"/>
              <w:jc w:val="right"/>
              <w:rPr>
                <w:color w:val="000000"/>
                <w:lang w:val="fr-FR"/>
              </w:rPr>
            </w:pPr>
            <w:r w:rsidRPr="00F1660D">
              <w:rPr>
                <w:lang w:val="fr-FR"/>
              </w:rPr>
              <w:t>–</w:t>
            </w:r>
          </w:p>
        </w:tc>
        <w:tc>
          <w:tcPr>
            <w:tcW w:w="1531" w:type="dxa"/>
          </w:tcPr>
          <w:p w14:paraId="41EC8CDE"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7BB984A8" w14:textId="77777777" w:rsidTr="0080091E">
        <w:trPr>
          <w:trHeight w:val="57"/>
        </w:trPr>
        <w:tc>
          <w:tcPr>
            <w:tcW w:w="424" w:type="dxa"/>
            <w:tcBorders>
              <w:bottom w:val="single" w:sz="4" w:space="0" w:color="auto"/>
            </w:tcBorders>
          </w:tcPr>
          <w:p w14:paraId="2D4500C4" w14:textId="77777777" w:rsidR="001D7FFD" w:rsidRPr="00F1660D" w:rsidRDefault="001D7FFD" w:rsidP="0080091E">
            <w:pPr>
              <w:pStyle w:val="Normal-pool"/>
              <w:rPr>
                <w:lang w:val="fr-FR"/>
              </w:rPr>
            </w:pPr>
          </w:p>
        </w:tc>
        <w:tc>
          <w:tcPr>
            <w:tcW w:w="474" w:type="dxa"/>
            <w:tcBorders>
              <w:bottom w:val="single" w:sz="4" w:space="0" w:color="auto"/>
            </w:tcBorders>
          </w:tcPr>
          <w:p w14:paraId="4B3B2170" w14:textId="77777777" w:rsidR="001D7FFD" w:rsidRPr="00F1660D" w:rsidRDefault="001D7FFD" w:rsidP="0080091E">
            <w:pPr>
              <w:pStyle w:val="Normal-pool"/>
              <w:rPr>
                <w:lang w:val="fr-FR"/>
              </w:rPr>
            </w:pPr>
          </w:p>
        </w:tc>
        <w:tc>
          <w:tcPr>
            <w:tcW w:w="520" w:type="dxa"/>
            <w:tcBorders>
              <w:bottom w:val="single" w:sz="4" w:space="0" w:color="auto"/>
            </w:tcBorders>
          </w:tcPr>
          <w:p w14:paraId="367EB568" w14:textId="77777777" w:rsidR="001D7FFD" w:rsidRPr="00F1660D" w:rsidRDefault="001D7FFD" w:rsidP="0080091E">
            <w:pPr>
              <w:pStyle w:val="Normal-pool"/>
              <w:rPr>
                <w:lang w:val="fr-FR"/>
              </w:rPr>
            </w:pPr>
            <w:r w:rsidRPr="00F1660D">
              <w:rPr>
                <w:lang w:val="fr-FR"/>
              </w:rPr>
              <w:t>1108</w:t>
            </w:r>
          </w:p>
        </w:tc>
        <w:tc>
          <w:tcPr>
            <w:tcW w:w="4394" w:type="dxa"/>
            <w:tcBorders>
              <w:bottom w:val="single" w:sz="4" w:space="0" w:color="auto"/>
            </w:tcBorders>
          </w:tcPr>
          <w:p w14:paraId="360229F4" w14:textId="77777777" w:rsidR="001D7FFD" w:rsidRPr="00F1660D" w:rsidRDefault="001D7FFD" w:rsidP="0080091E">
            <w:pPr>
              <w:pStyle w:val="Normal-pool"/>
              <w:rPr>
                <w:lang w:val="fr-FR"/>
              </w:rPr>
            </w:pPr>
            <w:r w:rsidRPr="00F1660D">
              <w:rPr>
                <w:lang w:val="fr-FR"/>
              </w:rPr>
              <w:t>Administrateur(</w:t>
            </w:r>
            <w:proofErr w:type="spellStart"/>
            <w:r w:rsidRPr="00F1660D">
              <w:rPr>
                <w:lang w:val="fr-FR"/>
              </w:rPr>
              <w:t>trice</w:t>
            </w:r>
            <w:proofErr w:type="spellEnd"/>
            <w:r w:rsidRPr="00F1660D">
              <w:rPr>
                <w:lang w:val="fr-FR"/>
              </w:rPr>
              <w:t>) de programme adjoint(e) (P-2) (Approche stratégique en général)</w:t>
            </w:r>
          </w:p>
        </w:tc>
        <w:tc>
          <w:tcPr>
            <w:tcW w:w="992" w:type="dxa"/>
            <w:tcBorders>
              <w:bottom w:val="single" w:sz="4" w:space="0" w:color="auto"/>
            </w:tcBorders>
          </w:tcPr>
          <w:p w14:paraId="0C1040F2" w14:textId="77777777" w:rsidR="001D7FFD" w:rsidRPr="00F1660D" w:rsidRDefault="001D7FFD" w:rsidP="0080091E">
            <w:pPr>
              <w:pStyle w:val="Normal-pool"/>
              <w:jc w:val="right"/>
              <w:rPr>
                <w:lang w:val="fr-FR"/>
              </w:rPr>
            </w:pPr>
            <w:r w:rsidRPr="00F1660D">
              <w:rPr>
                <w:lang w:val="fr-FR"/>
              </w:rPr>
              <w:t>93 728</w:t>
            </w:r>
          </w:p>
        </w:tc>
        <w:tc>
          <w:tcPr>
            <w:tcW w:w="1531" w:type="dxa"/>
            <w:tcBorders>
              <w:bottom w:val="single" w:sz="4" w:space="0" w:color="auto"/>
            </w:tcBorders>
          </w:tcPr>
          <w:p w14:paraId="66984C71" w14:textId="77777777" w:rsidR="001D7FFD" w:rsidRPr="00F1660D" w:rsidRDefault="001D7FFD" w:rsidP="0080091E">
            <w:pPr>
              <w:pStyle w:val="Normal-pool"/>
              <w:jc w:val="right"/>
              <w:rPr>
                <w:color w:val="000000"/>
                <w:lang w:val="fr-FR"/>
              </w:rPr>
            </w:pPr>
            <w:r w:rsidRPr="00F1660D">
              <w:rPr>
                <w:lang w:val="fr-FR"/>
              </w:rPr>
              <w:t>196 368</w:t>
            </w:r>
          </w:p>
        </w:tc>
      </w:tr>
      <w:tr w:rsidR="001D7FFD" w:rsidRPr="00F1660D" w14:paraId="0F0ABD65" w14:textId="77777777" w:rsidTr="0080091E">
        <w:trPr>
          <w:trHeight w:val="57"/>
        </w:trPr>
        <w:tc>
          <w:tcPr>
            <w:tcW w:w="424" w:type="dxa"/>
            <w:tcBorders>
              <w:top w:val="single" w:sz="4" w:space="0" w:color="auto"/>
            </w:tcBorders>
          </w:tcPr>
          <w:p w14:paraId="172319AB"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389C79AE" w14:textId="77777777" w:rsidR="001D7FFD" w:rsidRPr="00F1660D" w:rsidRDefault="001D7FFD" w:rsidP="0080091E">
            <w:pPr>
              <w:pStyle w:val="Normal-pool"/>
              <w:rPr>
                <w:lang w:val="fr-FR"/>
              </w:rPr>
            </w:pPr>
          </w:p>
        </w:tc>
        <w:tc>
          <w:tcPr>
            <w:tcW w:w="520" w:type="dxa"/>
            <w:tcBorders>
              <w:top w:val="single" w:sz="4" w:space="0" w:color="auto"/>
              <w:bottom w:val="single" w:sz="4" w:space="0" w:color="auto"/>
            </w:tcBorders>
          </w:tcPr>
          <w:p w14:paraId="65F4E9C4" w14:textId="77777777" w:rsidR="001D7FFD" w:rsidRPr="00F1660D" w:rsidRDefault="001D7FFD" w:rsidP="0080091E">
            <w:pPr>
              <w:pStyle w:val="Normal-pool"/>
              <w:rPr>
                <w:lang w:val="fr-FR"/>
              </w:rPr>
            </w:pPr>
            <w:r w:rsidRPr="00F1660D">
              <w:rPr>
                <w:b/>
                <w:bCs/>
                <w:lang w:val="fr-FR"/>
              </w:rPr>
              <w:t>1199</w:t>
            </w:r>
          </w:p>
        </w:tc>
        <w:tc>
          <w:tcPr>
            <w:tcW w:w="4394" w:type="dxa"/>
            <w:tcBorders>
              <w:top w:val="single" w:sz="4" w:space="0" w:color="auto"/>
              <w:bottom w:val="single" w:sz="4" w:space="0" w:color="auto"/>
            </w:tcBorders>
          </w:tcPr>
          <w:p w14:paraId="7FB8F112" w14:textId="77777777" w:rsidR="001D7FFD" w:rsidRPr="00F1660D" w:rsidRDefault="001D7FFD" w:rsidP="0080091E">
            <w:pPr>
              <w:pStyle w:val="Normal-pool"/>
              <w:rPr>
                <w:lang w:val="fr-FR"/>
              </w:rPr>
            </w:pPr>
            <w:r w:rsidRPr="00F1660D">
              <w:rPr>
                <w:b/>
                <w:bCs/>
                <w:lang w:val="fr-FR"/>
              </w:rPr>
              <w:t>Total partiel</w:t>
            </w:r>
          </w:p>
        </w:tc>
        <w:tc>
          <w:tcPr>
            <w:tcW w:w="992" w:type="dxa"/>
            <w:tcBorders>
              <w:top w:val="single" w:sz="4" w:space="0" w:color="auto"/>
              <w:bottom w:val="single" w:sz="4" w:space="0" w:color="auto"/>
            </w:tcBorders>
          </w:tcPr>
          <w:p w14:paraId="75053CD1" w14:textId="77777777" w:rsidR="001D7FFD" w:rsidRPr="00F1660D" w:rsidRDefault="001D7FFD" w:rsidP="0080091E">
            <w:pPr>
              <w:pStyle w:val="Normal-pool"/>
              <w:jc w:val="right"/>
              <w:rPr>
                <w:lang w:val="fr-FR"/>
              </w:rPr>
            </w:pPr>
            <w:r w:rsidRPr="00F1660D">
              <w:rPr>
                <w:b/>
                <w:bCs/>
                <w:lang w:val="fr-FR"/>
              </w:rPr>
              <w:t>1 060 732</w:t>
            </w:r>
          </w:p>
        </w:tc>
        <w:tc>
          <w:tcPr>
            <w:tcW w:w="1531" w:type="dxa"/>
            <w:tcBorders>
              <w:top w:val="single" w:sz="4" w:space="0" w:color="auto"/>
              <w:bottom w:val="single" w:sz="4" w:space="0" w:color="auto"/>
            </w:tcBorders>
          </w:tcPr>
          <w:p w14:paraId="64FB12BD" w14:textId="77777777" w:rsidR="001D7FFD" w:rsidRPr="00F1660D" w:rsidRDefault="001D7FFD" w:rsidP="0080091E">
            <w:pPr>
              <w:pStyle w:val="Normal-pool"/>
              <w:jc w:val="right"/>
              <w:rPr>
                <w:b/>
                <w:lang w:val="fr-FR"/>
              </w:rPr>
            </w:pPr>
            <w:r w:rsidRPr="00F1660D">
              <w:rPr>
                <w:b/>
                <w:bCs/>
                <w:lang w:val="fr-FR"/>
              </w:rPr>
              <w:t>963 345</w:t>
            </w:r>
          </w:p>
        </w:tc>
      </w:tr>
      <w:tr w:rsidR="001D7FFD" w:rsidRPr="00F1660D" w14:paraId="294E3326" w14:textId="77777777" w:rsidTr="0080091E">
        <w:trPr>
          <w:trHeight w:val="57"/>
        </w:trPr>
        <w:tc>
          <w:tcPr>
            <w:tcW w:w="424" w:type="dxa"/>
            <w:tcBorders>
              <w:bottom w:val="single" w:sz="4" w:space="0" w:color="auto"/>
            </w:tcBorders>
          </w:tcPr>
          <w:p w14:paraId="2A109247"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58C86550" w14:textId="77777777" w:rsidR="001D7FFD" w:rsidRPr="00F1660D" w:rsidRDefault="001D7FFD" w:rsidP="0080091E">
            <w:pPr>
              <w:pStyle w:val="Normal-pool"/>
              <w:rPr>
                <w:lang w:val="fr-FR"/>
              </w:rPr>
            </w:pPr>
            <w:r w:rsidRPr="00F1660D">
              <w:rPr>
                <w:b/>
                <w:bCs/>
                <w:lang w:val="fr-FR"/>
              </w:rPr>
              <w:t>1200</w:t>
            </w:r>
          </w:p>
        </w:tc>
        <w:tc>
          <w:tcPr>
            <w:tcW w:w="7437" w:type="dxa"/>
            <w:gridSpan w:val="4"/>
            <w:tcBorders>
              <w:top w:val="single" w:sz="4" w:space="0" w:color="auto"/>
              <w:bottom w:val="single" w:sz="4" w:space="0" w:color="auto"/>
            </w:tcBorders>
          </w:tcPr>
          <w:p w14:paraId="1AE39EC2" w14:textId="77777777" w:rsidR="001D7FFD" w:rsidRPr="00F1660D" w:rsidRDefault="001D7FFD" w:rsidP="0080091E">
            <w:pPr>
              <w:pStyle w:val="Normal-pool"/>
              <w:rPr>
                <w:lang w:val="fr-FR"/>
              </w:rPr>
            </w:pPr>
            <w:r w:rsidRPr="00F1660D">
              <w:rPr>
                <w:b/>
                <w:bCs/>
                <w:lang w:val="fr-FR"/>
              </w:rPr>
              <w:t>Consultants (description de l’activité ou du service)</w:t>
            </w:r>
          </w:p>
        </w:tc>
      </w:tr>
      <w:tr w:rsidR="001D7FFD" w:rsidRPr="00F1660D" w14:paraId="10CAED1E" w14:textId="77777777" w:rsidTr="0080091E">
        <w:trPr>
          <w:trHeight w:val="57"/>
        </w:trPr>
        <w:tc>
          <w:tcPr>
            <w:tcW w:w="424" w:type="dxa"/>
            <w:tcBorders>
              <w:top w:val="single" w:sz="4" w:space="0" w:color="auto"/>
              <w:bottom w:val="single" w:sz="4" w:space="0" w:color="auto"/>
            </w:tcBorders>
          </w:tcPr>
          <w:p w14:paraId="380CF4E6"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641BE8F4" w14:textId="77777777" w:rsidR="001D7FFD" w:rsidRPr="00F1660D" w:rsidRDefault="001D7FFD" w:rsidP="0080091E">
            <w:pPr>
              <w:pStyle w:val="Normal-pool"/>
              <w:rPr>
                <w:lang w:val="fr-FR"/>
              </w:rPr>
            </w:pPr>
          </w:p>
        </w:tc>
        <w:tc>
          <w:tcPr>
            <w:tcW w:w="520" w:type="dxa"/>
            <w:tcBorders>
              <w:top w:val="single" w:sz="4" w:space="0" w:color="auto"/>
              <w:bottom w:val="single" w:sz="4" w:space="0" w:color="auto"/>
            </w:tcBorders>
          </w:tcPr>
          <w:p w14:paraId="1DC4CAD5" w14:textId="77777777" w:rsidR="001D7FFD" w:rsidRPr="00F1660D" w:rsidRDefault="001D7FFD" w:rsidP="0080091E">
            <w:pPr>
              <w:pStyle w:val="Normal-pool"/>
              <w:rPr>
                <w:lang w:val="fr-FR"/>
              </w:rPr>
            </w:pPr>
            <w:r w:rsidRPr="00F1660D">
              <w:rPr>
                <w:lang w:val="fr-FR"/>
              </w:rPr>
              <w:t>1201</w:t>
            </w:r>
          </w:p>
        </w:tc>
        <w:tc>
          <w:tcPr>
            <w:tcW w:w="4394" w:type="dxa"/>
            <w:tcBorders>
              <w:top w:val="single" w:sz="4" w:space="0" w:color="auto"/>
              <w:bottom w:val="single" w:sz="4" w:space="0" w:color="auto"/>
            </w:tcBorders>
          </w:tcPr>
          <w:p w14:paraId="21A62054" w14:textId="77777777" w:rsidR="001D7FFD" w:rsidRPr="00F1660D" w:rsidRDefault="001D7FFD" w:rsidP="0080091E">
            <w:pPr>
              <w:pStyle w:val="Normal-pool"/>
              <w:rPr>
                <w:lang w:val="fr-FR"/>
              </w:rPr>
            </w:pPr>
            <w:r w:rsidRPr="00F1660D">
              <w:rPr>
                <w:lang w:val="fr-FR"/>
              </w:rPr>
              <w:t>Consultants</w:t>
            </w:r>
          </w:p>
        </w:tc>
        <w:tc>
          <w:tcPr>
            <w:tcW w:w="992" w:type="dxa"/>
            <w:tcBorders>
              <w:top w:val="single" w:sz="4" w:space="0" w:color="auto"/>
              <w:bottom w:val="single" w:sz="4" w:space="0" w:color="auto"/>
            </w:tcBorders>
          </w:tcPr>
          <w:p w14:paraId="7D32ECE9" w14:textId="77777777" w:rsidR="001D7FFD" w:rsidRPr="00F1660D" w:rsidRDefault="001D7FFD" w:rsidP="0080091E">
            <w:pPr>
              <w:pStyle w:val="Normal-pool"/>
              <w:jc w:val="right"/>
              <w:rPr>
                <w:lang w:val="fr-FR"/>
              </w:rPr>
            </w:pPr>
            <w:r w:rsidRPr="00F1660D">
              <w:rPr>
                <w:lang w:val="fr-FR"/>
              </w:rPr>
              <w:t>50 000</w:t>
            </w:r>
          </w:p>
        </w:tc>
        <w:tc>
          <w:tcPr>
            <w:tcW w:w="1531" w:type="dxa"/>
            <w:tcBorders>
              <w:top w:val="single" w:sz="4" w:space="0" w:color="auto"/>
              <w:bottom w:val="single" w:sz="4" w:space="0" w:color="auto"/>
            </w:tcBorders>
          </w:tcPr>
          <w:p w14:paraId="25B7A1E7" w14:textId="77777777" w:rsidR="001D7FFD" w:rsidRPr="00F1660D" w:rsidRDefault="001D7FFD" w:rsidP="0080091E">
            <w:pPr>
              <w:pStyle w:val="Normal-pool"/>
              <w:jc w:val="right"/>
              <w:rPr>
                <w:lang w:val="fr-FR"/>
              </w:rPr>
            </w:pPr>
            <w:r w:rsidRPr="00F1660D">
              <w:rPr>
                <w:lang w:val="fr-FR"/>
              </w:rPr>
              <w:t>50 000</w:t>
            </w:r>
          </w:p>
        </w:tc>
      </w:tr>
      <w:tr w:rsidR="001D7FFD" w:rsidRPr="00F1660D" w14:paraId="66DF3929" w14:textId="77777777" w:rsidTr="0080091E">
        <w:trPr>
          <w:trHeight w:val="57"/>
        </w:trPr>
        <w:tc>
          <w:tcPr>
            <w:tcW w:w="424" w:type="dxa"/>
            <w:tcBorders>
              <w:top w:val="single" w:sz="4" w:space="0" w:color="auto"/>
              <w:bottom w:val="single" w:sz="4" w:space="0" w:color="auto"/>
            </w:tcBorders>
          </w:tcPr>
          <w:p w14:paraId="53F75557"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5291C258" w14:textId="77777777" w:rsidR="001D7FFD" w:rsidRPr="00F1660D" w:rsidRDefault="001D7FFD" w:rsidP="0080091E">
            <w:pPr>
              <w:pStyle w:val="Normal-pool"/>
              <w:rPr>
                <w:lang w:val="fr-FR"/>
              </w:rPr>
            </w:pPr>
          </w:p>
        </w:tc>
        <w:tc>
          <w:tcPr>
            <w:tcW w:w="520" w:type="dxa"/>
            <w:tcBorders>
              <w:top w:val="single" w:sz="4" w:space="0" w:color="auto"/>
              <w:bottom w:val="single" w:sz="4" w:space="0" w:color="auto"/>
            </w:tcBorders>
          </w:tcPr>
          <w:p w14:paraId="3CD99EB5" w14:textId="77777777" w:rsidR="001D7FFD" w:rsidRPr="00F1660D" w:rsidRDefault="001D7FFD" w:rsidP="0080091E">
            <w:pPr>
              <w:pStyle w:val="Normal-pool"/>
              <w:rPr>
                <w:lang w:val="fr-FR"/>
              </w:rPr>
            </w:pPr>
            <w:r w:rsidRPr="00F1660D">
              <w:rPr>
                <w:b/>
                <w:bCs/>
                <w:lang w:val="fr-FR"/>
              </w:rPr>
              <w:t>1299</w:t>
            </w:r>
          </w:p>
        </w:tc>
        <w:tc>
          <w:tcPr>
            <w:tcW w:w="4394" w:type="dxa"/>
            <w:tcBorders>
              <w:top w:val="single" w:sz="4" w:space="0" w:color="auto"/>
              <w:bottom w:val="single" w:sz="4" w:space="0" w:color="auto"/>
            </w:tcBorders>
          </w:tcPr>
          <w:p w14:paraId="03AA5F72" w14:textId="77777777" w:rsidR="001D7FFD" w:rsidRPr="00F1660D" w:rsidRDefault="001D7FFD" w:rsidP="0080091E">
            <w:pPr>
              <w:pStyle w:val="Normal-pool"/>
              <w:rPr>
                <w:lang w:val="fr-FR"/>
              </w:rPr>
            </w:pPr>
            <w:r w:rsidRPr="00F1660D">
              <w:rPr>
                <w:b/>
                <w:bCs/>
                <w:lang w:val="fr-FR"/>
              </w:rPr>
              <w:t>Total partiel</w:t>
            </w:r>
          </w:p>
        </w:tc>
        <w:tc>
          <w:tcPr>
            <w:tcW w:w="992" w:type="dxa"/>
            <w:tcBorders>
              <w:top w:val="single" w:sz="4" w:space="0" w:color="auto"/>
              <w:bottom w:val="single" w:sz="4" w:space="0" w:color="auto"/>
            </w:tcBorders>
            <w:vAlign w:val="center"/>
          </w:tcPr>
          <w:p w14:paraId="3A1C5C26" w14:textId="77777777" w:rsidR="001D7FFD" w:rsidRPr="00F1660D" w:rsidRDefault="001D7FFD" w:rsidP="0080091E">
            <w:pPr>
              <w:pStyle w:val="Normal-pool"/>
              <w:jc w:val="right"/>
              <w:rPr>
                <w:b/>
                <w:color w:val="000000"/>
                <w:lang w:val="fr-FR"/>
              </w:rPr>
            </w:pPr>
            <w:r w:rsidRPr="00F1660D">
              <w:rPr>
                <w:b/>
                <w:bCs/>
                <w:lang w:val="fr-FR"/>
              </w:rPr>
              <w:t>50 000</w:t>
            </w:r>
          </w:p>
        </w:tc>
        <w:tc>
          <w:tcPr>
            <w:tcW w:w="1531" w:type="dxa"/>
            <w:tcBorders>
              <w:top w:val="single" w:sz="4" w:space="0" w:color="auto"/>
              <w:bottom w:val="single" w:sz="4" w:space="0" w:color="auto"/>
            </w:tcBorders>
            <w:vAlign w:val="center"/>
          </w:tcPr>
          <w:p w14:paraId="6D07FF6F" w14:textId="77777777" w:rsidR="001D7FFD" w:rsidRPr="00F1660D" w:rsidRDefault="001D7FFD" w:rsidP="0080091E">
            <w:pPr>
              <w:pStyle w:val="Normal-pool"/>
              <w:jc w:val="right"/>
              <w:rPr>
                <w:b/>
                <w:color w:val="000000"/>
                <w:lang w:val="fr-FR"/>
              </w:rPr>
            </w:pPr>
            <w:r w:rsidRPr="00F1660D">
              <w:rPr>
                <w:b/>
                <w:bCs/>
                <w:lang w:val="fr-FR"/>
              </w:rPr>
              <w:t>50 000</w:t>
            </w:r>
          </w:p>
        </w:tc>
      </w:tr>
      <w:tr w:rsidR="001D7FFD" w:rsidRPr="00F1660D" w14:paraId="4EE3336F" w14:textId="77777777" w:rsidTr="0080091E">
        <w:trPr>
          <w:trHeight w:val="57"/>
        </w:trPr>
        <w:tc>
          <w:tcPr>
            <w:tcW w:w="424" w:type="dxa"/>
            <w:tcBorders>
              <w:top w:val="single" w:sz="4" w:space="0" w:color="auto"/>
              <w:bottom w:val="single" w:sz="4" w:space="0" w:color="auto"/>
            </w:tcBorders>
          </w:tcPr>
          <w:p w14:paraId="1CA0D335"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60D34EA6" w14:textId="77777777" w:rsidR="001D7FFD" w:rsidRPr="00F1660D" w:rsidRDefault="001D7FFD" w:rsidP="0080091E">
            <w:pPr>
              <w:pStyle w:val="Normal-pool"/>
              <w:rPr>
                <w:lang w:val="fr-FR"/>
              </w:rPr>
            </w:pPr>
            <w:r w:rsidRPr="00F1660D">
              <w:rPr>
                <w:b/>
                <w:bCs/>
                <w:lang w:val="fr-FR"/>
              </w:rPr>
              <w:t>1300</w:t>
            </w:r>
          </w:p>
        </w:tc>
        <w:tc>
          <w:tcPr>
            <w:tcW w:w="7437" w:type="dxa"/>
            <w:gridSpan w:val="4"/>
            <w:tcBorders>
              <w:top w:val="single" w:sz="4" w:space="0" w:color="auto"/>
              <w:bottom w:val="single" w:sz="4" w:space="0" w:color="auto"/>
            </w:tcBorders>
          </w:tcPr>
          <w:p w14:paraId="257D3190" w14:textId="77777777" w:rsidR="001D7FFD" w:rsidRPr="00F1660D" w:rsidRDefault="001D7FFD" w:rsidP="0080091E">
            <w:pPr>
              <w:pStyle w:val="Normal-pool"/>
              <w:rPr>
                <w:lang w:val="fr-FR"/>
              </w:rPr>
            </w:pPr>
            <w:r w:rsidRPr="00F1660D">
              <w:rPr>
                <w:b/>
                <w:bCs/>
                <w:lang w:val="fr-FR"/>
              </w:rPr>
              <w:t>Appui administratif (titre et classe du poste)</w:t>
            </w:r>
          </w:p>
        </w:tc>
      </w:tr>
      <w:tr w:rsidR="001D7FFD" w:rsidRPr="00F1660D" w14:paraId="0EB628E8" w14:textId="77777777" w:rsidTr="0080091E">
        <w:trPr>
          <w:trHeight w:val="57"/>
        </w:trPr>
        <w:tc>
          <w:tcPr>
            <w:tcW w:w="424" w:type="dxa"/>
            <w:tcBorders>
              <w:top w:val="single" w:sz="4" w:space="0" w:color="auto"/>
            </w:tcBorders>
          </w:tcPr>
          <w:p w14:paraId="7D390628" w14:textId="77777777" w:rsidR="001D7FFD" w:rsidRPr="00F1660D" w:rsidRDefault="001D7FFD" w:rsidP="0080091E">
            <w:pPr>
              <w:pStyle w:val="Normal-pool"/>
              <w:rPr>
                <w:lang w:val="fr-FR"/>
              </w:rPr>
            </w:pPr>
          </w:p>
        </w:tc>
        <w:tc>
          <w:tcPr>
            <w:tcW w:w="474" w:type="dxa"/>
            <w:tcBorders>
              <w:top w:val="single" w:sz="4" w:space="0" w:color="auto"/>
            </w:tcBorders>
          </w:tcPr>
          <w:p w14:paraId="0FAE2EC3" w14:textId="77777777" w:rsidR="001D7FFD" w:rsidRPr="00F1660D" w:rsidRDefault="001D7FFD" w:rsidP="0080091E">
            <w:pPr>
              <w:pStyle w:val="Normal-pool"/>
              <w:rPr>
                <w:lang w:val="fr-FR"/>
              </w:rPr>
            </w:pPr>
          </w:p>
        </w:tc>
        <w:tc>
          <w:tcPr>
            <w:tcW w:w="520" w:type="dxa"/>
            <w:tcBorders>
              <w:top w:val="single" w:sz="4" w:space="0" w:color="auto"/>
            </w:tcBorders>
          </w:tcPr>
          <w:p w14:paraId="6A536345" w14:textId="5D6894E5" w:rsidR="001D7FFD" w:rsidRPr="00F1660D" w:rsidRDefault="001D7FFD" w:rsidP="0080091E">
            <w:pPr>
              <w:pStyle w:val="Normal-pool"/>
              <w:rPr>
                <w:lang w:val="fr-FR"/>
              </w:rPr>
            </w:pPr>
            <w:r w:rsidRPr="00F1660D">
              <w:rPr>
                <w:lang w:val="fr-FR"/>
              </w:rPr>
              <w:t>1301</w:t>
            </w:r>
          </w:p>
        </w:tc>
        <w:tc>
          <w:tcPr>
            <w:tcW w:w="4394" w:type="dxa"/>
            <w:tcBorders>
              <w:top w:val="single" w:sz="4" w:space="0" w:color="auto"/>
            </w:tcBorders>
          </w:tcPr>
          <w:p w14:paraId="5095CF8D" w14:textId="3B9C8416" w:rsidR="001D7FFD" w:rsidRPr="00F1660D" w:rsidRDefault="001D7FFD" w:rsidP="0080091E">
            <w:pPr>
              <w:pStyle w:val="Normal-pool"/>
              <w:rPr>
                <w:lang w:val="fr-FR"/>
              </w:rPr>
            </w:pPr>
            <w:r w:rsidRPr="00F1660D">
              <w:rPr>
                <w:lang w:val="fr-FR"/>
              </w:rPr>
              <w:t xml:space="preserve">Secrétaire (G-4) (Approche </w:t>
            </w:r>
            <w:proofErr w:type="gramStart"/>
            <w:r w:rsidRPr="00F1660D">
              <w:rPr>
                <w:lang w:val="fr-FR"/>
              </w:rPr>
              <w:t>stratégique)</w:t>
            </w:r>
            <w:r w:rsidRPr="00F1660D">
              <w:rPr>
                <w:vertAlign w:val="superscript"/>
                <w:lang w:val="fr-FR"/>
              </w:rPr>
              <w:t>a</w:t>
            </w:r>
            <w:proofErr w:type="gramEnd"/>
          </w:p>
        </w:tc>
        <w:tc>
          <w:tcPr>
            <w:tcW w:w="992" w:type="dxa"/>
            <w:tcBorders>
              <w:top w:val="single" w:sz="4" w:space="0" w:color="auto"/>
            </w:tcBorders>
          </w:tcPr>
          <w:p w14:paraId="51D6F096" w14:textId="7AFAB7AB" w:rsidR="001D7FFD" w:rsidRPr="00F1660D" w:rsidRDefault="001D7FFD" w:rsidP="0080091E">
            <w:pPr>
              <w:pStyle w:val="Normal-pool"/>
              <w:jc w:val="right"/>
              <w:rPr>
                <w:color w:val="000000"/>
                <w:lang w:val="fr-FR"/>
              </w:rPr>
            </w:pPr>
            <w:r w:rsidRPr="00F1660D">
              <w:rPr>
                <w:lang w:val="fr-FR"/>
              </w:rPr>
              <w:t>88 193</w:t>
            </w:r>
          </w:p>
        </w:tc>
        <w:tc>
          <w:tcPr>
            <w:tcW w:w="1531" w:type="dxa"/>
            <w:tcBorders>
              <w:top w:val="single" w:sz="4" w:space="0" w:color="auto"/>
            </w:tcBorders>
          </w:tcPr>
          <w:p w14:paraId="399B1D0C" w14:textId="1510AC99" w:rsidR="001D7FFD" w:rsidRPr="00F1660D" w:rsidRDefault="001D7FFD" w:rsidP="0080091E">
            <w:pPr>
              <w:pStyle w:val="Normal-pool"/>
              <w:jc w:val="right"/>
              <w:rPr>
                <w:lang w:val="fr-FR"/>
              </w:rPr>
            </w:pPr>
            <w:r w:rsidRPr="00F1660D">
              <w:rPr>
                <w:lang w:val="fr-FR"/>
              </w:rPr>
              <w:t>183 441</w:t>
            </w:r>
          </w:p>
        </w:tc>
      </w:tr>
      <w:tr w:rsidR="0080091E" w:rsidRPr="00F1660D" w14:paraId="23D96463" w14:textId="77777777" w:rsidTr="0080091E">
        <w:trPr>
          <w:trHeight w:val="57"/>
        </w:trPr>
        <w:tc>
          <w:tcPr>
            <w:tcW w:w="424" w:type="dxa"/>
          </w:tcPr>
          <w:p w14:paraId="2AADEF2E" w14:textId="77777777" w:rsidR="0080091E" w:rsidRPr="00F1660D" w:rsidRDefault="0080091E" w:rsidP="0080091E">
            <w:pPr>
              <w:pStyle w:val="Normal-pool"/>
              <w:rPr>
                <w:lang w:val="fr-FR"/>
              </w:rPr>
            </w:pPr>
          </w:p>
        </w:tc>
        <w:tc>
          <w:tcPr>
            <w:tcW w:w="474" w:type="dxa"/>
          </w:tcPr>
          <w:p w14:paraId="6DBD6FD4" w14:textId="77777777" w:rsidR="0080091E" w:rsidRPr="00F1660D" w:rsidRDefault="0080091E" w:rsidP="0080091E">
            <w:pPr>
              <w:pStyle w:val="Normal-pool"/>
              <w:rPr>
                <w:lang w:val="fr-FR"/>
              </w:rPr>
            </w:pPr>
          </w:p>
        </w:tc>
        <w:tc>
          <w:tcPr>
            <w:tcW w:w="520" w:type="dxa"/>
            <w:vAlign w:val="center"/>
          </w:tcPr>
          <w:p w14:paraId="17781A18" w14:textId="2A583667" w:rsidR="0080091E" w:rsidRPr="00F1660D" w:rsidRDefault="0080091E" w:rsidP="0080091E">
            <w:pPr>
              <w:pStyle w:val="Normal-pool"/>
              <w:rPr>
                <w:lang w:val="fr-FR"/>
              </w:rPr>
            </w:pPr>
            <w:r w:rsidRPr="00F1660D">
              <w:rPr>
                <w:lang w:val="fr-FR"/>
              </w:rPr>
              <w:t>1302</w:t>
            </w:r>
          </w:p>
        </w:tc>
        <w:tc>
          <w:tcPr>
            <w:tcW w:w="4394" w:type="dxa"/>
            <w:vAlign w:val="center"/>
          </w:tcPr>
          <w:p w14:paraId="758DCAC8" w14:textId="4626050C" w:rsidR="0080091E" w:rsidRPr="00F1660D" w:rsidRDefault="0080091E" w:rsidP="0080091E">
            <w:pPr>
              <w:pStyle w:val="Normal-pool"/>
              <w:rPr>
                <w:lang w:val="fr-FR"/>
              </w:rPr>
            </w:pPr>
            <w:r w:rsidRPr="00F1660D">
              <w:rPr>
                <w:lang w:val="fr-FR"/>
              </w:rPr>
              <w:t>Secrétaire (G-4) (Approche stratégique)</w:t>
            </w:r>
          </w:p>
        </w:tc>
        <w:tc>
          <w:tcPr>
            <w:tcW w:w="992" w:type="dxa"/>
            <w:vAlign w:val="center"/>
          </w:tcPr>
          <w:p w14:paraId="5BA9401C" w14:textId="7F652104" w:rsidR="0080091E" w:rsidRPr="00F1660D" w:rsidRDefault="0080091E" w:rsidP="0080091E">
            <w:pPr>
              <w:pStyle w:val="Normal-pool"/>
              <w:jc w:val="right"/>
              <w:rPr>
                <w:lang w:val="fr-FR"/>
              </w:rPr>
            </w:pPr>
            <w:r w:rsidRPr="00F1660D">
              <w:rPr>
                <w:lang w:val="fr-FR"/>
              </w:rPr>
              <w:t>176 385</w:t>
            </w:r>
          </w:p>
        </w:tc>
        <w:tc>
          <w:tcPr>
            <w:tcW w:w="1531" w:type="dxa"/>
            <w:vAlign w:val="center"/>
          </w:tcPr>
          <w:p w14:paraId="070D49EB" w14:textId="3BBA394E" w:rsidR="0080091E" w:rsidRPr="00F1660D" w:rsidRDefault="0080091E" w:rsidP="0080091E">
            <w:pPr>
              <w:pStyle w:val="Normal-pool"/>
              <w:jc w:val="right"/>
              <w:rPr>
                <w:lang w:val="fr-FR"/>
              </w:rPr>
            </w:pPr>
            <w:r w:rsidRPr="00F1660D">
              <w:rPr>
                <w:lang w:val="fr-FR"/>
              </w:rPr>
              <w:t>183 441</w:t>
            </w:r>
          </w:p>
        </w:tc>
      </w:tr>
      <w:tr w:rsidR="001D7FFD" w:rsidRPr="00F1660D" w14:paraId="716EE391" w14:textId="77777777" w:rsidTr="0080091E">
        <w:trPr>
          <w:trHeight w:val="57"/>
        </w:trPr>
        <w:tc>
          <w:tcPr>
            <w:tcW w:w="424" w:type="dxa"/>
            <w:tcBorders>
              <w:bottom w:val="single" w:sz="4" w:space="0" w:color="auto"/>
            </w:tcBorders>
          </w:tcPr>
          <w:p w14:paraId="7D4C140F" w14:textId="77777777" w:rsidR="001D7FFD" w:rsidRPr="00F1660D" w:rsidRDefault="001D7FFD" w:rsidP="0080091E">
            <w:pPr>
              <w:pStyle w:val="Normal-pool"/>
              <w:rPr>
                <w:lang w:val="fr-FR"/>
              </w:rPr>
            </w:pPr>
          </w:p>
        </w:tc>
        <w:tc>
          <w:tcPr>
            <w:tcW w:w="474" w:type="dxa"/>
            <w:tcBorders>
              <w:bottom w:val="single" w:sz="4" w:space="0" w:color="auto"/>
            </w:tcBorders>
          </w:tcPr>
          <w:p w14:paraId="6AAA8419" w14:textId="77777777" w:rsidR="001D7FFD" w:rsidRPr="00F1660D" w:rsidRDefault="001D7FFD" w:rsidP="0080091E">
            <w:pPr>
              <w:pStyle w:val="Normal-pool"/>
              <w:rPr>
                <w:lang w:val="fr-FR"/>
              </w:rPr>
            </w:pPr>
          </w:p>
        </w:tc>
        <w:tc>
          <w:tcPr>
            <w:tcW w:w="520" w:type="dxa"/>
            <w:tcBorders>
              <w:bottom w:val="single" w:sz="4" w:space="0" w:color="auto"/>
            </w:tcBorders>
            <w:vAlign w:val="center"/>
          </w:tcPr>
          <w:p w14:paraId="2A9AAEA4" w14:textId="77777777" w:rsidR="001D7FFD" w:rsidRPr="00F1660D" w:rsidRDefault="001D7FFD" w:rsidP="0080091E">
            <w:pPr>
              <w:pStyle w:val="Normal-pool"/>
              <w:rPr>
                <w:color w:val="000000"/>
                <w:lang w:val="fr-FR"/>
              </w:rPr>
            </w:pPr>
            <w:r w:rsidRPr="00F1660D">
              <w:rPr>
                <w:lang w:val="fr-FR"/>
              </w:rPr>
              <w:t>1320</w:t>
            </w:r>
          </w:p>
        </w:tc>
        <w:tc>
          <w:tcPr>
            <w:tcW w:w="4394" w:type="dxa"/>
            <w:tcBorders>
              <w:bottom w:val="single" w:sz="4" w:space="0" w:color="auto"/>
            </w:tcBorders>
            <w:vAlign w:val="center"/>
          </w:tcPr>
          <w:p w14:paraId="0B2A9137" w14:textId="77777777" w:rsidR="001D7FFD" w:rsidRPr="00F1660D" w:rsidRDefault="001D7FFD" w:rsidP="0080091E">
            <w:pPr>
              <w:pStyle w:val="Normal-pool"/>
              <w:rPr>
                <w:color w:val="000000"/>
                <w:lang w:val="fr-FR"/>
              </w:rPr>
            </w:pPr>
            <w:r w:rsidRPr="00F1660D">
              <w:rPr>
                <w:lang w:val="fr-FR"/>
              </w:rPr>
              <w:t>Heures supplémentaires ou personnel temporaire</w:t>
            </w:r>
          </w:p>
        </w:tc>
        <w:tc>
          <w:tcPr>
            <w:tcW w:w="992" w:type="dxa"/>
            <w:tcBorders>
              <w:bottom w:val="single" w:sz="4" w:space="0" w:color="auto"/>
            </w:tcBorders>
            <w:vAlign w:val="center"/>
          </w:tcPr>
          <w:p w14:paraId="7B1190F7" w14:textId="77777777" w:rsidR="001D7FFD" w:rsidRPr="00F1660D" w:rsidRDefault="001D7FFD" w:rsidP="0080091E">
            <w:pPr>
              <w:pStyle w:val="Normal-pool"/>
              <w:jc w:val="right"/>
              <w:rPr>
                <w:color w:val="000000"/>
                <w:lang w:val="fr-FR"/>
              </w:rPr>
            </w:pPr>
            <w:r w:rsidRPr="00F1660D">
              <w:rPr>
                <w:lang w:val="fr-FR"/>
              </w:rPr>
              <w:t>–</w:t>
            </w:r>
          </w:p>
        </w:tc>
        <w:tc>
          <w:tcPr>
            <w:tcW w:w="1531" w:type="dxa"/>
            <w:tcBorders>
              <w:bottom w:val="single" w:sz="4" w:space="0" w:color="auto"/>
            </w:tcBorders>
            <w:vAlign w:val="center"/>
          </w:tcPr>
          <w:p w14:paraId="6BF35774" w14:textId="77777777" w:rsidR="001D7FFD" w:rsidRPr="00F1660D" w:rsidRDefault="001D7FFD" w:rsidP="0080091E">
            <w:pPr>
              <w:pStyle w:val="Normal-pool"/>
              <w:jc w:val="right"/>
              <w:rPr>
                <w:color w:val="000000"/>
                <w:lang w:val="fr-FR"/>
              </w:rPr>
            </w:pPr>
            <w:r w:rsidRPr="00F1660D">
              <w:rPr>
                <w:lang w:val="fr-FR"/>
              </w:rPr>
              <w:t>10 000</w:t>
            </w:r>
          </w:p>
        </w:tc>
      </w:tr>
      <w:tr w:rsidR="001D7FFD" w:rsidRPr="00F1660D" w14:paraId="12A3C324" w14:textId="77777777" w:rsidTr="0080091E">
        <w:trPr>
          <w:trHeight w:val="57"/>
        </w:trPr>
        <w:tc>
          <w:tcPr>
            <w:tcW w:w="424" w:type="dxa"/>
            <w:tcBorders>
              <w:top w:val="single" w:sz="4" w:space="0" w:color="auto"/>
              <w:bottom w:val="single" w:sz="4" w:space="0" w:color="auto"/>
            </w:tcBorders>
          </w:tcPr>
          <w:p w14:paraId="461D1734"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65100486" w14:textId="77777777" w:rsidR="001D7FFD" w:rsidRPr="00F1660D" w:rsidRDefault="001D7FFD" w:rsidP="0080091E">
            <w:pPr>
              <w:pStyle w:val="Normal-pool"/>
              <w:rPr>
                <w:lang w:val="fr-FR"/>
              </w:rPr>
            </w:pPr>
          </w:p>
        </w:tc>
        <w:tc>
          <w:tcPr>
            <w:tcW w:w="520" w:type="dxa"/>
            <w:tcBorders>
              <w:top w:val="single" w:sz="4" w:space="0" w:color="auto"/>
              <w:bottom w:val="single" w:sz="4" w:space="0" w:color="auto"/>
            </w:tcBorders>
            <w:vAlign w:val="center"/>
          </w:tcPr>
          <w:p w14:paraId="328A7254" w14:textId="77777777" w:rsidR="001D7FFD" w:rsidRPr="00F1660D" w:rsidRDefault="001D7FFD" w:rsidP="0080091E">
            <w:pPr>
              <w:pStyle w:val="Normal-pool"/>
              <w:rPr>
                <w:b/>
                <w:bCs/>
                <w:color w:val="000000"/>
                <w:lang w:val="fr-FR"/>
              </w:rPr>
            </w:pPr>
            <w:r w:rsidRPr="00F1660D">
              <w:rPr>
                <w:b/>
                <w:bCs/>
                <w:lang w:val="fr-FR"/>
              </w:rPr>
              <w:t>1399</w:t>
            </w:r>
          </w:p>
        </w:tc>
        <w:tc>
          <w:tcPr>
            <w:tcW w:w="4394" w:type="dxa"/>
            <w:tcBorders>
              <w:top w:val="single" w:sz="4" w:space="0" w:color="auto"/>
              <w:bottom w:val="single" w:sz="4" w:space="0" w:color="auto"/>
            </w:tcBorders>
            <w:vAlign w:val="center"/>
          </w:tcPr>
          <w:p w14:paraId="0450DEB4"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2D7C5F3B" w14:textId="77777777" w:rsidR="001D7FFD" w:rsidRPr="00F1660D" w:rsidRDefault="001D7FFD" w:rsidP="0080091E">
            <w:pPr>
              <w:pStyle w:val="Normal-pool"/>
              <w:jc w:val="right"/>
              <w:rPr>
                <w:b/>
                <w:color w:val="000000"/>
                <w:lang w:val="fr-FR"/>
              </w:rPr>
            </w:pPr>
            <w:r w:rsidRPr="00F1660D">
              <w:rPr>
                <w:b/>
                <w:bCs/>
                <w:lang w:val="fr-FR"/>
              </w:rPr>
              <w:t>264 578</w:t>
            </w:r>
          </w:p>
        </w:tc>
        <w:tc>
          <w:tcPr>
            <w:tcW w:w="1531" w:type="dxa"/>
            <w:tcBorders>
              <w:top w:val="single" w:sz="4" w:space="0" w:color="auto"/>
              <w:bottom w:val="single" w:sz="4" w:space="0" w:color="auto"/>
            </w:tcBorders>
            <w:vAlign w:val="center"/>
          </w:tcPr>
          <w:p w14:paraId="175E2AFC" w14:textId="77777777" w:rsidR="001D7FFD" w:rsidRPr="00F1660D" w:rsidRDefault="001D7FFD" w:rsidP="0080091E">
            <w:pPr>
              <w:pStyle w:val="Normal-pool"/>
              <w:jc w:val="right"/>
              <w:rPr>
                <w:b/>
                <w:color w:val="000000"/>
                <w:lang w:val="fr-FR"/>
              </w:rPr>
            </w:pPr>
            <w:r w:rsidRPr="00F1660D">
              <w:rPr>
                <w:b/>
                <w:bCs/>
                <w:lang w:val="fr-FR"/>
              </w:rPr>
              <w:t>376 882</w:t>
            </w:r>
          </w:p>
        </w:tc>
      </w:tr>
      <w:tr w:rsidR="001D7FFD" w:rsidRPr="00F1660D" w14:paraId="6A015969" w14:textId="77777777" w:rsidTr="0080091E">
        <w:trPr>
          <w:trHeight w:val="57"/>
        </w:trPr>
        <w:tc>
          <w:tcPr>
            <w:tcW w:w="424" w:type="dxa"/>
            <w:tcBorders>
              <w:top w:val="single" w:sz="4" w:space="0" w:color="auto"/>
              <w:bottom w:val="single" w:sz="4" w:space="0" w:color="auto"/>
            </w:tcBorders>
          </w:tcPr>
          <w:p w14:paraId="2F81FB65"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289617D3" w14:textId="77777777" w:rsidR="001D7FFD" w:rsidRPr="00F1660D" w:rsidRDefault="001D7FFD" w:rsidP="0080091E">
            <w:pPr>
              <w:pStyle w:val="Normal-pool"/>
              <w:rPr>
                <w:lang w:val="fr-FR"/>
              </w:rPr>
            </w:pPr>
            <w:r w:rsidRPr="00F1660D">
              <w:rPr>
                <w:b/>
                <w:bCs/>
                <w:lang w:val="fr-FR"/>
              </w:rPr>
              <w:t>1600</w:t>
            </w:r>
          </w:p>
        </w:tc>
        <w:tc>
          <w:tcPr>
            <w:tcW w:w="7437" w:type="dxa"/>
            <w:gridSpan w:val="4"/>
            <w:tcBorders>
              <w:top w:val="single" w:sz="4" w:space="0" w:color="auto"/>
              <w:bottom w:val="single" w:sz="4" w:space="0" w:color="auto"/>
            </w:tcBorders>
            <w:vAlign w:val="center"/>
          </w:tcPr>
          <w:p w14:paraId="211CD418" w14:textId="77777777" w:rsidR="001D7FFD" w:rsidRPr="00F1660D" w:rsidRDefault="001D7FFD" w:rsidP="0080091E">
            <w:pPr>
              <w:pStyle w:val="Normal-pool"/>
              <w:rPr>
                <w:lang w:val="fr-FR"/>
              </w:rPr>
            </w:pPr>
            <w:r w:rsidRPr="00F1660D">
              <w:rPr>
                <w:b/>
                <w:bCs/>
                <w:lang w:val="fr-FR"/>
              </w:rPr>
              <w:t>Voyages en mission</w:t>
            </w:r>
          </w:p>
        </w:tc>
      </w:tr>
      <w:tr w:rsidR="001D7FFD" w:rsidRPr="00F1660D" w14:paraId="7BE018FA" w14:textId="77777777" w:rsidTr="0080091E">
        <w:trPr>
          <w:trHeight w:val="57"/>
        </w:trPr>
        <w:tc>
          <w:tcPr>
            <w:tcW w:w="424" w:type="dxa"/>
            <w:tcBorders>
              <w:top w:val="single" w:sz="4" w:space="0" w:color="auto"/>
              <w:bottom w:val="single" w:sz="4" w:space="0" w:color="auto"/>
            </w:tcBorders>
          </w:tcPr>
          <w:p w14:paraId="50CFEFEE"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54344EAF" w14:textId="77777777" w:rsidR="001D7FFD" w:rsidRPr="00F1660D" w:rsidRDefault="001D7FFD" w:rsidP="0080091E">
            <w:pPr>
              <w:pStyle w:val="Normal-pool"/>
              <w:rPr>
                <w:lang w:val="fr-FR"/>
              </w:rPr>
            </w:pPr>
          </w:p>
        </w:tc>
        <w:tc>
          <w:tcPr>
            <w:tcW w:w="520" w:type="dxa"/>
            <w:tcBorders>
              <w:top w:val="single" w:sz="4" w:space="0" w:color="auto"/>
              <w:bottom w:val="single" w:sz="4" w:space="0" w:color="auto"/>
            </w:tcBorders>
            <w:vAlign w:val="center"/>
          </w:tcPr>
          <w:p w14:paraId="75BB6584" w14:textId="77777777" w:rsidR="001D7FFD" w:rsidRPr="00F1660D" w:rsidRDefault="001D7FFD" w:rsidP="0080091E">
            <w:pPr>
              <w:pStyle w:val="Normal-pool"/>
              <w:rPr>
                <w:color w:val="000000"/>
                <w:lang w:val="fr-FR"/>
              </w:rPr>
            </w:pPr>
            <w:r w:rsidRPr="00F1660D">
              <w:rPr>
                <w:lang w:val="fr-FR"/>
              </w:rPr>
              <w:t>1601</w:t>
            </w:r>
          </w:p>
        </w:tc>
        <w:tc>
          <w:tcPr>
            <w:tcW w:w="4394" w:type="dxa"/>
            <w:tcBorders>
              <w:top w:val="single" w:sz="4" w:space="0" w:color="auto"/>
              <w:bottom w:val="single" w:sz="4" w:space="0" w:color="auto"/>
            </w:tcBorders>
            <w:vAlign w:val="center"/>
          </w:tcPr>
          <w:p w14:paraId="31325FE8" w14:textId="77777777" w:rsidR="001D7FFD" w:rsidRPr="00F1660D" w:rsidRDefault="001D7FFD" w:rsidP="0080091E">
            <w:pPr>
              <w:pStyle w:val="Normal-pool"/>
              <w:rPr>
                <w:color w:val="000000"/>
                <w:lang w:val="fr-FR"/>
              </w:rPr>
            </w:pPr>
            <w:r w:rsidRPr="00F1660D">
              <w:rPr>
                <w:bCs/>
                <w:lang w:val="fr-FR"/>
              </w:rPr>
              <w:t>Voyages du personnel en mission</w:t>
            </w:r>
          </w:p>
        </w:tc>
        <w:tc>
          <w:tcPr>
            <w:tcW w:w="992" w:type="dxa"/>
            <w:tcBorders>
              <w:top w:val="single" w:sz="4" w:space="0" w:color="auto"/>
              <w:bottom w:val="single" w:sz="4" w:space="0" w:color="auto"/>
            </w:tcBorders>
            <w:vAlign w:val="center"/>
          </w:tcPr>
          <w:p w14:paraId="749610EF" w14:textId="77777777" w:rsidR="001D7FFD" w:rsidRPr="00F1660D" w:rsidRDefault="001D7FFD" w:rsidP="0080091E">
            <w:pPr>
              <w:pStyle w:val="Normal-pool"/>
              <w:jc w:val="right"/>
              <w:rPr>
                <w:color w:val="000000"/>
                <w:lang w:val="fr-FR"/>
              </w:rPr>
            </w:pPr>
            <w:r w:rsidRPr="00F1660D">
              <w:rPr>
                <w:lang w:val="fr-FR"/>
              </w:rPr>
              <w:t>70 000</w:t>
            </w:r>
          </w:p>
        </w:tc>
        <w:tc>
          <w:tcPr>
            <w:tcW w:w="1531" w:type="dxa"/>
            <w:tcBorders>
              <w:top w:val="single" w:sz="4" w:space="0" w:color="auto"/>
              <w:bottom w:val="single" w:sz="4" w:space="0" w:color="auto"/>
            </w:tcBorders>
            <w:vAlign w:val="center"/>
          </w:tcPr>
          <w:p w14:paraId="3C148FDE" w14:textId="77777777" w:rsidR="001D7FFD" w:rsidRPr="00F1660D" w:rsidRDefault="001D7FFD" w:rsidP="0080091E">
            <w:pPr>
              <w:pStyle w:val="Normal-pool"/>
              <w:jc w:val="right"/>
              <w:rPr>
                <w:color w:val="000000"/>
                <w:lang w:val="fr-FR"/>
              </w:rPr>
            </w:pPr>
            <w:r w:rsidRPr="00F1660D">
              <w:rPr>
                <w:lang w:val="fr-FR"/>
              </w:rPr>
              <w:t>60 000</w:t>
            </w:r>
          </w:p>
        </w:tc>
      </w:tr>
      <w:tr w:rsidR="001D7FFD" w:rsidRPr="00F1660D" w14:paraId="4F2358C7" w14:textId="77777777" w:rsidTr="0080091E">
        <w:trPr>
          <w:trHeight w:val="57"/>
        </w:trPr>
        <w:tc>
          <w:tcPr>
            <w:tcW w:w="424" w:type="dxa"/>
            <w:tcBorders>
              <w:top w:val="single" w:sz="4" w:space="0" w:color="auto"/>
              <w:bottom w:val="single" w:sz="4" w:space="0" w:color="auto"/>
            </w:tcBorders>
          </w:tcPr>
          <w:p w14:paraId="5F2B2D26"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166FEE3D" w14:textId="77777777" w:rsidR="001D7FFD" w:rsidRPr="00F1660D" w:rsidRDefault="001D7FFD" w:rsidP="0080091E">
            <w:pPr>
              <w:pStyle w:val="Normal-pool"/>
              <w:rPr>
                <w:lang w:val="fr-FR"/>
              </w:rPr>
            </w:pPr>
          </w:p>
        </w:tc>
        <w:tc>
          <w:tcPr>
            <w:tcW w:w="520" w:type="dxa"/>
            <w:tcBorders>
              <w:top w:val="single" w:sz="4" w:space="0" w:color="auto"/>
              <w:bottom w:val="single" w:sz="4" w:space="0" w:color="auto"/>
            </w:tcBorders>
            <w:vAlign w:val="center"/>
          </w:tcPr>
          <w:p w14:paraId="5F134F0F" w14:textId="77777777" w:rsidR="001D7FFD" w:rsidRPr="00F1660D" w:rsidRDefault="001D7FFD" w:rsidP="0080091E">
            <w:pPr>
              <w:pStyle w:val="Normal-pool"/>
              <w:rPr>
                <w:b/>
                <w:bCs/>
                <w:color w:val="000000"/>
                <w:lang w:val="fr-FR"/>
              </w:rPr>
            </w:pPr>
            <w:r w:rsidRPr="00F1660D">
              <w:rPr>
                <w:b/>
                <w:bCs/>
                <w:lang w:val="fr-FR"/>
              </w:rPr>
              <w:t>1699</w:t>
            </w:r>
          </w:p>
        </w:tc>
        <w:tc>
          <w:tcPr>
            <w:tcW w:w="4394" w:type="dxa"/>
            <w:tcBorders>
              <w:top w:val="single" w:sz="4" w:space="0" w:color="auto"/>
              <w:bottom w:val="single" w:sz="4" w:space="0" w:color="auto"/>
            </w:tcBorders>
            <w:vAlign w:val="center"/>
          </w:tcPr>
          <w:p w14:paraId="02CCD56F"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0724B4C8" w14:textId="77777777" w:rsidR="001D7FFD" w:rsidRPr="00F1660D" w:rsidRDefault="001D7FFD" w:rsidP="0080091E">
            <w:pPr>
              <w:pStyle w:val="Normal-pool"/>
              <w:jc w:val="right"/>
              <w:rPr>
                <w:b/>
                <w:color w:val="000000"/>
                <w:lang w:val="fr-FR"/>
              </w:rPr>
            </w:pPr>
            <w:r w:rsidRPr="00F1660D">
              <w:rPr>
                <w:b/>
                <w:bCs/>
                <w:lang w:val="fr-FR"/>
              </w:rPr>
              <w:t>70 000</w:t>
            </w:r>
          </w:p>
        </w:tc>
        <w:tc>
          <w:tcPr>
            <w:tcW w:w="1531" w:type="dxa"/>
            <w:tcBorders>
              <w:top w:val="single" w:sz="4" w:space="0" w:color="auto"/>
              <w:bottom w:val="single" w:sz="4" w:space="0" w:color="auto"/>
            </w:tcBorders>
            <w:vAlign w:val="center"/>
          </w:tcPr>
          <w:p w14:paraId="26380BA4" w14:textId="77777777" w:rsidR="001D7FFD" w:rsidRPr="00F1660D" w:rsidRDefault="001D7FFD" w:rsidP="0080091E">
            <w:pPr>
              <w:pStyle w:val="Normal-pool"/>
              <w:jc w:val="right"/>
              <w:rPr>
                <w:b/>
                <w:color w:val="000000"/>
                <w:lang w:val="fr-FR"/>
              </w:rPr>
            </w:pPr>
            <w:r w:rsidRPr="00F1660D">
              <w:rPr>
                <w:b/>
                <w:bCs/>
                <w:lang w:val="fr-FR"/>
              </w:rPr>
              <w:t>60 000</w:t>
            </w:r>
          </w:p>
        </w:tc>
      </w:tr>
      <w:tr w:rsidR="001D7FFD" w:rsidRPr="00F1660D" w14:paraId="2BB48242" w14:textId="77777777" w:rsidTr="0080091E">
        <w:trPr>
          <w:trHeight w:val="57"/>
        </w:trPr>
        <w:tc>
          <w:tcPr>
            <w:tcW w:w="424" w:type="dxa"/>
            <w:tcBorders>
              <w:top w:val="single" w:sz="4" w:space="0" w:color="auto"/>
              <w:bottom w:val="single" w:sz="4" w:space="0" w:color="auto"/>
            </w:tcBorders>
          </w:tcPr>
          <w:p w14:paraId="1A119C74"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vAlign w:val="center"/>
          </w:tcPr>
          <w:p w14:paraId="30ABDB51" w14:textId="77777777" w:rsidR="001D7FFD" w:rsidRPr="00F1660D" w:rsidRDefault="001D7FFD" w:rsidP="0080091E">
            <w:pPr>
              <w:pStyle w:val="Normal-pool"/>
              <w:rPr>
                <w:b/>
                <w:bCs/>
                <w:color w:val="000000"/>
                <w:lang w:val="fr-FR"/>
              </w:rPr>
            </w:pPr>
            <w:r w:rsidRPr="00F1660D">
              <w:rPr>
                <w:b/>
                <w:bCs/>
                <w:lang w:val="fr-FR"/>
              </w:rPr>
              <w:t>1999</w:t>
            </w:r>
          </w:p>
        </w:tc>
        <w:tc>
          <w:tcPr>
            <w:tcW w:w="4914" w:type="dxa"/>
            <w:gridSpan w:val="2"/>
            <w:tcBorders>
              <w:top w:val="single" w:sz="4" w:space="0" w:color="auto"/>
              <w:bottom w:val="single" w:sz="4" w:space="0" w:color="auto"/>
            </w:tcBorders>
            <w:vAlign w:val="center"/>
          </w:tcPr>
          <w:p w14:paraId="4C098FB6" w14:textId="77777777" w:rsidR="001D7FFD" w:rsidRPr="00F1660D" w:rsidRDefault="001D7FFD" w:rsidP="0080091E">
            <w:pPr>
              <w:pStyle w:val="Normal-pool"/>
              <w:rPr>
                <w:b/>
                <w:bCs/>
                <w:color w:val="000000"/>
                <w:lang w:val="fr-FR"/>
              </w:rPr>
            </w:pPr>
            <w:r w:rsidRPr="00F1660D">
              <w:rPr>
                <w:b/>
                <w:bCs/>
                <w:lang w:val="fr-FR"/>
              </w:rPr>
              <w:t>Total élément</w:t>
            </w:r>
          </w:p>
        </w:tc>
        <w:tc>
          <w:tcPr>
            <w:tcW w:w="992" w:type="dxa"/>
            <w:tcBorders>
              <w:top w:val="single" w:sz="4" w:space="0" w:color="auto"/>
              <w:bottom w:val="single" w:sz="4" w:space="0" w:color="auto"/>
            </w:tcBorders>
            <w:vAlign w:val="center"/>
          </w:tcPr>
          <w:p w14:paraId="25DB186E" w14:textId="77777777" w:rsidR="001D7FFD" w:rsidRPr="00F1660D" w:rsidRDefault="001D7FFD" w:rsidP="0080091E">
            <w:pPr>
              <w:pStyle w:val="Normal-pool"/>
              <w:jc w:val="right"/>
              <w:rPr>
                <w:color w:val="000000"/>
                <w:lang w:val="fr-FR"/>
              </w:rPr>
            </w:pPr>
            <w:r w:rsidRPr="00F1660D">
              <w:rPr>
                <w:b/>
                <w:color w:val="000000"/>
                <w:lang w:val="fr-FR" w:eastAsia="fr-CH"/>
              </w:rPr>
              <w:t>1 445 310</w:t>
            </w:r>
          </w:p>
        </w:tc>
        <w:tc>
          <w:tcPr>
            <w:tcW w:w="1531" w:type="dxa"/>
            <w:tcBorders>
              <w:top w:val="single" w:sz="4" w:space="0" w:color="auto"/>
              <w:bottom w:val="single" w:sz="4" w:space="0" w:color="auto"/>
            </w:tcBorders>
            <w:vAlign w:val="center"/>
          </w:tcPr>
          <w:p w14:paraId="6144E93C" w14:textId="77777777" w:rsidR="001D7FFD" w:rsidRPr="00F1660D" w:rsidRDefault="001D7FFD" w:rsidP="0080091E">
            <w:pPr>
              <w:pStyle w:val="Normal-pool"/>
              <w:jc w:val="right"/>
              <w:rPr>
                <w:color w:val="000000"/>
                <w:lang w:val="fr-FR"/>
              </w:rPr>
            </w:pPr>
            <w:r w:rsidRPr="00F1660D">
              <w:rPr>
                <w:b/>
                <w:color w:val="000000"/>
                <w:lang w:val="fr-FR" w:eastAsia="fr-CH"/>
              </w:rPr>
              <w:t>1 450 227</w:t>
            </w:r>
          </w:p>
        </w:tc>
      </w:tr>
      <w:tr w:rsidR="001D7FFD" w:rsidRPr="00F1660D" w14:paraId="07C781FF" w14:textId="77777777" w:rsidTr="0080091E">
        <w:trPr>
          <w:trHeight w:val="57"/>
        </w:trPr>
        <w:tc>
          <w:tcPr>
            <w:tcW w:w="424" w:type="dxa"/>
            <w:tcBorders>
              <w:top w:val="single" w:sz="4" w:space="0" w:color="auto"/>
              <w:bottom w:val="single" w:sz="4" w:space="0" w:color="auto"/>
            </w:tcBorders>
            <w:vAlign w:val="center"/>
          </w:tcPr>
          <w:p w14:paraId="46F5E130" w14:textId="77777777" w:rsidR="001D7FFD" w:rsidRPr="00F1660D" w:rsidRDefault="001D7FFD" w:rsidP="0080091E">
            <w:pPr>
              <w:pStyle w:val="Normal-pool"/>
              <w:rPr>
                <w:b/>
                <w:bCs/>
                <w:color w:val="000000"/>
                <w:lang w:val="fr-FR"/>
              </w:rPr>
            </w:pPr>
            <w:r w:rsidRPr="00F1660D">
              <w:rPr>
                <w:b/>
                <w:bCs/>
                <w:lang w:val="fr-FR"/>
              </w:rPr>
              <w:t>20</w:t>
            </w:r>
          </w:p>
        </w:tc>
        <w:tc>
          <w:tcPr>
            <w:tcW w:w="7911" w:type="dxa"/>
            <w:gridSpan w:val="5"/>
            <w:tcBorders>
              <w:top w:val="single" w:sz="4" w:space="0" w:color="auto"/>
              <w:bottom w:val="single" w:sz="4" w:space="0" w:color="auto"/>
            </w:tcBorders>
            <w:vAlign w:val="center"/>
          </w:tcPr>
          <w:p w14:paraId="61CCC5A7" w14:textId="77777777" w:rsidR="001D7FFD" w:rsidRPr="00F1660D" w:rsidRDefault="001D7FFD" w:rsidP="0080091E">
            <w:pPr>
              <w:pStyle w:val="Normal-pool"/>
              <w:rPr>
                <w:b/>
                <w:bCs/>
                <w:color w:val="000000"/>
                <w:lang w:val="fr-FR"/>
              </w:rPr>
            </w:pPr>
            <w:r w:rsidRPr="00F1660D">
              <w:rPr>
                <w:b/>
                <w:bCs/>
                <w:lang w:val="fr-FR"/>
              </w:rPr>
              <w:t>Sous-traitance</w:t>
            </w:r>
          </w:p>
        </w:tc>
      </w:tr>
      <w:tr w:rsidR="001D7FFD" w:rsidRPr="00F1660D" w14:paraId="0C4C5D03" w14:textId="77777777" w:rsidTr="0080091E">
        <w:trPr>
          <w:trHeight w:val="57"/>
        </w:trPr>
        <w:tc>
          <w:tcPr>
            <w:tcW w:w="424" w:type="dxa"/>
            <w:tcBorders>
              <w:top w:val="single" w:sz="4" w:space="0" w:color="auto"/>
              <w:bottom w:val="single" w:sz="4" w:space="0" w:color="auto"/>
            </w:tcBorders>
          </w:tcPr>
          <w:p w14:paraId="0BD2BD73"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vAlign w:val="center"/>
          </w:tcPr>
          <w:p w14:paraId="2EBAA5E4" w14:textId="77777777" w:rsidR="001D7FFD" w:rsidRPr="00F1660D" w:rsidRDefault="001D7FFD" w:rsidP="0080091E">
            <w:pPr>
              <w:pStyle w:val="Normal-pool"/>
              <w:rPr>
                <w:b/>
                <w:bCs/>
                <w:color w:val="000000"/>
                <w:lang w:val="fr-FR"/>
              </w:rPr>
            </w:pPr>
            <w:r w:rsidRPr="00F1660D">
              <w:rPr>
                <w:b/>
                <w:lang w:val="fr-FR"/>
              </w:rPr>
              <w:t>2100</w:t>
            </w:r>
          </w:p>
        </w:tc>
        <w:tc>
          <w:tcPr>
            <w:tcW w:w="7437" w:type="dxa"/>
            <w:gridSpan w:val="4"/>
            <w:tcBorders>
              <w:top w:val="single" w:sz="4" w:space="0" w:color="auto"/>
              <w:bottom w:val="single" w:sz="4" w:space="0" w:color="auto"/>
            </w:tcBorders>
            <w:vAlign w:val="center"/>
          </w:tcPr>
          <w:p w14:paraId="497AEFBF" w14:textId="77777777" w:rsidR="001D7FFD" w:rsidRPr="00F1660D" w:rsidRDefault="001D7FFD" w:rsidP="0080091E">
            <w:pPr>
              <w:pStyle w:val="Normal-pool"/>
              <w:rPr>
                <w:b/>
                <w:bCs/>
                <w:color w:val="000000"/>
                <w:lang w:val="fr-FR"/>
              </w:rPr>
            </w:pPr>
            <w:r w:rsidRPr="00F1660D">
              <w:rPr>
                <w:b/>
                <w:bCs/>
                <w:lang w:val="fr-FR"/>
              </w:rPr>
              <w:t>Sous-traitance pour la fourniture des installations et services de conférence</w:t>
            </w:r>
          </w:p>
        </w:tc>
      </w:tr>
      <w:tr w:rsidR="001D7FFD" w:rsidRPr="00F1660D" w14:paraId="7C6FA2EF" w14:textId="77777777" w:rsidTr="0080091E">
        <w:trPr>
          <w:trHeight w:val="57"/>
        </w:trPr>
        <w:tc>
          <w:tcPr>
            <w:tcW w:w="424" w:type="dxa"/>
            <w:tcBorders>
              <w:top w:val="single" w:sz="4" w:space="0" w:color="auto"/>
            </w:tcBorders>
          </w:tcPr>
          <w:p w14:paraId="689901C5" w14:textId="77777777" w:rsidR="001D7FFD" w:rsidRPr="00F1660D" w:rsidRDefault="001D7FFD" w:rsidP="0080091E">
            <w:pPr>
              <w:pStyle w:val="Normal-pool"/>
              <w:rPr>
                <w:lang w:val="fr-FR"/>
              </w:rPr>
            </w:pPr>
          </w:p>
        </w:tc>
        <w:tc>
          <w:tcPr>
            <w:tcW w:w="474" w:type="dxa"/>
            <w:tcBorders>
              <w:top w:val="single" w:sz="4" w:space="0" w:color="auto"/>
            </w:tcBorders>
            <w:vAlign w:val="center"/>
          </w:tcPr>
          <w:p w14:paraId="50E5DFEC" w14:textId="77777777" w:rsidR="001D7FFD" w:rsidRPr="00F1660D" w:rsidRDefault="001D7FFD" w:rsidP="0080091E">
            <w:pPr>
              <w:pStyle w:val="Normal-pool"/>
              <w:rPr>
                <w:b/>
                <w:bCs/>
                <w:color w:val="000000"/>
                <w:lang w:val="fr-FR" w:eastAsia="fr-CH"/>
              </w:rPr>
            </w:pPr>
          </w:p>
        </w:tc>
        <w:tc>
          <w:tcPr>
            <w:tcW w:w="520" w:type="dxa"/>
            <w:tcBorders>
              <w:top w:val="single" w:sz="4" w:space="0" w:color="auto"/>
            </w:tcBorders>
            <w:vAlign w:val="center"/>
          </w:tcPr>
          <w:p w14:paraId="1DCC3628" w14:textId="77777777" w:rsidR="001D7FFD" w:rsidRPr="00F1660D" w:rsidRDefault="001D7FFD" w:rsidP="0080091E">
            <w:pPr>
              <w:pStyle w:val="Normal-pool"/>
              <w:rPr>
                <w:color w:val="000000"/>
                <w:lang w:val="fr-FR"/>
              </w:rPr>
            </w:pPr>
            <w:r w:rsidRPr="00F1660D">
              <w:rPr>
                <w:lang w:val="fr-FR"/>
              </w:rPr>
              <w:t>2101</w:t>
            </w:r>
          </w:p>
        </w:tc>
        <w:tc>
          <w:tcPr>
            <w:tcW w:w="4394" w:type="dxa"/>
            <w:tcBorders>
              <w:top w:val="single" w:sz="4" w:space="0" w:color="auto"/>
            </w:tcBorders>
            <w:vAlign w:val="center"/>
          </w:tcPr>
          <w:p w14:paraId="3E4652B4" w14:textId="77777777" w:rsidR="001D7FFD" w:rsidRPr="00F1660D" w:rsidRDefault="001D7FFD" w:rsidP="0080091E">
            <w:pPr>
              <w:pStyle w:val="Normal-pool"/>
              <w:rPr>
                <w:color w:val="000000"/>
                <w:lang w:val="fr-FR"/>
              </w:rPr>
            </w:pPr>
            <w:r w:rsidRPr="00F1660D">
              <w:rPr>
                <w:lang w:val="fr-FR"/>
              </w:rPr>
              <w:t>Conseil exécutif du Programme de démarrage rapide</w:t>
            </w:r>
          </w:p>
        </w:tc>
        <w:tc>
          <w:tcPr>
            <w:tcW w:w="992" w:type="dxa"/>
            <w:tcBorders>
              <w:top w:val="single" w:sz="4" w:space="0" w:color="auto"/>
            </w:tcBorders>
            <w:vAlign w:val="center"/>
          </w:tcPr>
          <w:p w14:paraId="2ADFA9BF" w14:textId="77777777" w:rsidR="001D7FFD" w:rsidRPr="00F1660D" w:rsidRDefault="001D7FFD" w:rsidP="0080091E">
            <w:pPr>
              <w:pStyle w:val="Normal-pool"/>
              <w:jc w:val="right"/>
              <w:rPr>
                <w:color w:val="000000"/>
                <w:lang w:val="fr-FR"/>
              </w:rPr>
            </w:pPr>
            <w:r w:rsidRPr="00F1660D">
              <w:rPr>
                <w:lang w:val="fr-FR"/>
              </w:rPr>
              <w:t xml:space="preserve">2 000 </w:t>
            </w:r>
          </w:p>
        </w:tc>
        <w:tc>
          <w:tcPr>
            <w:tcW w:w="1531" w:type="dxa"/>
            <w:tcBorders>
              <w:top w:val="single" w:sz="4" w:space="0" w:color="auto"/>
            </w:tcBorders>
            <w:vAlign w:val="center"/>
          </w:tcPr>
          <w:p w14:paraId="617FBC82"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603AC8DC" w14:textId="77777777" w:rsidTr="0080091E">
        <w:trPr>
          <w:trHeight w:val="57"/>
        </w:trPr>
        <w:tc>
          <w:tcPr>
            <w:tcW w:w="424" w:type="dxa"/>
          </w:tcPr>
          <w:p w14:paraId="61CAB79D" w14:textId="77777777" w:rsidR="001D7FFD" w:rsidRPr="00F1660D" w:rsidRDefault="001D7FFD" w:rsidP="0080091E">
            <w:pPr>
              <w:pStyle w:val="Normal-pool"/>
              <w:rPr>
                <w:lang w:val="fr-FR"/>
              </w:rPr>
            </w:pPr>
          </w:p>
        </w:tc>
        <w:tc>
          <w:tcPr>
            <w:tcW w:w="474" w:type="dxa"/>
          </w:tcPr>
          <w:p w14:paraId="38F2E790" w14:textId="77777777" w:rsidR="001D7FFD" w:rsidRPr="00F1660D" w:rsidRDefault="001D7FFD" w:rsidP="0080091E">
            <w:pPr>
              <w:pStyle w:val="Normal-pool"/>
              <w:rPr>
                <w:b/>
                <w:bCs/>
                <w:color w:val="000000"/>
                <w:lang w:val="fr-FR" w:eastAsia="fr-CH"/>
              </w:rPr>
            </w:pPr>
          </w:p>
        </w:tc>
        <w:tc>
          <w:tcPr>
            <w:tcW w:w="520" w:type="dxa"/>
            <w:vAlign w:val="center"/>
          </w:tcPr>
          <w:p w14:paraId="59AA5DDF" w14:textId="77777777" w:rsidR="001D7FFD" w:rsidRPr="00F1660D" w:rsidRDefault="001D7FFD" w:rsidP="0080091E">
            <w:pPr>
              <w:pStyle w:val="Normal-pool"/>
              <w:rPr>
                <w:color w:val="000000"/>
                <w:lang w:val="fr-FR"/>
              </w:rPr>
            </w:pPr>
            <w:r w:rsidRPr="00F1660D">
              <w:rPr>
                <w:lang w:val="fr-FR"/>
              </w:rPr>
              <w:t>2102</w:t>
            </w:r>
          </w:p>
        </w:tc>
        <w:tc>
          <w:tcPr>
            <w:tcW w:w="4394" w:type="dxa"/>
            <w:vAlign w:val="center"/>
          </w:tcPr>
          <w:p w14:paraId="77E016B0" w14:textId="77777777" w:rsidR="001D7FFD" w:rsidRPr="00F1660D" w:rsidRDefault="001D7FFD" w:rsidP="0080091E">
            <w:pPr>
              <w:pStyle w:val="Normal-pool"/>
              <w:rPr>
                <w:color w:val="000000"/>
                <w:lang w:val="fr-FR"/>
              </w:rPr>
            </w:pPr>
            <w:r w:rsidRPr="00F1660D">
              <w:rPr>
                <w:lang w:val="fr-FR"/>
              </w:rPr>
              <w:t>Réunions régionales</w:t>
            </w:r>
          </w:p>
        </w:tc>
        <w:tc>
          <w:tcPr>
            <w:tcW w:w="992" w:type="dxa"/>
            <w:vAlign w:val="center"/>
          </w:tcPr>
          <w:p w14:paraId="6AD3669B" w14:textId="77777777" w:rsidR="001D7FFD" w:rsidRPr="00F1660D" w:rsidRDefault="001D7FFD" w:rsidP="0080091E">
            <w:pPr>
              <w:pStyle w:val="Normal-pool"/>
              <w:jc w:val="right"/>
              <w:rPr>
                <w:color w:val="000000"/>
                <w:lang w:val="fr-FR"/>
              </w:rPr>
            </w:pPr>
            <w:r w:rsidRPr="00F1660D">
              <w:rPr>
                <w:lang w:val="fr-FR"/>
              </w:rPr>
              <w:t>80 000</w:t>
            </w:r>
          </w:p>
        </w:tc>
        <w:tc>
          <w:tcPr>
            <w:tcW w:w="1531" w:type="dxa"/>
            <w:vAlign w:val="center"/>
          </w:tcPr>
          <w:p w14:paraId="4B142E23"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20D99AE7" w14:textId="77777777" w:rsidTr="0080091E">
        <w:trPr>
          <w:trHeight w:val="57"/>
        </w:trPr>
        <w:tc>
          <w:tcPr>
            <w:tcW w:w="424" w:type="dxa"/>
          </w:tcPr>
          <w:p w14:paraId="4A387916" w14:textId="77777777" w:rsidR="001D7FFD" w:rsidRPr="00F1660D" w:rsidRDefault="001D7FFD" w:rsidP="0080091E">
            <w:pPr>
              <w:pStyle w:val="Normal-pool"/>
              <w:rPr>
                <w:lang w:val="fr-FR"/>
              </w:rPr>
            </w:pPr>
          </w:p>
        </w:tc>
        <w:tc>
          <w:tcPr>
            <w:tcW w:w="474" w:type="dxa"/>
          </w:tcPr>
          <w:p w14:paraId="738A20AC" w14:textId="77777777" w:rsidR="001D7FFD" w:rsidRPr="00F1660D" w:rsidRDefault="001D7FFD" w:rsidP="0080091E">
            <w:pPr>
              <w:pStyle w:val="Normal-pool"/>
              <w:rPr>
                <w:b/>
                <w:bCs/>
                <w:color w:val="000000"/>
                <w:lang w:val="fr-FR" w:eastAsia="fr-CH"/>
              </w:rPr>
            </w:pPr>
          </w:p>
        </w:tc>
        <w:tc>
          <w:tcPr>
            <w:tcW w:w="520" w:type="dxa"/>
            <w:vAlign w:val="center"/>
          </w:tcPr>
          <w:p w14:paraId="151464F7" w14:textId="77777777" w:rsidR="001D7FFD" w:rsidRPr="00F1660D" w:rsidRDefault="001D7FFD" w:rsidP="0080091E">
            <w:pPr>
              <w:pStyle w:val="Normal-pool"/>
              <w:rPr>
                <w:color w:val="000000"/>
                <w:lang w:val="fr-FR"/>
              </w:rPr>
            </w:pPr>
            <w:r w:rsidRPr="00F1660D">
              <w:rPr>
                <w:lang w:val="fr-FR"/>
              </w:rPr>
              <w:t>2103</w:t>
            </w:r>
          </w:p>
        </w:tc>
        <w:tc>
          <w:tcPr>
            <w:tcW w:w="4394" w:type="dxa"/>
            <w:vAlign w:val="center"/>
          </w:tcPr>
          <w:p w14:paraId="4A722295" w14:textId="4BCA1182" w:rsidR="001D7FFD" w:rsidRPr="00F1660D" w:rsidRDefault="001D7FFD" w:rsidP="0080091E">
            <w:pPr>
              <w:pStyle w:val="Normal-pool"/>
              <w:rPr>
                <w:color w:val="000000"/>
                <w:lang w:val="fr-FR"/>
              </w:rPr>
            </w:pPr>
            <w:r w:rsidRPr="00F1660D">
              <w:rPr>
                <w:lang w:val="fr-FR"/>
              </w:rPr>
              <w:t>Troisième réunion du Groupe de travail à composition non</w:t>
            </w:r>
            <w:r w:rsidR="0080091E" w:rsidRPr="00F1660D">
              <w:rPr>
                <w:lang w:val="fr-FR"/>
              </w:rPr>
              <w:t> </w:t>
            </w:r>
            <w:r w:rsidRPr="00F1660D">
              <w:rPr>
                <w:lang w:val="fr-FR"/>
              </w:rPr>
              <w:t>limitée</w:t>
            </w:r>
          </w:p>
        </w:tc>
        <w:tc>
          <w:tcPr>
            <w:tcW w:w="992" w:type="dxa"/>
            <w:vAlign w:val="center"/>
          </w:tcPr>
          <w:p w14:paraId="17A59994" w14:textId="77777777" w:rsidR="001D7FFD" w:rsidRPr="00F1660D" w:rsidRDefault="001D7FFD" w:rsidP="0080091E">
            <w:pPr>
              <w:pStyle w:val="Normal-pool"/>
              <w:jc w:val="right"/>
              <w:rPr>
                <w:color w:val="000000"/>
                <w:lang w:val="fr-FR"/>
              </w:rPr>
            </w:pPr>
            <w:r w:rsidRPr="00F1660D">
              <w:rPr>
                <w:lang w:val="fr-FR"/>
              </w:rPr>
              <w:t>–</w:t>
            </w:r>
          </w:p>
        </w:tc>
        <w:tc>
          <w:tcPr>
            <w:tcW w:w="1531" w:type="dxa"/>
            <w:vAlign w:val="center"/>
          </w:tcPr>
          <w:p w14:paraId="47018860"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7719ACA3" w14:textId="77777777" w:rsidTr="0080091E">
        <w:trPr>
          <w:trHeight w:val="57"/>
        </w:trPr>
        <w:tc>
          <w:tcPr>
            <w:tcW w:w="424" w:type="dxa"/>
          </w:tcPr>
          <w:p w14:paraId="57184318" w14:textId="77777777" w:rsidR="001D7FFD" w:rsidRPr="00F1660D" w:rsidRDefault="001D7FFD" w:rsidP="0080091E">
            <w:pPr>
              <w:pStyle w:val="Normal-pool"/>
              <w:rPr>
                <w:lang w:val="fr-FR"/>
              </w:rPr>
            </w:pPr>
          </w:p>
        </w:tc>
        <w:tc>
          <w:tcPr>
            <w:tcW w:w="474" w:type="dxa"/>
          </w:tcPr>
          <w:p w14:paraId="58D2CBE1" w14:textId="77777777" w:rsidR="001D7FFD" w:rsidRPr="00F1660D" w:rsidRDefault="001D7FFD" w:rsidP="0080091E">
            <w:pPr>
              <w:pStyle w:val="Normal-pool"/>
              <w:rPr>
                <w:b/>
                <w:bCs/>
                <w:color w:val="000000"/>
                <w:lang w:val="fr-FR" w:eastAsia="fr-CH"/>
              </w:rPr>
            </w:pPr>
          </w:p>
        </w:tc>
        <w:tc>
          <w:tcPr>
            <w:tcW w:w="520" w:type="dxa"/>
            <w:vAlign w:val="center"/>
          </w:tcPr>
          <w:p w14:paraId="29E4609D" w14:textId="77777777" w:rsidR="001D7FFD" w:rsidRPr="00F1660D" w:rsidRDefault="001D7FFD" w:rsidP="0080091E">
            <w:pPr>
              <w:pStyle w:val="Normal-pool"/>
              <w:rPr>
                <w:color w:val="000000"/>
                <w:lang w:val="fr-FR"/>
              </w:rPr>
            </w:pPr>
            <w:r w:rsidRPr="00F1660D">
              <w:rPr>
                <w:lang w:val="fr-FR"/>
              </w:rPr>
              <w:t>2104</w:t>
            </w:r>
          </w:p>
        </w:tc>
        <w:tc>
          <w:tcPr>
            <w:tcW w:w="4394" w:type="dxa"/>
            <w:vAlign w:val="center"/>
          </w:tcPr>
          <w:p w14:paraId="395B33C3" w14:textId="77777777" w:rsidR="001D7FFD" w:rsidRPr="00F1660D" w:rsidRDefault="001D7FFD" w:rsidP="0080091E">
            <w:pPr>
              <w:pStyle w:val="Normal-pool"/>
              <w:rPr>
                <w:color w:val="000000"/>
                <w:lang w:val="fr-FR"/>
              </w:rPr>
            </w:pPr>
            <w:r w:rsidRPr="00F1660D">
              <w:rPr>
                <w:lang w:val="fr-FR"/>
              </w:rPr>
              <w:t>Réunions du Bureau</w:t>
            </w:r>
          </w:p>
        </w:tc>
        <w:tc>
          <w:tcPr>
            <w:tcW w:w="992" w:type="dxa"/>
            <w:vAlign w:val="center"/>
          </w:tcPr>
          <w:p w14:paraId="7ADD99AD" w14:textId="77777777" w:rsidR="001D7FFD" w:rsidRPr="00F1660D" w:rsidRDefault="001D7FFD" w:rsidP="0080091E">
            <w:pPr>
              <w:pStyle w:val="Normal-pool"/>
              <w:jc w:val="right"/>
              <w:rPr>
                <w:color w:val="000000"/>
                <w:lang w:val="fr-FR"/>
              </w:rPr>
            </w:pPr>
            <w:r w:rsidRPr="00F1660D">
              <w:rPr>
                <w:lang w:val="fr-FR"/>
              </w:rPr>
              <w:t>3 000</w:t>
            </w:r>
          </w:p>
        </w:tc>
        <w:tc>
          <w:tcPr>
            <w:tcW w:w="1531" w:type="dxa"/>
            <w:vAlign w:val="center"/>
          </w:tcPr>
          <w:p w14:paraId="225D79E3" w14:textId="77777777" w:rsidR="001D7FFD" w:rsidRPr="00F1660D" w:rsidRDefault="001D7FFD" w:rsidP="0080091E">
            <w:pPr>
              <w:pStyle w:val="Normal-pool"/>
              <w:jc w:val="right"/>
              <w:rPr>
                <w:color w:val="000000"/>
                <w:lang w:val="fr-FR"/>
              </w:rPr>
            </w:pPr>
            <w:r w:rsidRPr="00F1660D">
              <w:rPr>
                <w:lang w:val="fr-FR"/>
              </w:rPr>
              <w:t>3 000</w:t>
            </w:r>
          </w:p>
        </w:tc>
      </w:tr>
      <w:tr w:rsidR="001D7FFD" w:rsidRPr="00F1660D" w14:paraId="04EA0699" w14:textId="77777777" w:rsidTr="0080091E">
        <w:trPr>
          <w:trHeight w:val="57"/>
        </w:trPr>
        <w:tc>
          <w:tcPr>
            <w:tcW w:w="424" w:type="dxa"/>
          </w:tcPr>
          <w:p w14:paraId="2F00EBBE" w14:textId="77777777" w:rsidR="001D7FFD" w:rsidRPr="00F1660D" w:rsidRDefault="001D7FFD" w:rsidP="0080091E">
            <w:pPr>
              <w:pStyle w:val="Normal-pool"/>
              <w:rPr>
                <w:lang w:val="fr-FR"/>
              </w:rPr>
            </w:pPr>
          </w:p>
        </w:tc>
        <w:tc>
          <w:tcPr>
            <w:tcW w:w="474" w:type="dxa"/>
          </w:tcPr>
          <w:p w14:paraId="51609BAF" w14:textId="77777777" w:rsidR="001D7FFD" w:rsidRPr="00F1660D" w:rsidRDefault="001D7FFD" w:rsidP="0080091E">
            <w:pPr>
              <w:pStyle w:val="Normal-pool"/>
              <w:rPr>
                <w:b/>
                <w:bCs/>
                <w:color w:val="000000"/>
                <w:lang w:val="fr-FR" w:eastAsia="fr-CH"/>
              </w:rPr>
            </w:pPr>
          </w:p>
        </w:tc>
        <w:tc>
          <w:tcPr>
            <w:tcW w:w="520" w:type="dxa"/>
            <w:vAlign w:val="center"/>
          </w:tcPr>
          <w:p w14:paraId="0241633E" w14:textId="77777777" w:rsidR="001D7FFD" w:rsidRPr="00F1660D" w:rsidRDefault="001D7FFD" w:rsidP="0080091E">
            <w:pPr>
              <w:pStyle w:val="Normal-pool"/>
              <w:rPr>
                <w:color w:val="000000"/>
                <w:lang w:val="fr-FR"/>
              </w:rPr>
            </w:pPr>
            <w:r w:rsidRPr="00F1660D">
              <w:rPr>
                <w:lang w:val="fr-FR"/>
              </w:rPr>
              <w:t>2105</w:t>
            </w:r>
          </w:p>
        </w:tc>
        <w:tc>
          <w:tcPr>
            <w:tcW w:w="4394" w:type="dxa"/>
            <w:vAlign w:val="center"/>
          </w:tcPr>
          <w:p w14:paraId="2188ECC2" w14:textId="77777777" w:rsidR="001D7FFD" w:rsidRPr="00F1660D" w:rsidRDefault="001D7FFD" w:rsidP="0080091E">
            <w:pPr>
              <w:pStyle w:val="Normal-pool"/>
              <w:rPr>
                <w:color w:val="000000"/>
                <w:lang w:val="fr-FR"/>
              </w:rPr>
            </w:pPr>
            <w:r w:rsidRPr="00F1660D">
              <w:rPr>
                <w:lang w:val="fr-FR"/>
              </w:rPr>
              <w:t>Cinquième session de la Conférence</w:t>
            </w:r>
          </w:p>
        </w:tc>
        <w:tc>
          <w:tcPr>
            <w:tcW w:w="992" w:type="dxa"/>
            <w:vAlign w:val="center"/>
          </w:tcPr>
          <w:p w14:paraId="1CEFA0E7" w14:textId="77777777" w:rsidR="001D7FFD" w:rsidRPr="00F1660D" w:rsidRDefault="001D7FFD" w:rsidP="0080091E">
            <w:pPr>
              <w:pStyle w:val="Normal-pool"/>
              <w:jc w:val="right"/>
              <w:rPr>
                <w:color w:val="000000"/>
                <w:lang w:val="fr-FR"/>
              </w:rPr>
            </w:pPr>
            <w:r w:rsidRPr="00F1660D">
              <w:rPr>
                <w:lang w:val="fr-FR"/>
              </w:rPr>
              <w:t>–</w:t>
            </w:r>
          </w:p>
        </w:tc>
        <w:tc>
          <w:tcPr>
            <w:tcW w:w="1531" w:type="dxa"/>
            <w:vAlign w:val="center"/>
          </w:tcPr>
          <w:p w14:paraId="2FFC80E8" w14:textId="77777777" w:rsidR="001D7FFD" w:rsidRPr="00F1660D" w:rsidRDefault="001D7FFD" w:rsidP="0080091E">
            <w:pPr>
              <w:pStyle w:val="Normal-pool"/>
              <w:jc w:val="right"/>
              <w:rPr>
                <w:color w:val="000000"/>
                <w:lang w:val="fr-FR"/>
              </w:rPr>
            </w:pPr>
            <w:r w:rsidRPr="00F1660D">
              <w:rPr>
                <w:lang w:val="fr-FR"/>
              </w:rPr>
              <w:t>450 000</w:t>
            </w:r>
          </w:p>
        </w:tc>
      </w:tr>
      <w:tr w:rsidR="001D7FFD" w:rsidRPr="00F1660D" w14:paraId="75B61D17" w14:textId="77777777" w:rsidTr="0080091E">
        <w:trPr>
          <w:trHeight w:val="57"/>
        </w:trPr>
        <w:tc>
          <w:tcPr>
            <w:tcW w:w="424" w:type="dxa"/>
            <w:tcBorders>
              <w:bottom w:val="single" w:sz="4" w:space="0" w:color="auto"/>
            </w:tcBorders>
          </w:tcPr>
          <w:p w14:paraId="210BC58B" w14:textId="77777777" w:rsidR="001D7FFD" w:rsidRPr="00F1660D" w:rsidRDefault="001D7FFD" w:rsidP="0080091E">
            <w:pPr>
              <w:pStyle w:val="Normal-pool"/>
              <w:rPr>
                <w:lang w:val="fr-FR"/>
              </w:rPr>
            </w:pPr>
          </w:p>
        </w:tc>
        <w:tc>
          <w:tcPr>
            <w:tcW w:w="474" w:type="dxa"/>
            <w:tcBorders>
              <w:bottom w:val="single" w:sz="4" w:space="0" w:color="auto"/>
            </w:tcBorders>
          </w:tcPr>
          <w:p w14:paraId="5BA6348B" w14:textId="77777777" w:rsidR="001D7FFD" w:rsidRPr="00F1660D" w:rsidRDefault="001D7FFD" w:rsidP="0080091E">
            <w:pPr>
              <w:pStyle w:val="Normal-pool"/>
              <w:rPr>
                <w:b/>
                <w:bCs/>
                <w:color w:val="000000"/>
                <w:lang w:val="fr-FR" w:eastAsia="fr-CH"/>
              </w:rPr>
            </w:pPr>
          </w:p>
        </w:tc>
        <w:tc>
          <w:tcPr>
            <w:tcW w:w="520" w:type="dxa"/>
            <w:tcBorders>
              <w:bottom w:val="single" w:sz="4" w:space="0" w:color="auto"/>
            </w:tcBorders>
            <w:vAlign w:val="center"/>
          </w:tcPr>
          <w:p w14:paraId="123AAA8A" w14:textId="77777777" w:rsidR="001D7FFD" w:rsidRPr="00F1660D" w:rsidRDefault="001D7FFD" w:rsidP="0080091E">
            <w:pPr>
              <w:pStyle w:val="Normal-pool"/>
              <w:rPr>
                <w:color w:val="000000"/>
                <w:lang w:val="fr-FR"/>
              </w:rPr>
            </w:pPr>
            <w:r w:rsidRPr="00F1660D">
              <w:rPr>
                <w:lang w:val="fr-FR"/>
              </w:rPr>
              <w:t>2106</w:t>
            </w:r>
          </w:p>
        </w:tc>
        <w:tc>
          <w:tcPr>
            <w:tcW w:w="4394" w:type="dxa"/>
            <w:tcBorders>
              <w:bottom w:val="single" w:sz="4" w:space="0" w:color="auto"/>
            </w:tcBorders>
            <w:vAlign w:val="center"/>
          </w:tcPr>
          <w:p w14:paraId="6FAD3524" w14:textId="77777777" w:rsidR="001D7FFD" w:rsidRPr="00F1660D" w:rsidRDefault="001D7FFD" w:rsidP="0080091E">
            <w:pPr>
              <w:pStyle w:val="Normal-pool"/>
              <w:rPr>
                <w:color w:val="000000"/>
                <w:lang w:val="fr-FR"/>
              </w:rPr>
            </w:pPr>
            <w:r w:rsidRPr="00F1660D">
              <w:rPr>
                <w:lang w:val="fr-FR"/>
              </w:rPr>
              <w:t>Processus intersessions au-delà de 2020</w:t>
            </w:r>
          </w:p>
        </w:tc>
        <w:tc>
          <w:tcPr>
            <w:tcW w:w="992" w:type="dxa"/>
            <w:tcBorders>
              <w:bottom w:val="single" w:sz="4" w:space="0" w:color="auto"/>
            </w:tcBorders>
            <w:vAlign w:val="center"/>
          </w:tcPr>
          <w:p w14:paraId="62DC8B14" w14:textId="77777777" w:rsidR="001D7FFD" w:rsidRPr="00F1660D" w:rsidRDefault="001D7FFD" w:rsidP="0080091E">
            <w:pPr>
              <w:pStyle w:val="Normal-pool"/>
              <w:jc w:val="right"/>
              <w:rPr>
                <w:lang w:val="fr-FR" w:eastAsia="fr-CH"/>
              </w:rPr>
            </w:pPr>
            <w:r w:rsidRPr="00F1660D">
              <w:rPr>
                <w:lang w:val="fr-FR" w:eastAsia="fr-CH"/>
              </w:rPr>
              <w:t>50 000</w:t>
            </w:r>
          </w:p>
        </w:tc>
        <w:tc>
          <w:tcPr>
            <w:tcW w:w="1531" w:type="dxa"/>
            <w:tcBorders>
              <w:bottom w:val="single" w:sz="4" w:space="0" w:color="auto"/>
            </w:tcBorders>
            <w:vAlign w:val="center"/>
          </w:tcPr>
          <w:p w14:paraId="41D078C6" w14:textId="77777777" w:rsidR="001D7FFD" w:rsidRPr="00F1660D" w:rsidRDefault="001D7FFD" w:rsidP="0080091E">
            <w:pPr>
              <w:pStyle w:val="Normal-pool"/>
              <w:jc w:val="right"/>
              <w:rPr>
                <w:color w:val="000000"/>
                <w:lang w:val="fr-FR"/>
              </w:rPr>
            </w:pPr>
            <w:r w:rsidRPr="00F1660D">
              <w:rPr>
                <w:color w:val="000000"/>
                <w:lang w:val="fr-FR" w:eastAsia="fr-CH"/>
              </w:rPr>
              <w:t>50 000</w:t>
            </w:r>
          </w:p>
        </w:tc>
      </w:tr>
      <w:tr w:rsidR="001D7FFD" w:rsidRPr="00F1660D" w14:paraId="4969982A" w14:textId="77777777" w:rsidTr="0080091E">
        <w:trPr>
          <w:trHeight w:val="57"/>
        </w:trPr>
        <w:tc>
          <w:tcPr>
            <w:tcW w:w="424" w:type="dxa"/>
            <w:tcBorders>
              <w:top w:val="single" w:sz="4" w:space="0" w:color="auto"/>
              <w:bottom w:val="single" w:sz="4" w:space="0" w:color="auto"/>
            </w:tcBorders>
          </w:tcPr>
          <w:p w14:paraId="66870166"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tcPr>
          <w:p w14:paraId="644DA49B"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11B0C67F" w14:textId="220E7F98" w:rsidR="001D7FFD" w:rsidRPr="00F1660D" w:rsidRDefault="001D7FFD" w:rsidP="0080091E">
            <w:pPr>
              <w:pStyle w:val="Normal-pool"/>
              <w:rPr>
                <w:b/>
                <w:bCs/>
                <w:color w:val="000000"/>
                <w:lang w:val="fr-FR"/>
              </w:rPr>
            </w:pPr>
            <w:r w:rsidRPr="00F1660D">
              <w:rPr>
                <w:b/>
                <w:bCs/>
                <w:lang w:val="fr-FR"/>
              </w:rPr>
              <w:t>2299</w:t>
            </w:r>
          </w:p>
        </w:tc>
        <w:tc>
          <w:tcPr>
            <w:tcW w:w="4394" w:type="dxa"/>
            <w:tcBorders>
              <w:top w:val="single" w:sz="4" w:space="0" w:color="auto"/>
              <w:bottom w:val="single" w:sz="4" w:space="0" w:color="auto"/>
            </w:tcBorders>
            <w:vAlign w:val="center"/>
          </w:tcPr>
          <w:p w14:paraId="45BBB719"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4D6C266E" w14:textId="77777777" w:rsidR="001D7FFD" w:rsidRPr="00F1660D" w:rsidRDefault="001D7FFD" w:rsidP="0080091E">
            <w:pPr>
              <w:pStyle w:val="Normal-pool"/>
              <w:jc w:val="right"/>
              <w:rPr>
                <w:b/>
                <w:color w:val="000000"/>
                <w:lang w:val="fr-FR"/>
              </w:rPr>
            </w:pPr>
            <w:r w:rsidRPr="00F1660D">
              <w:rPr>
                <w:b/>
                <w:color w:val="000000"/>
                <w:lang w:val="fr-FR" w:eastAsia="fr-CH"/>
              </w:rPr>
              <w:t>135 000</w:t>
            </w:r>
          </w:p>
        </w:tc>
        <w:tc>
          <w:tcPr>
            <w:tcW w:w="1531" w:type="dxa"/>
            <w:tcBorders>
              <w:top w:val="single" w:sz="4" w:space="0" w:color="auto"/>
              <w:bottom w:val="single" w:sz="4" w:space="0" w:color="auto"/>
            </w:tcBorders>
            <w:vAlign w:val="center"/>
          </w:tcPr>
          <w:p w14:paraId="490B1676" w14:textId="77777777" w:rsidR="001D7FFD" w:rsidRPr="00F1660D" w:rsidRDefault="001D7FFD" w:rsidP="0080091E">
            <w:pPr>
              <w:pStyle w:val="Normal-pool"/>
              <w:jc w:val="right"/>
              <w:rPr>
                <w:b/>
                <w:color w:val="000000"/>
                <w:lang w:val="fr-FR"/>
              </w:rPr>
            </w:pPr>
            <w:r w:rsidRPr="00F1660D">
              <w:rPr>
                <w:b/>
                <w:color w:val="000000"/>
                <w:lang w:val="fr-FR" w:eastAsia="fr-CH"/>
              </w:rPr>
              <w:t>503 000</w:t>
            </w:r>
          </w:p>
        </w:tc>
      </w:tr>
      <w:tr w:rsidR="001D7FFD" w:rsidRPr="00F1660D" w14:paraId="5918C450" w14:textId="77777777" w:rsidTr="0080091E">
        <w:trPr>
          <w:trHeight w:val="57"/>
        </w:trPr>
        <w:tc>
          <w:tcPr>
            <w:tcW w:w="424" w:type="dxa"/>
            <w:tcBorders>
              <w:top w:val="single" w:sz="4" w:space="0" w:color="auto"/>
              <w:bottom w:val="single" w:sz="4" w:space="0" w:color="auto"/>
            </w:tcBorders>
          </w:tcPr>
          <w:p w14:paraId="72FF614A"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vAlign w:val="center"/>
          </w:tcPr>
          <w:p w14:paraId="4A445283" w14:textId="77777777" w:rsidR="001D7FFD" w:rsidRPr="00F1660D" w:rsidRDefault="001D7FFD" w:rsidP="0080091E">
            <w:pPr>
              <w:pStyle w:val="Normal-pool"/>
              <w:rPr>
                <w:b/>
                <w:bCs/>
                <w:color w:val="000000"/>
                <w:lang w:val="fr-FR"/>
              </w:rPr>
            </w:pPr>
            <w:r w:rsidRPr="00F1660D">
              <w:rPr>
                <w:b/>
                <w:lang w:val="fr-FR"/>
              </w:rPr>
              <w:t>2999</w:t>
            </w:r>
          </w:p>
        </w:tc>
        <w:tc>
          <w:tcPr>
            <w:tcW w:w="4914" w:type="dxa"/>
            <w:gridSpan w:val="2"/>
            <w:tcBorders>
              <w:top w:val="single" w:sz="4" w:space="0" w:color="auto"/>
              <w:bottom w:val="single" w:sz="4" w:space="0" w:color="auto"/>
            </w:tcBorders>
            <w:vAlign w:val="center"/>
          </w:tcPr>
          <w:p w14:paraId="3A1E4488" w14:textId="77777777" w:rsidR="001D7FFD" w:rsidRPr="00F1660D" w:rsidRDefault="001D7FFD" w:rsidP="0080091E">
            <w:pPr>
              <w:pStyle w:val="Normal-pool"/>
              <w:rPr>
                <w:b/>
                <w:bCs/>
                <w:color w:val="000000"/>
                <w:lang w:val="fr-FR"/>
              </w:rPr>
            </w:pPr>
            <w:r w:rsidRPr="00F1660D">
              <w:rPr>
                <w:b/>
                <w:bCs/>
                <w:lang w:val="fr-FR"/>
              </w:rPr>
              <w:t>Total élément</w:t>
            </w:r>
          </w:p>
        </w:tc>
        <w:tc>
          <w:tcPr>
            <w:tcW w:w="992" w:type="dxa"/>
            <w:tcBorders>
              <w:top w:val="single" w:sz="4" w:space="0" w:color="auto"/>
              <w:bottom w:val="single" w:sz="4" w:space="0" w:color="auto"/>
            </w:tcBorders>
            <w:vAlign w:val="center"/>
          </w:tcPr>
          <w:p w14:paraId="3637E030" w14:textId="77777777" w:rsidR="001D7FFD" w:rsidRPr="00F1660D" w:rsidRDefault="001D7FFD" w:rsidP="0080091E">
            <w:pPr>
              <w:pStyle w:val="Normal-pool"/>
              <w:jc w:val="right"/>
              <w:rPr>
                <w:b/>
                <w:color w:val="000000"/>
                <w:lang w:val="fr-FR"/>
              </w:rPr>
            </w:pPr>
            <w:r w:rsidRPr="00F1660D">
              <w:rPr>
                <w:b/>
                <w:color w:val="000000"/>
                <w:lang w:val="fr-FR" w:eastAsia="fr-CH"/>
              </w:rPr>
              <w:t>135 000</w:t>
            </w:r>
          </w:p>
        </w:tc>
        <w:tc>
          <w:tcPr>
            <w:tcW w:w="1531" w:type="dxa"/>
            <w:tcBorders>
              <w:top w:val="single" w:sz="4" w:space="0" w:color="auto"/>
              <w:bottom w:val="single" w:sz="4" w:space="0" w:color="auto"/>
            </w:tcBorders>
            <w:vAlign w:val="center"/>
          </w:tcPr>
          <w:p w14:paraId="18A04F8E" w14:textId="77777777" w:rsidR="001D7FFD" w:rsidRPr="00F1660D" w:rsidRDefault="001D7FFD" w:rsidP="0080091E">
            <w:pPr>
              <w:pStyle w:val="Normal-pool"/>
              <w:jc w:val="right"/>
              <w:rPr>
                <w:b/>
                <w:bCs/>
                <w:color w:val="000000"/>
                <w:lang w:val="fr-FR"/>
              </w:rPr>
            </w:pPr>
            <w:r w:rsidRPr="00F1660D">
              <w:rPr>
                <w:b/>
                <w:color w:val="000000"/>
                <w:lang w:val="fr-FR" w:eastAsia="fr-CH"/>
              </w:rPr>
              <w:t>503 000</w:t>
            </w:r>
          </w:p>
        </w:tc>
      </w:tr>
      <w:tr w:rsidR="001D7FFD" w:rsidRPr="00F1660D" w14:paraId="461CB65A" w14:textId="77777777" w:rsidTr="0080091E">
        <w:trPr>
          <w:trHeight w:val="57"/>
        </w:trPr>
        <w:tc>
          <w:tcPr>
            <w:tcW w:w="424" w:type="dxa"/>
            <w:tcBorders>
              <w:top w:val="single" w:sz="4" w:space="0" w:color="auto"/>
            </w:tcBorders>
          </w:tcPr>
          <w:p w14:paraId="26302714" w14:textId="77777777" w:rsidR="001D7FFD" w:rsidRPr="00F1660D" w:rsidRDefault="001D7FFD" w:rsidP="0080091E">
            <w:pPr>
              <w:pStyle w:val="Normal-pool"/>
              <w:rPr>
                <w:b/>
                <w:lang w:val="fr-FR"/>
              </w:rPr>
            </w:pPr>
          </w:p>
        </w:tc>
        <w:tc>
          <w:tcPr>
            <w:tcW w:w="474" w:type="dxa"/>
            <w:tcBorders>
              <w:top w:val="single" w:sz="4" w:space="0" w:color="auto"/>
            </w:tcBorders>
            <w:vAlign w:val="center"/>
          </w:tcPr>
          <w:p w14:paraId="2057E0F7" w14:textId="77777777" w:rsidR="001D7FFD" w:rsidRPr="00F1660D" w:rsidRDefault="001D7FFD" w:rsidP="0080091E">
            <w:pPr>
              <w:pStyle w:val="Normal-pool"/>
              <w:rPr>
                <w:b/>
                <w:bCs/>
                <w:color w:val="000000"/>
                <w:lang w:val="fr-FR"/>
              </w:rPr>
            </w:pPr>
            <w:r w:rsidRPr="00F1660D">
              <w:rPr>
                <w:b/>
                <w:lang w:val="fr-FR"/>
              </w:rPr>
              <w:t>3100</w:t>
            </w:r>
          </w:p>
        </w:tc>
        <w:tc>
          <w:tcPr>
            <w:tcW w:w="7437" w:type="dxa"/>
            <w:gridSpan w:val="4"/>
            <w:tcBorders>
              <w:top w:val="single" w:sz="4" w:space="0" w:color="auto"/>
            </w:tcBorders>
            <w:vAlign w:val="center"/>
          </w:tcPr>
          <w:p w14:paraId="665E2E22" w14:textId="77777777" w:rsidR="001D7FFD" w:rsidRPr="00F1660D" w:rsidRDefault="001D7FFD" w:rsidP="0080091E">
            <w:pPr>
              <w:pStyle w:val="Normal-pool"/>
              <w:jc w:val="right"/>
              <w:rPr>
                <w:b/>
                <w:bCs/>
                <w:color w:val="000000"/>
                <w:lang w:val="fr-FR"/>
              </w:rPr>
            </w:pPr>
            <w:r w:rsidRPr="00F1660D">
              <w:rPr>
                <w:b/>
                <w:bCs/>
                <w:lang w:val="fr-FR"/>
              </w:rPr>
              <w:t>Réunions et conférences (titre)</w:t>
            </w:r>
          </w:p>
        </w:tc>
      </w:tr>
      <w:tr w:rsidR="001D7FFD" w:rsidRPr="00F1660D" w14:paraId="4E43CE65" w14:textId="77777777" w:rsidTr="0080091E">
        <w:trPr>
          <w:trHeight w:val="57"/>
        </w:trPr>
        <w:tc>
          <w:tcPr>
            <w:tcW w:w="424" w:type="dxa"/>
          </w:tcPr>
          <w:p w14:paraId="568C7907" w14:textId="77777777" w:rsidR="001D7FFD" w:rsidRPr="00F1660D" w:rsidRDefault="001D7FFD" w:rsidP="0080091E">
            <w:pPr>
              <w:pStyle w:val="Normal-pool"/>
              <w:rPr>
                <w:lang w:val="fr-FR"/>
              </w:rPr>
            </w:pPr>
          </w:p>
        </w:tc>
        <w:tc>
          <w:tcPr>
            <w:tcW w:w="474" w:type="dxa"/>
          </w:tcPr>
          <w:p w14:paraId="660BF5AE" w14:textId="77777777" w:rsidR="001D7FFD" w:rsidRPr="00F1660D" w:rsidRDefault="001D7FFD" w:rsidP="0080091E">
            <w:pPr>
              <w:pStyle w:val="Normal-pool"/>
              <w:rPr>
                <w:b/>
                <w:bCs/>
                <w:color w:val="000000"/>
                <w:lang w:val="fr-FR" w:eastAsia="fr-CH"/>
              </w:rPr>
            </w:pPr>
          </w:p>
        </w:tc>
        <w:tc>
          <w:tcPr>
            <w:tcW w:w="520" w:type="dxa"/>
            <w:vAlign w:val="center"/>
          </w:tcPr>
          <w:p w14:paraId="73DD02E1" w14:textId="77777777" w:rsidR="001D7FFD" w:rsidRPr="00F1660D" w:rsidRDefault="001D7FFD" w:rsidP="0080091E">
            <w:pPr>
              <w:pStyle w:val="Normal-pool"/>
              <w:rPr>
                <w:color w:val="000000"/>
                <w:lang w:val="fr-FR"/>
              </w:rPr>
            </w:pPr>
            <w:r w:rsidRPr="00F1660D">
              <w:rPr>
                <w:lang w:val="fr-FR"/>
              </w:rPr>
              <w:t>3101</w:t>
            </w:r>
          </w:p>
        </w:tc>
        <w:tc>
          <w:tcPr>
            <w:tcW w:w="4394" w:type="dxa"/>
            <w:vAlign w:val="center"/>
          </w:tcPr>
          <w:p w14:paraId="00C45672" w14:textId="77777777" w:rsidR="001D7FFD" w:rsidRPr="00F1660D" w:rsidRDefault="001D7FFD" w:rsidP="0080091E">
            <w:pPr>
              <w:pStyle w:val="Normal-pool"/>
              <w:rPr>
                <w:color w:val="000000"/>
                <w:lang w:val="fr-FR"/>
              </w:rPr>
            </w:pPr>
            <w:r w:rsidRPr="00F1660D">
              <w:rPr>
                <w:lang w:val="fr-FR"/>
              </w:rPr>
              <w:t>Conseil exécutif du Programme de démarrage rapide</w:t>
            </w:r>
          </w:p>
        </w:tc>
        <w:tc>
          <w:tcPr>
            <w:tcW w:w="992" w:type="dxa"/>
            <w:vAlign w:val="center"/>
          </w:tcPr>
          <w:p w14:paraId="07350BB0" w14:textId="77777777" w:rsidR="001D7FFD" w:rsidRPr="00F1660D" w:rsidRDefault="001D7FFD" w:rsidP="0080091E">
            <w:pPr>
              <w:pStyle w:val="Normal-pool"/>
              <w:jc w:val="right"/>
              <w:rPr>
                <w:color w:val="000000"/>
                <w:lang w:val="fr-FR"/>
              </w:rPr>
            </w:pPr>
            <w:r w:rsidRPr="00F1660D">
              <w:rPr>
                <w:lang w:val="fr-FR"/>
              </w:rPr>
              <w:t>13 000</w:t>
            </w:r>
          </w:p>
        </w:tc>
        <w:tc>
          <w:tcPr>
            <w:tcW w:w="1531" w:type="dxa"/>
            <w:vAlign w:val="center"/>
          </w:tcPr>
          <w:p w14:paraId="190E223A"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7E8C3EAB" w14:textId="77777777" w:rsidTr="0080091E">
        <w:trPr>
          <w:trHeight w:val="57"/>
        </w:trPr>
        <w:tc>
          <w:tcPr>
            <w:tcW w:w="424" w:type="dxa"/>
          </w:tcPr>
          <w:p w14:paraId="1A51C72E" w14:textId="77777777" w:rsidR="001D7FFD" w:rsidRPr="00F1660D" w:rsidRDefault="001D7FFD" w:rsidP="0080091E">
            <w:pPr>
              <w:pStyle w:val="Normal-pool"/>
              <w:rPr>
                <w:lang w:val="fr-FR"/>
              </w:rPr>
            </w:pPr>
          </w:p>
        </w:tc>
        <w:tc>
          <w:tcPr>
            <w:tcW w:w="474" w:type="dxa"/>
          </w:tcPr>
          <w:p w14:paraId="4E5300A2" w14:textId="77777777" w:rsidR="001D7FFD" w:rsidRPr="00F1660D" w:rsidRDefault="001D7FFD" w:rsidP="0080091E">
            <w:pPr>
              <w:pStyle w:val="Normal-pool"/>
              <w:rPr>
                <w:b/>
                <w:bCs/>
                <w:color w:val="000000"/>
                <w:lang w:val="fr-FR" w:eastAsia="fr-CH"/>
              </w:rPr>
            </w:pPr>
          </w:p>
        </w:tc>
        <w:tc>
          <w:tcPr>
            <w:tcW w:w="520" w:type="dxa"/>
            <w:vAlign w:val="center"/>
          </w:tcPr>
          <w:p w14:paraId="614C2748" w14:textId="77777777" w:rsidR="001D7FFD" w:rsidRPr="00F1660D" w:rsidRDefault="001D7FFD" w:rsidP="0080091E">
            <w:pPr>
              <w:pStyle w:val="Normal-pool"/>
              <w:rPr>
                <w:color w:val="000000"/>
                <w:lang w:val="fr-FR"/>
              </w:rPr>
            </w:pPr>
            <w:r w:rsidRPr="00F1660D">
              <w:rPr>
                <w:lang w:val="fr-FR"/>
              </w:rPr>
              <w:t>3102</w:t>
            </w:r>
          </w:p>
        </w:tc>
        <w:tc>
          <w:tcPr>
            <w:tcW w:w="4394" w:type="dxa"/>
            <w:vAlign w:val="center"/>
          </w:tcPr>
          <w:p w14:paraId="418BEC98" w14:textId="77777777" w:rsidR="001D7FFD" w:rsidRPr="00F1660D" w:rsidRDefault="001D7FFD" w:rsidP="0080091E">
            <w:pPr>
              <w:pStyle w:val="Normal-pool"/>
              <w:rPr>
                <w:color w:val="000000"/>
                <w:lang w:val="fr-FR"/>
              </w:rPr>
            </w:pPr>
            <w:r w:rsidRPr="00F1660D">
              <w:rPr>
                <w:lang w:val="fr-FR"/>
              </w:rPr>
              <w:t>Réunions régionales</w:t>
            </w:r>
          </w:p>
        </w:tc>
        <w:tc>
          <w:tcPr>
            <w:tcW w:w="992" w:type="dxa"/>
            <w:vAlign w:val="center"/>
          </w:tcPr>
          <w:p w14:paraId="30004B3A" w14:textId="77777777" w:rsidR="001D7FFD" w:rsidRPr="00F1660D" w:rsidRDefault="001D7FFD" w:rsidP="0080091E">
            <w:pPr>
              <w:pStyle w:val="Normal-pool"/>
              <w:jc w:val="right"/>
              <w:rPr>
                <w:color w:val="000000"/>
                <w:lang w:val="fr-FR"/>
              </w:rPr>
            </w:pPr>
            <w:r w:rsidRPr="00F1660D">
              <w:rPr>
                <w:lang w:val="fr-FR"/>
              </w:rPr>
              <w:t>290 000</w:t>
            </w:r>
          </w:p>
        </w:tc>
        <w:tc>
          <w:tcPr>
            <w:tcW w:w="1531" w:type="dxa"/>
            <w:vAlign w:val="center"/>
          </w:tcPr>
          <w:p w14:paraId="1652B8E7"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31E619AB" w14:textId="77777777" w:rsidTr="0080091E">
        <w:trPr>
          <w:trHeight w:val="57"/>
        </w:trPr>
        <w:tc>
          <w:tcPr>
            <w:tcW w:w="424" w:type="dxa"/>
          </w:tcPr>
          <w:p w14:paraId="654D34A2" w14:textId="77777777" w:rsidR="001D7FFD" w:rsidRPr="00F1660D" w:rsidRDefault="001D7FFD" w:rsidP="0080091E">
            <w:pPr>
              <w:pStyle w:val="Normal-pool"/>
              <w:rPr>
                <w:lang w:val="fr-FR"/>
              </w:rPr>
            </w:pPr>
          </w:p>
        </w:tc>
        <w:tc>
          <w:tcPr>
            <w:tcW w:w="474" w:type="dxa"/>
          </w:tcPr>
          <w:p w14:paraId="5DE91745" w14:textId="77777777" w:rsidR="001D7FFD" w:rsidRPr="00F1660D" w:rsidRDefault="001D7FFD" w:rsidP="0080091E">
            <w:pPr>
              <w:pStyle w:val="Normal-pool"/>
              <w:rPr>
                <w:b/>
                <w:bCs/>
                <w:color w:val="000000"/>
                <w:lang w:val="fr-FR" w:eastAsia="fr-CH"/>
              </w:rPr>
            </w:pPr>
          </w:p>
        </w:tc>
        <w:tc>
          <w:tcPr>
            <w:tcW w:w="520" w:type="dxa"/>
            <w:vAlign w:val="center"/>
          </w:tcPr>
          <w:p w14:paraId="522EABE6" w14:textId="77777777" w:rsidR="001D7FFD" w:rsidRPr="00F1660D" w:rsidRDefault="001D7FFD" w:rsidP="0080091E">
            <w:pPr>
              <w:pStyle w:val="Normal-pool"/>
              <w:rPr>
                <w:color w:val="000000"/>
                <w:lang w:val="fr-FR"/>
              </w:rPr>
            </w:pPr>
            <w:r w:rsidRPr="00F1660D">
              <w:rPr>
                <w:lang w:val="fr-FR"/>
              </w:rPr>
              <w:t>3103</w:t>
            </w:r>
          </w:p>
        </w:tc>
        <w:tc>
          <w:tcPr>
            <w:tcW w:w="4394" w:type="dxa"/>
            <w:vAlign w:val="center"/>
          </w:tcPr>
          <w:p w14:paraId="63857DBB" w14:textId="71DA92D4" w:rsidR="001D7FFD" w:rsidRPr="00F1660D" w:rsidRDefault="001D7FFD" w:rsidP="0080091E">
            <w:pPr>
              <w:pStyle w:val="Normal-pool"/>
              <w:rPr>
                <w:color w:val="000000"/>
                <w:lang w:val="fr-FR"/>
              </w:rPr>
            </w:pPr>
            <w:r w:rsidRPr="00F1660D">
              <w:rPr>
                <w:lang w:val="fr-FR"/>
              </w:rPr>
              <w:t>Troisième réunion du Groupe de travail à composition non</w:t>
            </w:r>
            <w:r w:rsidR="0080091E" w:rsidRPr="00F1660D">
              <w:rPr>
                <w:lang w:val="fr-FR"/>
              </w:rPr>
              <w:t> </w:t>
            </w:r>
            <w:r w:rsidRPr="00F1660D">
              <w:rPr>
                <w:lang w:val="fr-FR"/>
              </w:rPr>
              <w:t>limitée</w:t>
            </w:r>
          </w:p>
        </w:tc>
        <w:tc>
          <w:tcPr>
            <w:tcW w:w="992" w:type="dxa"/>
            <w:vAlign w:val="center"/>
          </w:tcPr>
          <w:p w14:paraId="13354D59" w14:textId="77777777" w:rsidR="001D7FFD" w:rsidRPr="00F1660D" w:rsidRDefault="001D7FFD" w:rsidP="0080091E">
            <w:pPr>
              <w:pStyle w:val="Normal-pool"/>
              <w:jc w:val="right"/>
              <w:rPr>
                <w:color w:val="000000"/>
                <w:lang w:val="fr-FR"/>
              </w:rPr>
            </w:pPr>
            <w:r w:rsidRPr="00F1660D">
              <w:rPr>
                <w:lang w:val="fr-FR"/>
              </w:rPr>
              <w:t>–</w:t>
            </w:r>
          </w:p>
        </w:tc>
        <w:tc>
          <w:tcPr>
            <w:tcW w:w="1531" w:type="dxa"/>
            <w:vAlign w:val="center"/>
          </w:tcPr>
          <w:p w14:paraId="7EE4FDB6"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7EE3A6A9" w14:textId="77777777" w:rsidTr="0080091E">
        <w:trPr>
          <w:trHeight w:val="57"/>
        </w:trPr>
        <w:tc>
          <w:tcPr>
            <w:tcW w:w="424" w:type="dxa"/>
          </w:tcPr>
          <w:p w14:paraId="637373FC" w14:textId="77777777" w:rsidR="001D7FFD" w:rsidRPr="00F1660D" w:rsidRDefault="001D7FFD" w:rsidP="0080091E">
            <w:pPr>
              <w:pStyle w:val="Normal-pool"/>
              <w:rPr>
                <w:lang w:val="fr-FR"/>
              </w:rPr>
            </w:pPr>
          </w:p>
        </w:tc>
        <w:tc>
          <w:tcPr>
            <w:tcW w:w="474" w:type="dxa"/>
          </w:tcPr>
          <w:p w14:paraId="5F357398" w14:textId="77777777" w:rsidR="001D7FFD" w:rsidRPr="00F1660D" w:rsidRDefault="001D7FFD" w:rsidP="0080091E">
            <w:pPr>
              <w:pStyle w:val="Normal-pool"/>
              <w:rPr>
                <w:b/>
                <w:bCs/>
                <w:color w:val="000000"/>
                <w:lang w:val="fr-FR" w:eastAsia="fr-CH"/>
              </w:rPr>
            </w:pPr>
          </w:p>
        </w:tc>
        <w:tc>
          <w:tcPr>
            <w:tcW w:w="520" w:type="dxa"/>
            <w:vAlign w:val="center"/>
          </w:tcPr>
          <w:p w14:paraId="20A08163" w14:textId="77777777" w:rsidR="001D7FFD" w:rsidRPr="00F1660D" w:rsidRDefault="001D7FFD" w:rsidP="0080091E">
            <w:pPr>
              <w:pStyle w:val="Normal-pool"/>
              <w:rPr>
                <w:color w:val="000000"/>
                <w:lang w:val="fr-FR"/>
              </w:rPr>
            </w:pPr>
            <w:r w:rsidRPr="00F1660D">
              <w:rPr>
                <w:lang w:val="fr-FR"/>
              </w:rPr>
              <w:t>3104</w:t>
            </w:r>
          </w:p>
        </w:tc>
        <w:tc>
          <w:tcPr>
            <w:tcW w:w="4394" w:type="dxa"/>
            <w:vAlign w:val="center"/>
          </w:tcPr>
          <w:p w14:paraId="48906D69" w14:textId="77777777" w:rsidR="001D7FFD" w:rsidRPr="00F1660D" w:rsidRDefault="001D7FFD" w:rsidP="0080091E">
            <w:pPr>
              <w:pStyle w:val="Normal-pool"/>
              <w:rPr>
                <w:color w:val="000000"/>
                <w:lang w:val="fr-FR"/>
              </w:rPr>
            </w:pPr>
            <w:r w:rsidRPr="00F1660D">
              <w:rPr>
                <w:lang w:val="fr-FR"/>
              </w:rPr>
              <w:t>Réunions du Bureau</w:t>
            </w:r>
          </w:p>
        </w:tc>
        <w:tc>
          <w:tcPr>
            <w:tcW w:w="992" w:type="dxa"/>
            <w:vAlign w:val="center"/>
          </w:tcPr>
          <w:p w14:paraId="67C222B1" w14:textId="77777777" w:rsidR="001D7FFD" w:rsidRPr="00F1660D" w:rsidRDefault="001D7FFD" w:rsidP="0080091E">
            <w:pPr>
              <w:pStyle w:val="Normal-pool"/>
              <w:jc w:val="right"/>
              <w:rPr>
                <w:color w:val="000000"/>
                <w:lang w:val="fr-FR"/>
              </w:rPr>
            </w:pPr>
            <w:r w:rsidRPr="00F1660D">
              <w:rPr>
                <w:lang w:val="fr-FR"/>
              </w:rPr>
              <w:t>25 000</w:t>
            </w:r>
          </w:p>
        </w:tc>
        <w:tc>
          <w:tcPr>
            <w:tcW w:w="1531" w:type="dxa"/>
            <w:vAlign w:val="center"/>
          </w:tcPr>
          <w:p w14:paraId="1DB9E06E" w14:textId="77777777" w:rsidR="001D7FFD" w:rsidRPr="00F1660D" w:rsidRDefault="001D7FFD" w:rsidP="0080091E">
            <w:pPr>
              <w:pStyle w:val="Normal-pool"/>
              <w:jc w:val="right"/>
              <w:rPr>
                <w:color w:val="000000"/>
                <w:lang w:val="fr-FR"/>
              </w:rPr>
            </w:pPr>
            <w:r w:rsidRPr="00F1660D">
              <w:rPr>
                <w:lang w:val="fr-FR"/>
              </w:rPr>
              <w:t>25 500</w:t>
            </w:r>
          </w:p>
        </w:tc>
      </w:tr>
      <w:tr w:rsidR="001D7FFD" w:rsidRPr="00F1660D" w14:paraId="0F7D9F13" w14:textId="77777777" w:rsidTr="0080091E">
        <w:trPr>
          <w:trHeight w:val="57"/>
        </w:trPr>
        <w:tc>
          <w:tcPr>
            <w:tcW w:w="424" w:type="dxa"/>
          </w:tcPr>
          <w:p w14:paraId="7E7DA544" w14:textId="77777777" w:rsidR="001D7FFD" w:rsidRPr="00F1660D" w:rsidRDefault="001D7FFD" w:rsidP="0080091E">
            <w:pPr>
              <w:pStyle w:val="Normal-pool"/>
              <w:rPr>
                <w:lang w:val="fr-FR"/>
              </w:rPr>
            </w:pPr>
          </w:p>
        </w:tc>
        <w:tc>
          <w:tcPr>
            <w:tcW w:w="474" w:type="dxa"/>
          </w:tcPr>
          <w:p w14:paraId="353A15EB" w14:textId="77777777" w:rsidR="001D7FFD" w:rsidRPr="00F1660D" w:rsidRDefault="001D7FFD" w:rsidP="0080091E">
            <w:pPr>
              <w:pStyle w:val="Normal-pool"/>
              <w:rPr>
                <w:b/>
                <w:bCs/>
                <w:color w:val="000000"/>
                <w:lang w:val="fr-FR" w:eastAsia="fr-CH"/>
              </w:rPr>
            </w:pPr>
          </w:p>
        </w:tc>
        <w:tc>
          <w:tcPr>
            <w:tcW w:w="520" w:type="dxa"/>
            <w:vAlign w:val="center"/>
          </w:tcPr>
          <w:p w14:paraId="1067A7B9" w14:textId="77777777" w:rsidR="001D7FFD" w:rsidRPr="00F1660D" w:rsidRDefault="001D7FFD" w:rsidP="0080091E">
            <w:pPr>
              <w:pStyle w:val="Normal-pool"/>
              <w:rPr>
                <w:color w:val="000000"/>
                <w:lang w:val="fr-FR"/>
              </w:rPr>
            </w:pPr>
            <w:r w:rsidRPr="00F1660D">
              <w:rPr>
                <w:lang w:val="fr-FR"/>
              </w:rPr>
              <w:t>3105</w:t>
            </w:r>
          </w:p>
        </w:tc>
        <w:tc>
          <w:tcPr>
            <w:tcW w:w="4394" w:type="dxa"/>
            <w:vAlign w:val="center"/>
          </w:tcPr>
          <w:p w14:paraId="739A2564" w14:textId="77777777" w:rsidR="001D7FFD" w:rsidRPr="00F1660D" w:rsidRDefault="001D7FFD" w:rsidP="0080091E">
            <w:pPr>
              <w:pStyle w:val="Normal-pool"/>
              <w:rPr>
                <w:color w:val="000000"/>
                <w:lang w:val="fr-FR"/>
              </w:rPr>
            </w:pPr>
            <w:r w:rsidRPr="00F1660D">
              <w:rPr>
                <w:lang w:val="fr-FR"/>
              </w:rPr>
              <w:t>Cinquième session de la Conférence</w:t>
            </w:r>
          </w:p>
        </w:tc>
        <w:tc>
          <w:tcPr>
            <w:tcW w:w="992" w:type="dxa"/>
            <w:vAlign w:val="center"/>
          </w:tcPr>
          <w:p w14:paraId="7B996E93" w14:textId="77777777" w:rsidR="001D7FFD" w:rsidRPr="00F1660D" w:rsidRDefault="001D7FFD" w:rsidP="0080091E">
            <w:pPr>
              <w:pStyle w:val="Normal-pool"/>
              <w:jc w:val="right"/>
              <w:rPr>
                <w:color w:val="000000"/>
                <w:lang w:val="fr-FR"/>
              </w:rPr>
            </w:pPr>
            <w:r w:rsidRPr="00F1660D">
              <w:rPr>
                <w:lang w:val="fr-FR"/>
              </w:rPr>
              <w:t>–</w:t>
            </w:r>
          </w:p>
        </w:tc>
        <w:tc>
          <w:tcPr>
            <w:tcW w:w="1531" w:type="dxa"/>
            <w:vAlign w:val="center"/>
          </w:tcPr>
          <w:p w14:paraId="48340A58" w14:textId="77777777" w:rsidR="001D7FFD" w:rsidRPr="00F1660D" w:rsidRDefault="001D7FFD" w:rsidP="0080091E">
            <w:pPr>
              <w:pStyle w:val="Normal-pool"/>
              <w:jc w:val="right"/>
              <w:rPr>
                <w:color w:val="000000"/>
                <w:lang w:val="fr-FR"/>
              </w:rPr>
            </w:pPr>
            <w:r w:rsidRPr="00F1660D">
              <w:rPr>
                <w:lang w:val="fr-FR"/>
              </w:rPr>
              <w:t>1 000 000</w:t>
            </w:r>
          </w:p>
        </w:tc>
      </w:tr>
      <w:tr w:rsidR="001D7FFD" w:rsidRPr="00F1660D" w14:paraId="0BA1BB5A" w14:textId="77777777" w:rsidTr="0080091E">
        <w:trPr>
          <w:trHeight w:val="57"/>
        </w:trPr>
        <w:tc>
          <w:tcPr>
            <w:tcW w:w="424" w:type="dxa"/>
            <w:tcBorders>
              <w:bottom w:val="single" w:sz="4" w:space="0" w:color="auto"/>
            </w:tcBorders>
          </w:tcPr>
          <w:p w14:paraId="614C4BDB" w14:textId="77777777" w:rsidR="001D7FFD" w:rsidRPr="00F1660D" w:rsidRDefault="001D7FFD" w:rsidP="0080091E">
            <w:pPr>
              <w:pStyle w:val="Normal-pool"/>
              <w:rPr>
                <w:lang w:val="fr-FR"/>
              </w:rPr>
            </w:pPr>
          </w:p>
        </w:tc>
        <w:tc>
          <w:tcPr>
            <w:tcW w:w="474" w:type="dxa"/>
            <w:tcBorders>
              <w:bottom w:val="single" w:sz="4" w:space="0" w:color="auto"/>
            </w:tcBorders>
          </w:tcPr>
          <w:p w14:paraId="4706F3FD" w14:textId="77777777" w:rsidR="001D7FFD" w:rsidRPr="00F1660D" w:rsidRDefault="001D7FFD" w:rsidP="0080091E">
            <w:pPr>
              <w:pStyle w:val="Normal-pool"/>
              <w:rPr>
                <w:b/>
                <w:bCs/>
                <w:color w:val="000000"/>
                <w:lang w:val="fr-FR" w:eastAsia="fr-CH"/>
              </w:rPr>
            </w:pPr>
          </w:p>
        </w:tc>
        <w:tc>
          <w:tcPr>
            <w:tcW w:w="520" w:type="dxa"/>
            <w:tcBorders>
              <w:bottom w:val="single" w:sz="4" w:space="0" w:color="auto"/>
            </w:tcBorders>
            <w:vAlign w:val="center"/>
          </w:tcPr>
          <w:p w14:paraId="70CB0C2C" w14:textId="77777777" w:rsidR="001D7FFD" w:rsidRPr="00F1660D" w:rsidRDefault="001D7FFD" w:rsidP="0080091E">
            <w:pPr>
              <w:pStyle w:val="Normal-pool"/>
              <w:rPr>
                <w:color w:val="000000"/>
                <w:lang w:val="fr-FR"/>
              </w:rPr>
            </w:pPr>
            <w:r w:rsidRPr="00F1660D">
              <w:rPr>
                <w:lang w:val="fr-FR"/>
              </w:rPr>
              <w:t>3106</w:t>
            </w:r>
          </w:p>
        </w:tc>
        <w:tc>
          <w:tcPr>
            <w:tcW w:w="4394" w:type="dxa"/>
            <w:tcBorders>
              <w:bottom w:val="single" w:sz="4" w:space="0" w:color="auto"/>
            </w:tcBorders>
            <w:vAlign w:val="center"/>
          </w:tcPr>
          <w:p w14:paraId="389ED6F7" w14:textId="77777777" w:rsidR="001D7FFD" w:rsidRPr="00F1660D" w:rsidRDefault="001D7FFD" w:rsidP="0080091E">
            <w:pPr>
              <w:pStyle w:val="Normal-pool"/>
              <w:rPr>
                <w:color w:val="000000"/>
                <w:lang w:val="fr-FR"/>
              </w:rPr>
            </w:pPr>
            <w:r w:rsidRPr="00F1660D">
              <w:rPr>
                <w:lang w:val="fr-FR"/>
              </w:rPr>
              <w:t>Processus intersessions au-delà de 2020</w:t>
            </w:r>
          </w:p>
        </w:tc>
        <w:tc>
          <w:tcPr>
            <w:tcW w:w="992" w:type="dxa"/>
            <w:tcBorders>
              <w:bottom w:val="single" w:sz="4" w:space="0" w:color="auto"/>
            </w:tcBorders>
            <w:vAlign w:val="center"/>
          </w:tcPr>
          <w:p w14:paraId="40A9999F" w14:textId="77777777" w:rsidR="001D7FFD" w:rsidRPr="00F1660D" w:rsidRDefault="001D7FFD" w:rsidP="0080091E">
            <w:pPr>
              <w:pStyle w:val="Normal-pool"/>
              <w:jc w:val="right"/>
              <w:rPr>
                <w:lang w:val="fr-FR" w:eastAsia="fr-CH"/>
              </w:rPr>
            </w:pPr>
            <w:r w:rsidRPr="00F1660D">
              <w:rPr>
                <w:lang w:val="fr-FR"/>
              </w:rPr>
              <w:t>150 000</w:t>
            </w:r>
          </w:p>
        </w:tc>
        <w:tc>
          <w:tcPr>
            <w:tcW w:w="1531" w:type="dxa"/>
            <w:tcBorders>
              <w:bottom w:val="single" w:sz="4" w:space="0" w:color="auto"/>
            </w:tcBorders>
            <w:vAlign w:val="center"/>
          </w:tcPr>
          <w:p w14:paraId="45774513" w14:textId="77777777" w:rsidR="001D7FFD" w:rsidRPr="00F1660D" w:rsidRDefault="001D7FFD" w:rsidP="0080091E">
            <w:pPr>
              <w:pStyle w:val="Normal-pool"/>
              <w:jc w:val="right"/>
              <w:rPr>
                <w:color w:val="000000"/>
                <w:lang w:val="fr-FR"/>
              </w:rPr>
            </w:pPr>
            <w:r w:rsidRPr="00F1660D">
              <w:rPr>
                <w:lang w:val="fr-FR"/>
              </w:rPr>
              <w:t>150 000</w:t>
            </w:r>
          </w:p>
        </w:tc>
      </w:tr>
      <w:tr w:rsidR="001D7FFD" w:rsidRPr="00F1660D" w14:paraId="2FC6F659" w14:textId="77777777" w:rsidTr="0080091E">
        <w:trPr>
          <w:trHeight w:val="57"/>
        </w:trPr>
        <w:tc>
          <w:tcPr>
            <w:tcW w:w="424" w:type="dxa"/>
            <w:tcBorders>
              <w:top w:val="single" w:sz="4" w:space="0" w:color="auto"/>
              <w:bottom w:val="single" w:sz="4" w:space="0" w:color="auto"/>
            </w:tcBorders>
          </w:tcPr>
          <w:p w14:paraId="569D302E"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tcPr>
          <w:p w14:paraId="674E2F4C"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3D79679A" w14:textId="77777777" w:rsidR="001D7FFD" w:rsidRPr="00F1660D" w:rsidRDefault="001D7FFD" w:rsidP="0080091E">
            <w:pPr>
              <w:pStyle w:val="Normal-pool"/>
              <w:rPr>
                <w:b/>
                <w:bCs/>
                <w:color w:val="000000"/>
                <w:lang w:val="fr-FR"/>
              </w:rPr>
            </w:pPr>
            <w:r w:rsidRPr="00F1660D">
              <w:rPr>
                <w:b/>
                <w:lang w:val="fr-FR"/>
              </w:rPr>
              <w:t>3399</w:t>
            </w:r>
          </w:p>
        </w:tc>
        <w:tc>
          <w:tcPr>
            <w:tcW w:w="4394" w:type="dxa"/>
            <w:tcBorders>
              <w:top w:val="single" w:sz="4" w:space="0" w:color="auto"/>
              <w:bottom w:val="single" w:sz="4" w:space="0" w:color="auto"/>
            </w:tcBorders>
            <w:vAlign w:val="center"/>
          </w:tcPr>
          <w:p w14:paraId="7588557C"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0A446E63" w14:textId="77777777" w:rsidR="001D7FFD" w:rsidRPr="00F1660D" w:rsidRDefault="001D7FFD" w:rsidP="0080091E">
            <w:pPr>
              <w:pStyle w:val="Normal-pool"/>
              <w:jc w:val="right"/>
              <w:rPr>
                <w:b/>
                <w:color w:val="000000"/>
                <w:lang w:val="fr-FR"/>
              </w:rPr>
            </w:pPr>
            <w:r w:rsidRPr="00F1660D">
              <w:rPr>
                <w:b/>
                <w:color w:val="000000"/>
                <w:lang w:val="fr-FR" w:eastAsia="fr-CH"/>
              </w:rPr>
              <w:t>478 000</w:t>
            </w:r>
          </w:p>
        </w:tc>
        <w:tc>
          <w:tcPr>
            <w:tcW w:w="1531" w:type="dxa"/>
            <w:tcBorders>
              <w:top w:val="single" w:sz="4" w:space="0" w:color="auto"/>
              <w:bottom w:val="single" w:sz="4" w:space="0" w:color="auto"/>
            </w:tcBorders>
            <w:vAlign w:val="center"/>
          </w:tcPr>
          <w:p w14:paraId="7E4B74A6" w14:textId="77777777" w:rsidR="001D7FFD" w:rsidRPr="00F1660D" w:rsidRDefault="001D7FFD" w:rsidP="0080091E">
            <w:pPr>
              <w:pStyle w:val="Normal-pool"/>
              <w:jc w:val="right"/>
              <w:rPr>
                <w:b/>
                <w:color w:val="000000"/>
                <w:lang w:val="fr-FR"/>
              </w:rPr>
            </w:pPr>
            <w:r w:rsidRPr="00F1660D">
              <w:rPr>
                <w:b/>
                <w:color w:val="000000"/>
                <w:lang w:val="fr-FR" w:eastAsia="fr-CH"/>
              </w:rPr>
              <w:t>1 175 500</w:t>
            </w:r>
          </w:p>
        </w:tc>
      </w:tr>
      <w:tr w:rsidR="001D7FFD" w:rsidRPr="00F1660D" w14:paraId="328F21B6" w14:textId="77777777" w:rsidTr="0080091E">
        <w:trPr>
          <w:trHeight w:val="57"/>
        </w:trPr>
        <w:tc>
          <w:tcPr>
            <w:tcW w:w="424" w:type="dxa"/>
            <w:tcBorders>
              <w:top w:val="single" w:sz="4" w:space="0" w:color="auto"/>
              <w:bottom w:val="single" w:sz="4" w:space="0" w:color="auto"/>
            </w:tcBorders>
          </w:tcPr>
          <w:p w14:paraId="7EE5797D"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vAlign w:val="center"/>
          </w:tcPr>
          <w:p w14:paraId="4472A35A" w14:textId="77777777" w:rsidR="001D7FFD" w:rsidRPr="00F1660D" w:rsidRDefault="001D7FFD" w:rsidP="0080091E">
            <w:pPr>
              <w:pStyle w:val="Normal-pool"/>
              <w:rPr>
                <w:b/>
                <w:bCs/>
                <w:color w:val="000000"/>
                <w:lang w:val="fr-FR"/>
              </w:rPr>
            </w:pPr>
            <w:r w:rsidRPr="00F1660D">
              <w:rPr>
                <w:b/>
                <w:lang w:val="fr-FR"/>
              </w:rPr>
              <w:t>3999</w:t>
            </w:r>
          </w:p>
        </w:tc>
        <w:tc>
          <w:tcPr>
            <w:tcW w:w="4914" w:type="dxa"/>
            <w:gridSpan w:val="2"/>
            <w:tcBorders>
              <w:top w:val="single" w:sz="4" w:space="0" w:color="auto"/>
              <w:bottom w:val="single" w:sz="4" w:space="0" w:color="auto"/>
            </w:tcBorders>
            <w:vAlign w:val="center"/>
          </w:tcPr>
          <w:p w14:paraId="7CF17FBE" w14:textId="77777777" w:rsidR="001D7FFD" w:rsidRPr="00F1660D" w:rsidRDefault="001D7FFD" w:rsidP="0080091E">
            <w:pPr>
              <w:pStyle w:val="Normal-pool"/>
              <w:rPr>
                <w:b/>
                <w:bCs/>
                <w:color w:val="000000"/>
                <w:lang w:val="fr-FR"/>
              </w:rPr>
            </w:pPr>
            <w:r w:rsidRPr="00F1660D">
              <w:rPr>
                <w:b/>
                <w:bCs/>
                <w:lang w:val="fr-FR"/>
              </w:rPr>
              <w:t>Total élément</w:t>
            </w:r>
          </w:p>
        </w:tc>
        <w:tc>
          <w:tcPr>
            <w:tcW w:w="992" w:type="dxa"/>
            <w:tcBorders>
              <w:top w:val="single" w:sz="4" w:space="0" w:color="auto"/>
              <w:bottom w:val="single" w:sz="4" w:space="0" w:color="auto"/>
            </w:tcBorders>
            <w:vAlign w:val="center"/>
          </w:tcPr>
          <w:p w14:paraId="57BEAA3C" w14:textId="77777777" w:rsidR="001D7FFD" w:rsidRPr="00F1660D" w:rsidRDefault="001D7FFD" w:rsidP="0080091E">
            <w:pPr>
              <w:pStyle w:val="Normal-pool"/>
              <w:jc w:val="right"/>
              <w:rPr>
                <w:b/>
                <w:color w:val="000000"/>
                <w:lang w:val="fr-FR"/>
              </w:rPr>
            </w:pPr>
            <w:r w:rsidRPr="00F1660D">
              <w:rPr>
                <w:b/>
                <w:color w:val="000000"/>
                <w:lang w:val="fr-FR" w:eastAsia="fr-CH"/>
              </w:rPr>
              <w:t>478 000</w:t>
            </w:r>
          </w:p>
        </w:tc>
        <w:tc>
          <w:tcPr>
            <w:tcW w:w="1531" w:type="dxa"/>
            <w:tcBorders>
              <w:top w:val="single" w:sz="4" w:space="0" w:color="auto"/>
              <w:bottom w:val="single" w:sz="4" w:space="0" w:color="auto"/>
            </w:tcBorders>
            <w:vAlign w:val="center"/>
          </w:tcPr>
          <w:p w14:paraId="4895B6B5" w14:textId="77777777" w:rsidR="001D7FFD" w:rsidRPr="00F1660D" w:rsidRDefault="001D7FFD" w:rsidP="0080091E">
            <w:pPr>
              <w:pStyle w:val="Normal-pool"/>
              <w:jc w:val="right"/>
              <w:rPr>
                <w:b/>
                <w:bCs/>
                <w:color w:val="000000"/>
                <w:lang w:val="fr-FR"/>
              </w:rPr>
            </w:pPr>
            <w:r w:rsidRPr="00F1660D">
              <w:rPr>
                <w:b/>
                <w:color w:val="000000"/>
                <w:lang w:val="fr-FR" w:eastAsia="fr-CH"/>
              </w:rPr>
              <w:t>1 175 500</w:t>
            </w:r>
          </w:p>
        </w:tc>
      </w:tr>
      <w:tr w:rsidR="001D7FFD" w:rsidRPr="00F1660D" w14:paraId="6CEDBCF1" w14:textId="77777777" w:rsidTr="0080091E">
        <w:trPr>
          <w:trHeight w:val="57"/>
        </w:trPr>
        <w:tc>
          <w:tcPr>
            <w:tcW w:w="424" w:type="dxa"/>
            <w:tcBorders>
              <w:top w:val="single" w:sz="4" w:space="0" w:color="auto"/>
              <w:bottom w:val="single" w:sz="4" w:space="0" w:color="auto"/>
            </w:tcBorders>
            <w:vAlign w:val="center"/>
          </w:tcPr>
          <w:p w14:paraId="380D026F" w14:textId="77777777" w:rsidR="001D7FFD" w:rsidRPr="00F1660D" w:rsidRDefault="001D7FFD" w:rsidP="0080091E">
            <w:pPr>
              <w:pStyle w:val="Normal-pool"/>
              <w:rPr>
                <w:b/>
                <w:bCs/>
                <w:color w:val="000000"/>
                <w:lang w:val="fr-FR"/>
              </w:rPr>
            </w:pPr>
            <w:r w:rsidRPr="00F1660D">
              <w:rPr>
                <w:b/>
                <w:lang w:val="fr-FR"/>
              </w:rPr>
              <w:t>40</w:t>
            </w:r>
          </w:p>
        </w:tc>
        <w:tc>
          <w:tcPr>
            <w:tcW w:w="7911" w:type="dxa"/>
            <w:gridSpan w:val="5"/>
            <w:tcBorders>
              <w:top w:val="single" w:sz="4" w:space="0" w:color="auto"/>
              <w:bottom w:val="single" w:sz="4" w:space="0" w:color="auto"/>
            </w:tcBorders>
            <w:vAlign w:val="center"/>
          </w:tcPr>
          <w:p w14:paraId="66232275" w14:textId="77777777" w:rsidR="001D7FFD" w:rsidRPr="00F1660D" w:rsidRDefault="001D7FFD" w:rsidP="0080091E">
            <w:pPr>
              <w:pStyle w:val="Normal-pool"/>
              <w:rPr>
                <w:b/>
                <w:bCs/>
                <w:color w:val="000000"/>
                <w:lang w:val="fr-FR"/>
              </w:rPr>
            </w:pPr>
            <w:r w:rsidRPr="00F1660D">
              <w:rPr>
                <w:b/>
                <w:bCs/>
                <w:lang w:val="fr-FR"/>
              </w:rPr>
              <w:t>Matériel et locaux à usage de bureau</w:t>
            </w:r>
          </w:p>
        </w:tc>
      </w:tr>
      <w:tr w:rsidR="001D7FFD" w:rsidRPr="00F1660D" w14:paraId="3DC8E925" w14:textId="77777777" w:rsidTr="0080091E">
        <w:trPr>
          <w:trHeight w:val="57"/>
        </w:trPr>
        <w:tc>
          <w:tcPr>
            <w:tcW w:w="424" w:type="dxa"/>
            <w:tcBorders>
              <w:top w:val="single" w:sz="4" w:space="0" w:color="auto"/>
              <w:bottom w:val="single" w:sz="4" w:space="0" w:color="auto"/>
            </w:tcBorders>
          </w:tcPr>
          <w:p w14:paraId="77764C9A"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vAlign w:val="center"/>
          </w:tcPr>
          <w:p w14:paraId="1065B53F" w14:textId="77777777" w:rsidR="001D7FFD" w:rsidRPr="00F1660D" w:rsidRDefault="001D7FFD" w:rsidP="0080091E">
            <w:pPr>
              <w:pStyle w:val="Normal-pool"/>
              <w:rPr>
                <w:b/>
                <w:bCs/>
                <w:color w:val="000000"/>
                <w:lang w:val="fr-FR"/>
              </w:rPr>
            </w:pPr>
            <w:r w:rsidRPr="00F1660D">
              <w:rPr>
                <w:b/>
                <w:lang w:val="fr-FR"/>
              </w:rPr>
              <w:t>4100</w:t>
            </w:r>
          </w:p>
        </w:tc>
        <w:tc>
          <w:tcPr>
            <w:tcW w:w="7437" w:type="dxa"/>
            <w:gridSpan w:val="4"/>
            <w:tcBorders>
              <w:top w:val="single" w:sz="4" w:space="0" w:color="auto"/>
              <w:bottom w:val="single" w:sz="4" w:space="0" w:color="auto"/>
            </w:tcBorders>
            <w:vAlign w:val="center"/>
          </w:tcPr>
          <w:p w14:paraId="28E6EAC2" w14:textId="19B8C9F4" w:rsidR="001D7FFD" w:rsidRPr="00F1660D" w:rsidRDefault="001D7FFD" w:rsidP="0080091E">
            <w:pPr>
              <w:pStyle w:val="Normal-pool"/>
              <w:rPr>
                <w:b/>
                <w:color w:val="000000"/>
                <w:lang w:val="fr-FR"/>
              </w:rPr>
            </w:pPr>
            <w:r w:rsidRPr="00F1660D">
              <w:rPr>
                <w:b/>
                <w:bCs/>
                <w:lang w:val="fr-FR"/>
              </w:rPr>
              <w:t>Matériel consomptible (articles de moins de 1</w:t>
            </w:r>
            <w:r w:rsidR="0080091E" w:rsidRPr="00F1660D">
              <w:rPr>
                <w:b/>
                <w:bCs/>
                <w:lang w:val="fr-FR"/>
              </w:rPr>
              <w:t> </w:t>
            </w:r>
            <w:r w:rsidRPr="00F1660D">
              <w:rPr>
                <w:b/>
                <w:bCs/>
                <w:lang w:val="fr-FR"/>
              </w:rPr>
              <w:t>500</w:t>
            </w:r>
            <w:r w:rsidR="0080091E" w:rsidRPr="00F1660D">
              <w:rPr>
                <w:b/>
                <w:bCs/>
                <w:lang w:val="fr-FR"/>
              </w:rPr>
              <w:t> </w:t>
            </w:r>
            <w:r w:rsidRPr="00F1660D">
              <w:rPr>
                <w:b/>
                <w:bCs/>
                <w:lang w:val="fr-FR"/>
              </w:rPr>
              <w:t>dollars)</w:t>
            </w:r>
          </w:p>
        </w:tc>
      </w:tr>
      <w:tr w:rsidR="001D7FFD" w:rsidRPr="00F1660D" w14:paraId="533D1D5B" w14:textId="77777777" w:rsidTr="0080091E">
        <w:trPr>
          <w:trHeight w:val="57"/>
        </w:trPr>
        <w:tc>
          <w:tcPr>
            <w:tcW w:w="424" w:type="dxa"/>
            <w:tcBorders>
              <w:top w:val="single" w:sz="4" w:space="0" w:color="auto"/>
            </w:tcBorders>
          </w:tcPr>
          <w:p w14:paraId="5FA51405" w14:textId="77777777" w:rsidR="001D7FFD" w:rsidRPr="00F1660D" w:rsidRDefault="001D7FFD" w:rsidP="0080091E">
            <w:pPr>
              <w:pStyle w:val="Normal-pool"/>
              <w:rPr>
                <w:lang w:val="fr-FR"/>
              </w:rPr>
            </w:pPr>
          </w:p>
        </w:tc>
        <w:tc>
          <w:tcPr>
            <w:tcW w:w="474" w:type="dxa"/>
            <w:tcBorders>
              <w:top w:val="single" w:sz="4" w:space="0" w:color="auto"/>
            </w:tcBorders>
          </w:tcPr>
          <w:p w14:paraId="5AFDED04" w14:textId="77777777" w:rsidR="001D7FFD" w:rsidRPr="00F1660D" w:rsidRDefault="001D7FFD" w:rsidP="0080091E">
            <w:pPr>
              <w:pStyle w:val="Normal-pool"/>
              <w:rPr>
                <w:b/>
                <w:bCs/>
                <w:color w:val="000000"/>
                <w:lang w:val="fr-FR" w:eastAsia="fr-CH"/>
              </w:rPr>
            </w:pPr>
          </w:p>
        </w:tc>
        <w:tc>
          <w:tcPr>
            <w:tcW w:w="520" w:type="dxa"/>
            <w:tcBorders>
              <w:top w:val="single" w:sz="4" w:space="0" w:color="auto"/>
            </w:tcBorders>
            <w:vAlign w:val="center"/>
          </w:tcPr>
          <w:p w14:paraId="5A7A8D31" w14:textId="77777777" w:rsidR="001D7FFD" w:rsidRPr="00F1660D" w:rsidRDefault="001D7FFD" w:rsidP="0080091E">
            <w:pPr>
              <w:pStyle w:val="Normal-pool"/>
              <w:rPr>
                <w:color w:val="000000"/>
                <w:lang w:val="fr-FR"/>
              </w:rPr>
            </w:pPr>
            <w:r w:rsidRPr="00F1660D">
              <w:rPr>
                <w:lang w:val="fr-FR"/>
              </w:rPr>
              <w:t>4101</w:t>
            </w:r>
          </w:p>
        </w:tc>
        <w:tc>
          <w:tcPr>
            <w:tcW w:w="4394" w:type="dxa"/>
            <w:tcBorders>
              <w:top w:val="single" w:sz="4" w:space="0" w:color="auto"/>
            </w:tcBorders>
            <w:vAlign w:val="center"/>
          </w:tcPr>
          <w:p w14:paraId="2A87695E" w14:textId="77777777" w:rsidR="001D7FFD" w:rsidRPr="00F1660D" w:rsidRDefault="001D7FFD" w:rsidP="0080091E">
            <w:pPr>
              <w:pStyle w:val="Normal-pool"/>
              <w:rPr>
                <w:color w:val="000000"/>
                <w:lang w:val="fr-FR"/>
              </w:rPr>
            </w:pPr>
            <w:r w:rsidRPr="00F1660D">
              <w:rPr>
                <w:lang w:val="fr-FR"/>
              </w:rPr>
              <w:t>Fournitures de bureau</w:t>
            </w:r>
          </w:p>
        </w:tc>
        <w:tc>
          <w:tcPr>
            <w:tcW w:w="992" w:type="dxa"/>
            <w:tcBorders>
              <w:top w:val="single" w:sz="4" w:space="0" w:color="auto"/>
            </w:tcBorders>
            <w:vAlign w:val="center"/>
          </w:tcPr>
          <w:p w14:paraId="27E20973" w14:textId="77777777" w:rsidR="001D7FFD" w:rsidRPr="00F1660D" w:rsidRDefault="001D7FFD" w:rsidP="0080091E">
            <w:pPr>
              <w:pStyle w:val="Normal-pool"/>
              <w:jc w:val="right"/>
              <w:rPr>
                <w:color w:val="000000"/>
                <w:lang w:val="fr-FR"/>
              </w:rPr>
            </w:pPr>
            <w:r w:rsidRPr="00F1660D">
              <w:rPr>
                <w:lang w:val="fr-FR"/>
              </w:rPr>
              <w:t>1 200</w:t>
            </w:r>
          </w:p>
        </w:tc>
        <w:tc>
          <w:tcPr>
            <w:tcW w:w="1531" w:type="dxa"/>
            <w:tcBorders>
              <w:top w:val="single" w:sz="4" w:space="0" w:color="auto"/>
            </w:tcBorders>
            <w:vAlign w:val="center"/>
          </w:tcPr>
          <w:p w14:paraId="25915380" w14:textId="77777777" w:rsidR="001D7FFD" w:rsidRPr="00F1660D" w:rsidRDefault="001D7FFD" w:rsidP="0080091E">
            <w:pPr>
              <w:pStyle w:val="Normal-pool"/>
              <w:jc w:val="right"/>
              <w:rPr>
                <w:color w:val="000000"/>
                <w:lang w:val="fr-FR"/>
              </w:rPr>
            </w:pPr>
            <w:r w:rsidRPr="00F1660D">
              <w:rPr>
                <w:lang w:val="fr-FR"/>
              </w:rPr>
              <w:t>1 200</w:t>
            </w:r>
          </w:p>
        </w:tc>
      </w:tr>
      <w:tr w:rsidR="001D7FFD" w:rsidRPr="00F1660D" w14:paraId="4B5ECAFF" w14:textId="77777777" w:rsidTr="0080091E">
        <w:trPr>
          <w:trHeight w:val="57"/>
        </w:trPr>
        <w:tc>
          <w:tcPr>
            <w:tcW w:w="424" w:type="dxa"/>
            <w:tcBorders>
              <w:bottom w:val="single" w:sz="4" w:space="0" w:color="auto"/>
            </w:tcBorders>
          </w:tcPr>
          <w:p w14:paraId="6A9C0D50" w14:textId="77777777" w:rsidR="001D7FFD" w:rsidRPr="00F1660D" w:rsidRDefault="001D7FFD" w:rsidP="0080091E">
            <w:pPr>
              <w:pStyle w:val="Normal-pool"/>
              <w:rPr>
                <w:lang w:val="fr-FR"/>
              </w:rPr>
            </w:pPr>
          </w:p>
        </w:tc>
        <w:tc>
          <w:tcPr>
            <w:tcW w:w="474" w:type="dxa"/>
            <w:tcBorders>
              <w:bottom w:val="single" w:sz="4" w:space="0" w:color="auto"/>
            </w:tcBorders>
          </w:tcPr>
          <w:p w14:paraId="7FB7AD6B" w14:textId="77777777" w:rsidR="001D7FFD" w:rsidRPr="00F1660D" w:rsidRDefault="001D7FFD" w:rsidP="0080091E">
            <w:pPr>
              <w:pStyle w:val="Normal-pool"/>
              <w:rPr>
                <w:b/>
                <w:bCs/>
                <w:color w:val="000000"/>
                <w:lang w:val="fr-FR" w:eastAsia="fr-CH"/>
              </w:rPr>
            </w:pPr>
          </w:p>
        </w:tc>
        <w:tc>
          <w:tcPr>
            <w:tcW w:w="520" w:type="dxa"/>
            <w:tcBorders>
              <w:bottom w:val="single" w:sz="4" w:space="0" w:color="auto"/>
            </w:tcBorders>
            <w:vAlign w:val="center"/>
          </w:tcPr>
          <w:p w14:paraId="4484EFA3" w14:textId="77777777" w:rsidR="001D7FFD" w:rsidRPr="00F1660D" w:rsidRDefault="001D7FFD" w:rsidP="0080091E">
            <w:pPr>
              <w:pStyle w:val="Normal-pool"/>
              <w:rPr>
                <w:color w:val="000000"/>
                <w:lang w:val="fr-FR"/>
              </w:rPr>
            </w:pPr>
            <w:r w:rsidRPr="00F1660D">
              <w:rPr>
                <w:lang w:val="fr-FR"/>
              </w:rPr>
              <w:t>4102</w:t>
            </w:r>
          </w:p>
        </w:tc>
        <w:tc>
          <w:tcPr>
            <w:tcW w:w="4394" w:type="dxa"/>
            <w:tcBorders>
              <w:bottom w:val="single" w:sz="4" w:space="0" w:color="auto"/>
            </w:tcBorders>
            <w:vAlign w:val="center"/>
          </w:tcPr>
          <w:p w14:paraId="3AEA0D2B" w14:textId="77777777" w:rsidR="001D7FFD" w:rsidRPr="00F1660D" w:rsidRDefault="001D7FFD" w:rsidP="0080091E">
            <w:pPr>
              <w:pStyle w:val="Normal-pool"/>
              <w:rPr>
                <w:color w:val="000000"/>
                <w:lang w:val="fr-FR"/>
              </w:rPr>
            </w:pPr>
            <w:r w:rsidRPr="00F1660D">
              <w:rPr>
                <w:lang w:val="fr-FR"/>
              </w:rPr>
              <w:t xml:space="preserve">Logiciels </w:t>
            </w:r>
          </w:p>
        </w:tc>
        <w:tc>
          <w:tcPr>
            <w:tcW w:w="992" w:type="dxa"/>
            <w:tcBorders>
              <w:bottom w:val="single" w:sz="4" w:space="0" w:color="auto"/>
            </w:tcBorders>
            <w:vAlign w:val="center"/>
          </w:tcPr>
          <w:p w14:paraId="4007F301" w14:textId="77777777" w:rsidR="001D7FFD" w:rsidRPr="00F1660D" w:rsidRDefault="001D7FFD" w:rsidP="0080091E">
            <w:pPr>
              <w:pStyle w:val="Normal-pool"/>
              <w:jc w:val="right"/>
              <w:rPr>
                <w:color w:val="000000"/>
                <w:lang w:val="fr-FR"/>
              </w:rPr>
            </w:pPr>
            <w:r w:rsidRPr="00F1660D">
              <w:rPr>
                <w:lang w:val="fr-FR"/>
              </w:rPr>
              <w:t>–</w:t>
            </w:r>
          </w:p>
        </w:tc>
        <w:tc>
          <w:tcPr>
            <w:tcW w:w="1531" w:type="dxa"/>
            <w:tcBorders>
              <w:bottom w:val="single" w:sz="4" w:space="0" w:color="auto"/>
            </w:tcBorders>
            <w:vAlign w:val="center"/>
          </w:tcPr>
          <w:p w14:paraId="0C0232AD"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647FC7B9" w14:textId="77777777" w:rsidTr="0080091E">
        <w:trPr>
          <w:trHeight w:val="57"/>
        </w:trPr>
        <w:tc>
          <w:tcPr>
            <w:tcW w:w="424" w:type="dxa"/>
            <w:tcBorders>
              <w:top w:val="single" w:sz="4" w:space="0" w:color="auto"/>
              <w:bottom w:val="single" w:sz="4" w:space="0" w:color="auto"/>
            </w:tcBorders>
          </w:tcPr>
          <w:p w14:paraId="0E9E82AA"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7207680E"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212FD90C" w14:textId="77777777" w:rsidR="001D7FFD" w:rsidRPr="00F1660D" w:rsidRDefault="001D7FFD" w:rsidP="0080091E">
            <w:pPr>
              <w:pStyle w:val="Normal-pool"/>
              <w:rPr>
                <w:b/>
                <w:bCs/>
                <w:color w:val="000000"/>
                <w:lang w:val="fr-FR"/>
              </w:rPr>
            </w:pPr>
            <w:r w:rsidRPr="00F1660D">
              <w:rPr>
                <w:b/>
                <w:lang w:val="fr-FR"/>
              </w:rPr>
              <w:t>4199</w:t>
            </w:r>
          </w:p>
        </w:tc>
        <w:tc>
          <w:tcPr>
            <w:tcW w:w="4394" w:type="dxa"/>
            <w:tcBorders>
              <w:top w:val="single" w:sz="4" w:space="0" w:color="auto"/>
              <w:bottom w:val="single" w:sz="4" w:space="0" w:color="auto"/>
            </w:tcBorders>
            <w:vAlign w:val="center"/>
          </w:tcPr>
          <w:p w14:paraId="43A673DB"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63B771DF" w14:textId="77777777" w:rsidR="001D7FFD" w:rsidRPr="00F1660D" w:rsidRDefault="001D7FFD" w:rsidP="0080091E">
            <w:pPr>
              <w:pStyle w:val="Normal-pool"/>
              <w:jc w:val="right"/>
              <w:rPr>
                <w:b/>
                <w:color w:val="000000"/>
                <w:lang w:val="fr-FR"/>
              </w:rPr>
            </w:pPr>
            <w:r w:rsidRPr="00F1660D">
              <w:rPr>
                <w:lang w:val="fr-FR"/>
              </w:rPr>
              <w:t>1 200</w:t>
            </w:r>
          </w:p>
        </w:tc>
        <w:tc>
          <w:tcPr>
            <w:tcW w:w="1531" w:type="dxa"/>
            <w:tcBorders>
              <w:top w:val="single" w:sz="4" w:space="0" w:color="auto"/>
              <w:bottom w:val="single" w:sz="4" w:space="0" w:color="auto"/>
            </w:tcBorders>
            <w:vAlign w:val="center"/>
          </w:tcPr>
          <w:p w14:paraId="0F9865A3" w14:textId="77777777" w:rsidR="001D7FFD" w:rsidRPr="00F1660D" w:rsidRDefault="001D7FFD" w:rsidP="0080091E">
            <w:pPr>
              <w:pStyle w:val="Normal-pool"/>
              <w:jc w:val="right"/>
              <w:rPr>
                <w:b/>
                <w:color w:val="000000"/>
                <w:lang w:val="fr-FR"/>
              </w:rPr>
            </w:pPr>
            <w:r w:rsidRPr="00F1660D">
              <w:rPr>
                <w:lang w:val="fr-FR"/>
              </w:rPr>
              <w:t>1 200</w:t>
            </w:r>
          </w:p>
        </w:tc>
      </w:tr>
      <w:tr w:rsidR="001D7FFD" w:rsidRPr="00F1660D" w14:paraId="61DB7DFC" w14:textId="77777777" w:rsidTr="0080091E">
        <w:trPr>
          <w:trHeight w:val="57"/>
        </w:trPr>
        <w:tc>
          <w:tcPr>
            <w:tcW w:w="424" w:type="dxa"/>
            <w:tcBorders>
              <w:top w:val="single" w:sz="4" w:space="0" w:color="auto"/>
              <w:bottom w:val="single" w:sz="4" w:space="0" w:color="auto"/>
            </w:tcBorders>
          </w:tcPr>
          <w:p w14:paraId="151DF62D"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vAlign w:val="center"/>
          </w:tcPr>
          <w:p w14:paraId="3979DA64" w14:textId="77777777" w:rsidR="001D7FFD" w:rsidRPr="00F1660D" w:rsidRDefault="001D7FFD" w:rsidP="0080091E">
            <w:pPr>
              <w:pStyle w:val="Normal-pool"/>
              <w:rPr>
                <w:b/>
                <w:bCs/>
                <w:color w:val="000000"/>
                <w:lang w:val="fr-FR"/>
              </w:rPr>
            </w:pPr>
            <w:r w:rsidRPr="00F1660D">
              <w:rPr>
                <w:b/>
                <w:lang w:val="fr-FR"/>
              </w:rPr>
              <w:t>4200</w:t>
            </w:r>
          </w:p>
        </w:tc>
        <w:tc>
          <w:tcPr>
            <w:tcW w:w="4914" w:type="dxa"/>
            <w:gridSpan w:val="2"/>
            <w:tcBorders>
              <w:top w:val="single" w:sz="4" w:space="0" w:color="auto"/>
              <w:bottom w:val="single" w:sz="4" w:space="0" w:color="auto"/>
            </w:tcBorders>
            <w:vAlign w:val="center"/>
          </w:tcPr>
          <w:p w14:paraId="12BBF118" w14:textId="62E89429" w:rsidR="001D7FFD" w:rsidRPr="00F1660D" w:rsidRDefault="001D7FFD" w:rsidP="0080091E">
            <w:pPr>
              <w:pStyle w:val="Normal-pool"/>
              <w:rPr>
                <w:b/>
                <w:color w:val="000000"/>
                <w:lang w:val="fr-FR"/>
              </w:rPr>
            </w:pPr>
            <w:r w:rsidRPr="00F1660D">
              <w:rPr>
                <w:b/>
                <w:bCs/>
                <w:lang w:val="fr-FR"/>
              </w:rPr>
              <w:t>Matériel non consomptible (articles figurant sur la liste établie</w:t>
            </w:r>
            <w:r w:rsidR="0080091E" w:rsidRPr="00F1660D">
              <w:rPr>
                <w:b/>
                <w:bCs/>
                <w:lang w:val="fr-FR"/>
              </w:rPr>
              <w:t> </w:t>
            </w:r>
            <w:r w:rsidRPr="00F1660D">
              <w:rPr>
                <w:b/>
                <w:bCs/>
                <w:lang w:val="fr-FR"/>
              </w:rPr>
              <w:t>aux fins du budget)</w:t>
            </w:r>
          </w:p>
        </w:tc>
        <w:tc>
          <w:tcPr>
            <w:tcW w:w="992" w:type="dxa"/>
            <w:tcBorders>
              <w:top w:val="single" w:sz="4" w:space="0" w:color="auto"/>
              <w:bottom w:val="single" w:sz="4" w:space="0" w:color="auto"/>
            </w:tcBorders>
          </w:tcPr>
          <w:p w14:paraId="4F1CD320" w14:textId="77777777" w:rsidR="001D7FFD" w:rsidRPr="00F1660D" w:rsidRDefault="001D7FFD" w:rsidP="0080091E">
            <w:pPr>
              <w:pStyle w:val="Normal-pool"/>
              <w:jc w:val="right"/>
              <w:rPr>
                <w:b/>
                <w:color w:val="000000"/>
                <w:lang w:val="fr-FR" w:eastAsia="fr-CH"/>
              </w:rPr>
            </w:pPr>
          </w:p>
        </w:tc>
        <w:tc>
          <w:tcPr>
            <w:tcW w:w="1531" w:type="dxa"/>
            <w:tcBorders>
              <w:top w:val="single" w:sz="4" w:space="0" w:color="auto"/>
              <w:bottom w:val="single" w:sz="4" w:space="0" w:color="auto"/>
            </w:tcBorders>
          </w:tcPr>
          <w:p w14:paraId="1FDC4F50" w14:textId="77777777" w:rsidR="001D7FFD" w:rsidRPr="00F1660D" w:rsidRDefault="001D7FFD" w:rsidP="0080091E">
            <w:pPr>
              <w:pStyle w:val="Normal-pool"/>
              <w:jc w:val="right"/>
              <w:rPr>
                <w:b/>
                <w:color w:val="000000"/>
                <w:lang w:val="fr-FR"/>
              </w:rPr>
            </w:pPr>
            <w:r w:rsidRPr="00F1660D">
              <w:rPr>
                <w:b/>
                <w:lang w:val="fr-FR"/>
              </w:rPr>
              <w:t>–</w:t>
            </w:r>
          </w:p>
        </w:tc>
      </w:tr>
      <w:tr w:rsidR="001D7FFD" w:rsidRPr="00F1660D" w14:paraId="74445F94" w14:textId="77777777" w:rsidTr="0080091E">
        <w:trPr>
          <w:trHeight w:val="57"/>
        </w:trPr>
        <w:tc>
          <w:tcPr>
            <w:tcW w:w="424" w:type="dxa"/>
            <w:tcBorders>
              <w:top w:val="single" w:sz="4" w:space="0" w:color="auto"/>
              <w:bottom w:val="single" w:sz="4" w:space="0" w:color="auto"/>
            </w:tcBorders>
          </w:tcPr>
          <w:p w14:paraId="3C7D2927"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28A099A2"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343294DF" w14:textId="77777777" w:rsidR="001D7FFD" w:rsidRPr="00F1660D" w:rsidRDefault="001D7FFD" w:rsidP="0080091E">
            <w:pPr>
              <w:pStyle w:val="Normal-pool"/>
              <w:rPr>
                <w:color w:val="000000"/>
                <w:lang w:val="fr-FR"/>
              </w:rPr>
            </w:pPr>
            <w:r w:rsidRPr="00F1660D">
              <w:rPr>
                <w:lang w:val="fr-FR"/>
              </w:rPr>
              <w:t>4201</w:t>
            </w:r>
          </w:p>
        </w:tc>
        <w:tc>
          <w:tcPr>
            <w:tcW w:w="4394" w:type="dxa"/>
            <w:tcBorders>
              <w:top w:val="single" w:sz="4" w:space="0" w:color="auto"/>
              <w:bottom w:val="single" w:sz="4" w:space="0" w:color="auto"/>
            </w:tcBorders>
            <w:vAlign w:val="center"/>
          </w:tcPr>
          <w:p w14:paraId="1386119F" w14:textId="77777777" w:rsidR="001D7FFD" w:rsidRPr="00F1660D" w:rsidRDefault="001D7FFD" w:rsidP="0080091E">
            <w:pPr>
              <w:pStyle w:val="Normal-pool"/>
              <w:rPr>
                <w:color w:val="000000"/>
                <w:lang w:val="fr-FR"/>
              </w:rPr>
            </w:pPr>
            <w:r w:rsidRPr="00F1660D">
              <w:rPr>
                <w:lang w:val="fr-FR"/>
              </w:rPr>
              <w:t>Matériel informatique</w:t>
            </w:r>
          </w:p>
        </w:tc>
        <w:tc>
          <w:tcPr>
            <w:tcW w:w="992" w:type="dxa"/>
            <w:tcBorders>
              <w:top w:val="single" w:sz="4" w:space="0" w:color="auto"/>
              <w:bottom w:val="single" w:sz="4" w:space="0" w:color="auto"/>
            </w:tcBorders>
            <w:vAlign w:val="center"/>
          </w:tcPr>
          <w:p w14:paraId="195EB5BD" w14:textId="77777777" w:rsidR="001D7FFD" w:rsidRPr="00F1660D" w:rsidRDefault="001D7FFD" w:rsidP="0080091E">
            <w:pPr>
              <w:pStyle w:val="Normal-pool"/>
              <w:jc w:val="right"/>
              <w:rPr>
                <w:color w:val="000000"/>
                <w:lang w:val="fr-FR"/>
              </w:rPr>
            </w:pPr>
            <w:r w:rsidRPr="00F1660D">
              <w:rPr>
                <w:lang w:val="fr-FR"/>
              </w:rPr>
              <w:t>–</w:t>
            </w:r>
          </w:p>
        </w:tc>
        <w:tc>
          <w:tcPr>
            <w:tcW w:w="1531" w:type="dxa"/>
            <w:tcBorders>
              <w:top w:val="single" w:sz="4" w:space="0" w:color="auto"/>
              <w:bottom w:val="single" w:sz="4" w:space="0" w:color="auto"/>
            </w:tcBorders>
          </w:tcPr>
          <w:p w14:paraId="616ED73E"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218F3F36" w14:textId="77777777" w:rsidTr="0080091E">
        <w:trPr>
          <w:trHeight w:val="57"/>
        </w:trPr>
        <w:tc>
          <w:tcPr>
            <w:tcW w:w="424" w:type="dxa"/>
            <w:tcBorders>
              <w:top w:val="single" w:sz="4" w:space="0" w:color="auto"/>
              <w:bottom w:val="single" w:sz="4" w:space="0" w:color="auto"/>
            </w:tcBorders>
          </w:tcPr>
          <w:p w14:paraId="7E13ACD8"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tcPr>
          <w:p w14:paraId="53DAD2E1"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0CD8D7AF" w14:textId="77777777" w:rsidR="001D7FFD" w:rsidRPr="00F1660D" w:rsidRDefault="001D7FFD" w:rsidP="0080091E">
            <w:pPr>
              <w:pStyle w:val="Normal-pool"/>
              <w:rPr>
                <w:b/>
                <w:bCs/>
                <w:color w:val="000000"/>
                <w:lang w:val="fr-FR"/>
              </w:rPr>
            </w:pPr>
            <w:r w:rsidRPr="00F1660D">
              <w:rPr>
                <w:b/>
                <w:lang w:val="fr-FR"/>
              </w:rPr>
              <w:t>4299</w:t>
            </w:r>
          </w:p>
        </w:tc>
        <w:tc>
          <w:tcPr>
            <w:tcW w:w="4394" w:type="dxa"/>
            <w:tcBorders>
              <w:top w:val="single" w:sz="4" w:space="0" w:color="auto"/>
              <w:bottom w:val="single" w:sz="4" w:space="0" w:color="auto"/>
            </w:tcBorders>
            <w:vAlign w:val="center"/>
          </w:tcPr>
          <w:p w14:paraId="75D71529"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5753B5C3" w14:textId="77777777" w:rsidR="001D7FFD" w:rsidRPr="00F1660D" w:rsidRDefault="001D7FFD" w:rsidP="0080091E">
            <w:pPr>
              <w:pStyle w:val="Normal-pool"/>
              <w:jc w:val="right"/>
              <w:rPr>
                <w:b/>
                <w:color w:val="000000"/>
                <w:lang w:val="fr-FR"/>
              </w:rPr>
            </w:pPr>
            <w:r w:rsidRPr="00F1660D">
              <w:rPr>
                <w:b/>
                <w:lang w:val="fr-FR"/>
              </w:rPr>
              <w:t>–</w:t>
            </w:r>
          </w:p>
        </w:tc>
        <w:tc>
          <w:tcPr>
            <w:tcW w:w="1531" w:type="dxa"/>
            <w:tcBorders>
              <w:top w:val="single" w:sz="4" w:space="0" w:color="auto"/>
              <w:bottom w:val="single" w:sz="4" w:space="0" w:color="auto"/>
            </w:tcBorders>
          </w:tcPr>
          <w:p w14:paraId="4170DB06" w14:textId="77777777" w:rsidR="001D7FFD" w:rsidRPr="00F1660D" w:rsidRDefault="001D7FFD" w:rsidP="0080091E">
            <w:pPr>
              <w:pStyle w:val="Normal-pool"/>
              <w:jc w:val="right"/>
              <w:rPr>
                <w:b/>
                <w:color w:val="000000"/>
                <w:lang w:val="fr-FR"/>
              </w:rPr>
            </w:pPr>
            <w:r w:rsidRPr="00F1660D">
              <w:rPr>
                <w:b/>
                <w:lang w:val="fr-FR"/>
              </w:rPr>
              <w:t>–</w:t>
            </w:r>
          </w:p>
        </w:tc>
      </w:tr>
      <w:tr w:rsidR="001D7FFD" w:rsidRPr="00F1660D" w14:paraId="13AD51ED" w14:textId="77777777" w:rsidTr="0080091E">
        <w:trPr>
          <w:trHeight w:val="57"/>
        </w:trPr>
        <w:tc>
          <w:tcPr>
            <w:tcW w:w="424" w:type="dxa"/>
            <w:tcBorders>
              <w:top w:val="single" w:sz="4" w:space="0" w:color="auto"/>
              <w:bottom w:val="single" w:sz="4" w:space="0" w:color="auto"/>
            </w:tcBorders>
          </w:tcPr>
          <w:p w14:paraId="0F78BFC7"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vAlign w:val="center"/>
          </w:tcPr>
          <w:p w14:paraId="266201DF" w14:textId="77777777" w:rsidR="001D7FFD" w:rsidRPr="00F1660D" w:rsidRDefault="001D7FFD" w:rsidP="0080091E">
            <w:pPr>
              <w:pStyle w:val="Normal-pool"/>
              <w:rPr>
                <w:b/>
                <w:bCs/>
                <w:color w:val="000000"/>
                <w:lang w:val="fr-FR"/>
              </w:rPr>
            </w:pPr>
            <w:r w:rsidRPr="00F1660D">
              <w:rPr>
                <w:b/>
                <w:lang w:val="fr-FR"/>
              </w:rPr>
              <w:t>4300</w:t>
            </w:r>
          </w:p>
        </w:tc>
        <w:tc>
          <w:tcPr>
            <w:tcW w:w="7437" w:type="dxa"/>
            <w:gridSpan w:val="4"/>
            <w:tcBorders>
              <w:top w:val="single" w:sz="4" w:space="0" w:color="auto"/>
              <w:bottom w:val="single" w:sz="4" w:space="0" w:color="auto"/>
            </w:tcBorders>
            <w:vAlign w:val="center"/>
          </w:tcPr>
          <w:p w14:paraId="18EE93EB" w14:textId="77777777" w:rsidR="001D7FFD" w:rsidRPr="00F1660D" w:rsidRDefault="001D7FFD" w:rsidP="0080091E">
            <w:pPr>
              <w:pStyle w:val="Normal-pool"/>
              <w:rPr>
                <w:b/>
                <w:color w:val="000000"/>
                <w:lang w:val="fr-FR"/>
              </w:rPr>
            </w:pPr>
            <w:r w:rsidRPr="00F1660D">
              <w:rPr>
                <w:b/>
                <w:color w:val="000000"/>
                <w:lang w:val="fr-FR"/>
              </w:rPr>
              <w:t>Location des locaux</w:t>
            </w:r>
          </w:p>
        </w:tc>
      </w:tr>
      <w:tr w:rsidR="001D7FFD" w:rsidRPr="00F1660D" w14:paraId="7C8D46CF" w14:textId="77777777" w:rsidTr="0080091E">
        <w:trPr>
          <w:trHeight w:val="57"/>
        </w:trPr>
        <w:tc>
          <w:tcPr>
            <w:tcW w:w="424" w:type="dxa"/>
            <w:tcBorders>
              <w:top w:val="single" w:sz="4" w:space="0" w:color="auto"/>
              <w:bottom w:val="single" w:sz="4" w:space="0" w:color="auto"/>
            </w:tcBorders>
          </w:tcPr>
          <w:p w14:paraId="7B2CA35F"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7A846F24"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45A8AD31" w14:textId="77777777" w:rsidR="001D7FFD" w:rsidRPr="00F1660D" w:rsidRDefault="001D7FFD" w:rsidP="0080091E">
            <w:pPr>
              <w:pStyle w:val="Normal-pool"/>
              <w:rPr>
                <w:color w:val="000000"/>
                <w:lang w:val="fr-FR"/>
              </w:rPr>
            </w:pPr>
            <w:r w:rsidRPr="00F1660D">
              <w:rPr>
                <w:lang w:val="fr-FR"/>
              </w:rPr>
              <w:t>4301</w:t>
            </w:r>
          </w:p>
        </w:tc>
        <w:tc>
          <w:tcPr>
            <w:tcW w:w="4394" w:type="dxa"/>
            <w:tcBorders>
              <w:top w:val="single" w:sz="4" w:space="0" w:color="auto"/>
              <w:bottom w:val="single" w:sz="4" w:space="0" w:color="auto"/>
            </w:tcBorders>
            <w:vAlign w:val="center"/>
          </w:tcPr>
          <w:p w14:paraId="7309070A" w14:textId="77777777" w:rsidR="001D7FFD" w:rsidRPr="00F1660D" w:rsidRDefault="001D7FFD" w:rsidP="0080091E">
            <w:pPr>
              <w:pStyle w:val="Normal-pool"/>
              <w:rPr>
                <w:color w:val="000000"/>
                <w:lang w:val="fr-FR"/>
              </w:rPr>
            </w:pPr>
            <w:r w:rsidRPr="00F1660D">
              <w:rPr>
                <w:lang w:val="fr-FR"/>
              </w:rPr>
              <w:t>Location de bureaux</w:t>
            </w:r>
          </w:p>
        </w:tc>
        <w:tc>
          <w:tcPr>
            <w:tcW w:w="992" w:type="dxa"/>
            <w:tcBorders>
              <w:top w:val="single" w:sz="4" w:space="0" w:color="auto"/>
              <w:bottom w:val="single" w:sz="4" w:space="0" w:color="auto"/>
            </w:tcBorders>
            <w:vAlign w:val="center"/>
          </w:tcPr>
          <w:p w14:paraId="3C600D75" w14:textId="77777777" w:rsidR="001D7FFD" w:rsidRPr="00F1660D" w:rsidRDefault="001D7FFD" w:rsidP="0080091E">
            <w:pPr>
              <w:pStyle w:val="Normal-pool"/>
              <w:jc w:val="right"/>
              <w:rPr>
                <w:color w:val="000000"/>
                <w:lang w:val="fr-FR"/>
              </w:rPr>
            </w:pPr>
            <w:r w:rsidRPr="00F1660D">
              <w:rPr>
                <w:lang w:val="fr-FR"/>
              </w:rPr>
              <w:t>18 500</w:t>
            </w:r>
          </w:p>
        </w:tc>
        <w:tc>
          <w:tcPr>
            <w:tcW w:w="1531" w:type="dxa"/>
            <w:tcBorders>
              <w:top w:val="single" w:sz="4" w:space="0" w:color="auto"/>
              <w:bottom w:val="single" w:sz="4" w:space="0" w:color="auto"/>
            </w:tcBorders>
            <w:vAlign w:val="center"/>
          </w:tcPr>
          <w:p w14:paraId="4BF12109" w14:textId="77777777" w:rsidR="001D7FFD" w:rsidRPr="00F1660D" w:rsidRDefault="001D7FFD" w:rsidP="0080091E">
            <w:pPr>
              <w:pStyle w:val="Normal-pool"/>
              <w:jc w:val="right"/>
              <w:rPr>
                <w:color w:val="000000"/>
                <w:lang w:val="fr-FR"/>
              </w:rPr>
            </w:pPr>
            <w:r w:rsidRPr="00F1660D">
              <w:rPr>
                <w:lang w:val="fr-FR"/>
              </w:rPr>
              <w:t>19 000</w:t>
            </w:r>
          </w:p>
        </w:tc>
      </w:tr>
      <w:tr w:rsidR="001D7FFD" w:rsidRPr="00F1660D" w14:paraId="3B981C33" w14:textId="77777777" w:rsidTr="0080091E">
        <w:trPr>
          <w:trHeight w:val="57"/>
        </w:trPr>
        <w:tc>
          <w:tcPr>
            <w:tcW w:w="424" w:type="dxa"/>
            <w:tcBorders>
              <w:top w:val="single" w:sz="4" w:space="0" w:color="auto"/>
              <w:bottom w:val="single" w:sz="4" w:space="0" w:color="auto"/>
            </w:tcBorders>
          </w:tcPr>
          <w:p w14:paraId="52E26CA8"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tcPr>
          <w:p w14:paraId="536F53CE"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70EED974" w14:textId="77777777" w:rsidR="001D7FFD" w:rsidRPr="00F1660D" w:rsidRDefault="001D7FFD" w:rsidP="0080091E">
            <w:pPr>
              <w:pStyle w:val="Normal-pool"/>
              <w:rPr>
                <w:b/>
                <w:bCs/>
                <w:color w:val="000000"/>
                <w:lang w:val="fr-FR"/>
              </w:rPr>
            </w:pPr>
            <w:r w:rsidRPr="00F1660D">
              <w:rPr>
                <w:b/>
                <w:lang w:val="fr-FR"/>
              </w:rPr>
              <w:t>4399</w:t>
            </w:r>
          </w:p>
        </w:tc>
        <w:tc>
          <w:tcPr>
            <w:tcW w:w="4394" w:type="dxa"/>
            <w:tcBorders>
              <w:top w:val="single" w:sz="4" w:space="0" w:color="auto"/>
              <w:bottom w:val="single" w:sz="4" w:space="0" w:color="auto"/>
            </w:tcBorders>
            <w:vAlign w:val="center"/>
          </w:tcPr>
          <w:p w14:paraId="16192C42"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5EC38FDB" w14:textId="77777777" w:rsidR="001D7FFD" w:rsidRPr="00F1660D" w:rsidRDefault="001D7FFD" w:rsidP="0080091E">
            <w:pPr>
              <w:pStyle w:val="Normal-pool"/>
              <w:jc w:val="right"/>
              <w:rPr>
                <w:b/>
                <w:color w:val="000000"/>
                <w:lang w:val="fr-FR"/>
              </w:rPr>
            </w:pPr>
            <w:r w:rsidRPr="00F1660D">
              <w:rPr>
                <w:b/>
                <w:lang w:val="fr-FR"/>
              </w:rPr>
              <w:t>18 500</w:t>
            </w:r>
          </w:p>
        </w:tc>
        <w:tc>
          <w:tcPr>
            <w:tcW w:w="1531" w:type="dxa"/>
            <w:tcBorders>
              <w:top w:val="single" w:sz="4" w:space="0" w:color="auto"/>
              <w:bottom w:val="single" w:sz="4" w:space="0" w:color="auto"/>
            </w:tcBorders>
            <w:vAlign w:val="center"/>
          </w:tcPr>
          <w:p w14:paraId="0F72A106" w14:textId="77777777" w:rsidR="001D7FFD" w:rsidRPr="00F1660D" w:rsidRDefault="001D7FFD" w:rsidP="0080091E">
            <w:pPr>
              <w:pStyle w:val="Normal-pool"/>
              <w:jc w:val="right"/>
              <w:rPr>
                <w:b/>
                <w:color w:val="000000"/>
                <w:lang w:val="fr-FR"/>
              </w:rPr>
            </w:pPr>
            <w:r w:rsidRPr="00F1660D">
              <w:rPr>
                <w:b/>
                <w:lang w:val="fr-FR"/>
              </w:rPr>
              <w:t>19 000</w:t>
            </w:r>
          </w:p>
        </w:tc>
      </w:tr>
      <w:tr w:rsidR="001D7FFD" w:rsidRPr="00F1660D" w14:paraId="25EA1DDD" w14:textId="77777777" w:rsidTr="0080091E">
        <w:trPr>
          <w:trHeight w:val="57"/>
        </w:trPr>
        <w:tc>
          <w:tcPr>
            <w:tcW w:w="424" w:type="dxa"/>
            <w:tcBorders>
              <w:top w:val="single" w:sz="4" w:space="0" w:color="auto"/>
              <w:bottom w:val="single" w:sz="4" w:space="0" w:color="auto"/>
            </w:tcBorders>
          </w:tcPr>
          <w:p w14:paraId="557EB322"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vAlign w:val="center"/>
          </w:tcPr>
          <w:p w14:paraId="78AAFAB0" w14:textId="77777777" w:rsidR="001D7FFD" w:rsidRPr="00F1660D" w:rsidRDefault="001D7FFD" w:rsidP="0080091E">
            <w:pPr>
              <w:pStyle w:val="Normal-pool"/>
              <w:rPr>
                <w:b/>
                <w:bCs/>
                <w:color w:val="000000"/>
                <w:lang w:val="fr-FR"/>
              </w:rPr>
            </w:pPr>
            <w:r w:rsidRPr="00F1660D">
              <w:rPr>
                <w:b/>
                <w:lang w:val="fr-FR"/>
              </w:rPr>
              <w:t>4999</w:t>
            </w:r>
          </w:p>
        </w:tc>
        <w:tc>
          <w:tcPr>
            <w:tcW w:w="4914" w:type="dxa"/>
            <w:gridSpan w:val="2"/>
            <w:tcBorders>
              <w:top w:val="single" w:sz="4" w:space="0" w:color="auto"/>
              <w:bottom w:val="single" w:sz="4" w:space="0" w:color="auto"/>
            </w:tcBorders>
            <w:vAlign w:val="center"/>
          </w:tcPr>
          <w:p w14:paraId="52601BE3" w14:textId="77777777" w:rsidR="001D7FFD" w:rsidRPr="00F1660D" w:rsidRDefault="001D7FFD" w:rsidP="0080091E">
            <w:pPr>
              <w:pStyle w:val="Normal-pool"/>
              <w:rPr>
                <w:b/>
                <w:bCs/>
                <w:color w:val="000000"/>
                <w:lang w:val="fr-FR"/>
              </w:rPr>
            </w:pPr>
            <w:r w:rsidRPr="00F1660D">
              <w:rPr>
                <w:b/>
                <w:bCs/>
                <w:lang w:val="fr-FR"/>
              </w:rPr>
              <w:t>Total élément</w:t>
            </w:r>
          </w:p>
        </w:tc>
        <w:tc>
          <w:tcPr>
            <w:tcW w:w="992" w:type="dxa"/>
            <w:tcBorders>
              <w:top w:val="single" w:sz="4" w:space="0" w:color="auto"/>
              <w:bottom w:val="single" w:sz="4" w:space="0" w:color="auto"/>
            </w:tcBorders>
            <w:vAlign w:val="center"/>
          </w:tcPr>
          <w:p w14:paraId="4C1AA74F" w14:textId="77777777" w:rsidR="001D7FFD" w:rsidRPr="00F1660D" w:rsidRDefault="001D7FFD" w:rsidP="0080091E">
            <w:pPr>
              <w:pStyle w:val="Normal-pool"/>
              <w:jc w:val="right"/>
              <w:rPr>
                <w:b/>
                <w:color w:val="000000"/>
                <w:lang w:val="fr-FR"/>
              </w:rPr>
            </w:pPr>
            <w:r w:rsidRPr="00F1660D">
              <w:rPr>
                <w:b/>
                <w:lang w:val="fr-FR"/>
              </w:rPr>
              <w:t>19 700</w:t>
            </w:r>
          </w:p>
        </w:tc>
        <w:tc>
          <w:tcPr>
            <w:tcW w:w="1531" w:type="dxa"/>
            <w:tcBorders>
              <w:top w:val="single" w:sz="4" w:space="0" w:color="auto"/>
              <w:bottom w:val="single" w:sz="4" w:space="0" w:color="auto"/>
            </w:tcBorders>
            <w:vAlign w:val="center"/>
          </w:tcPr>
          <w:p w14:paraId="3591655B" w14:textId="77777777" w:rsidR="001D7FFD" w:rsidRPr="00F1660D" w:rsidRDefault="001D7FFD" w:rsidP="0080091E">
            <w:pPr>
              <w:pStyle w:val="Normal-pool"/>
              <w:jc w:val="right"/>
              <w:rPr>
                <w:b/>
                <w:bCs/>
                <w:color w:val="000000"/>
                <w:lang w:val="fr-FR"/>
              </w:rPr>
            </w:pPr>
            <w:r w:rsidRPr="00F1660D">
              <w:rPr>
                <w:b/>
                <w:lang w:val="fr-FR"/>
              </w:rPr>
              <w:t>20 200</w:t>
            </w:r>
          </w:p>
        </w:tc>
      </w:tr>
      <w:tr w:rsidR="001D7FFD" w:rsidRPr="00F1660D" w14:paraId="6262C5B3" w14:textId="77777777" w:rsidTr="0080091E">
        <w:trPr>
          <w:trHeight w:val="57"/>
        </w:trPr>
        <w:tc>
          <w:tcPr>
            <w:tcW w:w="424" w:type="dxa"/>
            <w:tcBorders>
              <w:top w:val="single" w:sz="4" w:space="0" w:color="auto"/>
              <w:bottom w:val="single" w:sz="4" w:space="0" w:color="auto"/>
            </w:tcBorders>
            <w:vAlign w:val="center"/>
          </w:tcPr>
          <w:p w14:paraId="21887DE8" w14:textId="77777777" w:rsidR="001D7FFD" w:rsidRPr="00F1660D" w:rsidRDefault="001D7FFD" w:rsidP="0080091E">
            <w:pPr>
              <w:pStyle w:val="Normal-pool"/>
              <w:rPr>
                <w:b/>
                <w:bCs/>
                <w:color w:val="000000"/>
                <w:lang w:val="fr-FR"/>
              </w:rPr>
            </w:pPr>
            <w:r w:rsidRPr="00F1660D">
              <w:rPr>
                <w:b/>
                <w:lang w:val="fr-FR"/>
              </w:rPr>
              <w:t>50</w:t>
            </w:r>
          </w:p>
        </w:tc>
        <w:tc>
          <w:tcPr>
            <w:tcW w:w="7911" w:type="dxa"/>
            <w:gridSpan w:val="5"/>
            <w:tcBorders>
              <w:top w:val="single" w:sz="4" w:space="0" w:color="auto"/>
              <w:bottom w:val="single" w:sz="4" w:space="0" w:color="auto"/>
            </w:tcBorders>
            <w:vAlign w:val="center"/>
          </w:tcPr>
          <w:p w14:paraId="0C52DFDD" w14:textId="77777777" w:rsidR="001D7FFD" w:rsidRPr="00F1660D" w:rsidRDefault="001D7FFD" w:rsidP="0080091E">
            <w:pPr>
              <w:pStyle w:val="Normal-pool"/>
              <w:rPr>
                <w:b/>
                <w:color w:val="000000"/>
                <w:lang w:val="fr-FR"/>
              </w:rPr>
            </w:pPr>
            <w:r w:rsidRPr="00F1660D">
              <w:rPr>
                <w:b/>
                <w:bCs/>
                <w:lang w:val="fr-FR"/>
              </w:rPr>
              <w:t>Dépenses accessoires</w:t>
            </w:r>
          </w:p>
        </w:tc>
      </w:tr>
      <w:tr w:rsidR="001D7FFD" w:rsidRPr="00F1660D" w14:paraId="443574B9" w14:textId="77777777" w:rsidTr="0080091E">
        <w:trPr>
          <w:trHeight w:val="57"/>
        </w:trPr>
        <w:tc>
          <w:tcPr>
            <w:tcW w:w="424" w:type="dxa"/>
            <w:tcBorders>
              <w:top w:val="single" w:sz="4" w:space="0" w:color="auto"/>
              <w:bottom w:val="single" w:sz="4" w:space="0" w:color="auto"/>
            </w:tcBorders>
          </w:tcPr>
          <w:p w14:paraId="02474883"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vAlign w:val="center"/>
          </w:tcPr>
          <w:p w14:paraId="03B56CF6" w14:textId="77777777" w:rsidR="001D7FFD" w:rsidRPr="00F1660D" w:rsidRDefault="001D7FFD" w:rsidP="0080091E">
            <w:pPr>
              <w:pStyle w:val="Normal-pool"/>
              <w:rPr>
                <w:b/>
                <w:bCs/>
                <w:color w:val="000000"/>
                <w:lang w:val="fr-FR"/>
              </w:rPr>
            </w:pPr>
            <w:r w:rsidRPr="00F1660D">
              <w:rPr>
                <w:b/>
                <w:lang w:val="fr-FR"/>
              </w:rPr>
              <w:t>5200</w:t>
            </w:r>
          </w:p>
        </w:tc>
        <w:tc>
          <w:tcPr>
            <w:tcW w:w="7437" w:type="dxa"/>
            <w:gridSpan w:val="4"/>
            <w:tcBorders>
              <w:top w:val="single" w:sz="4" w:space="0" w:color="auto"/>
              <w:bottom w:val="single" w:sz="4" w:space="0" w:color="auto"/>
            </w:tcBorders>
            <w:vAlign w:val="center"/>
          </w:tcPr>
          <w:p w14:paraId="6221C2A7" w14:textId="77777777" w:rsidR="001D7FFD" w:rsidRPr="00F1660D" w:rsidRDefault="001D7FFD" w:rsidP="0080091E">
            <w:pPr>
              <w:pStyle w:val="Normal-pool"/>
              <w:rPr>
                <w:b/>
                <w:color w:val="000000"/>
                <w:lang w:val="fr-FR"/>
              </w:rPr>
            </w:pPr>
            <w:r w:rsidRPr="00F1660D">
              <w:rPr>
                <w:b/>
                <w:bCs/>
                <w:lang w:val="fr-FR"/>
              </w:rPr>
              <w:t>Frais d’établissement des rapports</w:t>
            </w:r>
          </w:p>
        </w:tc>
      </w:tr>
      <w:tr w:rsidR="001D7FFD" w:rsidRPr="00F1660D" w14:paraId="3423657C" w14:textId="77777777" w:rsidTr="0080091E">
        <w:trPr>
          <w:trHeight w:val="57"/>
        </w:trPr>
        <w:tc>
          <w:tcPr>
            <w:tcW w:w="424" w:type="dxa"/>
            <w:tcBorders>
              <w:top w:val="single" w:sz="4" w:space="0" w:color="auto"/>
            </w:tcBorders>
          </w:tcPr>
          <w:p w14:paraId="51CBB59F" w14:textId="77777777" w:rsidR="001D7FFD" w:rsidRPr="00F1660D" w:rsidRDefault="001D7FFD" w:rsidP="0080091E">
            <w:pPr>
              <w:pStyle w:val="Normal-pool"/>
              <w:rPr>
                <w:lang w:val="fr-FR"/>
              </w:rPr>
            </w:pPr>
          </w:p>
        </w:tc>
        <w:tc>
          <w:tcPr>
            <w:tcW w:w="474" w:type="dxa"/>
            <w:tcBorders>
              <w:top w:val="single" w:sz="4" w:space="0" w:color="auto"/>
            </w:tcBorders>
          </w:tcPr>
          <w:p w14:paraId="0F037B7E" w14:textId="77777777" w:rsidR="001D7FFD" w:rsidRPr="00F1660D" w:rsidRDefault="001D7FFD" w:rsidP="0080091E">
            <w:pPr>
              <w:pStyle w:val="Normal-pool"/>
              <w:rPr>
                <w:b/>
                <w:bCs/>
                <w:color w:val="000000"/>
                <w:lang w:val="fr-FR" w:eastAsia="fr-CH"/>
              </w:rPr>
            </w:pPr>
          </w:p>
        </w:tc>
        <w:tc>
          <w:tcPr>
            <w:tcW w:w="520" w:type="dxa"/>
            <w:tcBorders>
              <w:top w:val="single" w:sz="4" w:space="0" w:color="auto"/>
            </w:tcBorders>
            <w:vAlign w:val="center"/>
          </w:tcPr>
          <w:p w14:paraId="13A54560" w14:textId="77777777" w:rsidR="001D7FFD" w:rsidRPr="00F1660D" w:rsidRDefault="001D7FFD" w:rsidP="0080091E">
            <w:pPr>
              <w:pStyle w:val="Normal-pool"/>
              <w:rPr>
                <w:color w:val="000000"/>
                <w:lang w:val="fr-FR"/>
              </w:rPr>
            </w:pPr>
            <w:r w:rsidRPr="00F1660D">
              <w:rPr>
                <w:lang w:val="fr-FR"/>
              </w:rPr>
              <w:t>5201</w:t>
            </w:r>
          </w:p>
        </w:tc>
        <w:tc>
          <w:tcPr>
            <w:tcW w:w="4394" w:type="dxa"/>
            <w:tcBorders>
              <w:top w:val="single" w:sz="4" w:space="0" w:color="auto"/>
            </w:tcBorders>
            <w:vAlign w:val="center"/>
          </w:tcPr>
          <w:p w14:paraId="46633AFB" w14:textId="77777777" w:rsidR="001D7FFD" w:rsidRPr="00F1660D" w:rsidRDefault="001D7FFD" w:rsidP="0080091E">
            <w:pPr>
              <w:pStyle w:val="Normal-pool"/>
              <w:rPr>
                <w:color w:val="000000"/>
                <w:lang w:val="fr-FR"/>
              </w:rPr>
            </w:pPr>
            <w:r w:rsidRPr="00F1660D">
              <w:rPr>
                <w:lang w:val="fr-FR"/>
              </w:rPr>
              <w:t>Impression et traduction</w:t>
            </w:r>
          </w:p>
        </w:tc>
        <w:tc>
          <w:tcPr>
            <w:tcW w:w="992" w:type="dxa"/>
            <w:tcBorders>
              <w:top w:val="single" w:sz="4" w:space="0" w:color="auto"/>
            </w:tcBorders>
            <w:vAlign w:val="center"/>
          </w:tcPr>
          <w:p w14:paraId="67DA977B" w14:textId="77777777" w:rsidR="001D7FFD" w:rsidRPr="00F1660D" w:rsidRDefault="001D7FFD" w:rsidP="0080091E">
            <w:pPr>
              <w:pStyle w:val="Normal-pool"/>
              <w:jc w:val="right"/>
              <w:rPr>
                <w:color w:val="000000"/>
                <w:lang w:val="fr-FR"/>
              </w:rPr>
            </w:pPr>
            <w:r w:rsidRPr="00F1660D">
              <w:rPr>
                <w:lang w:val="fr-FR"/>
              </w:rPr>
              <w:t>9 000</w:t>
            </w:r>
          </w:p>
        </w:tc>
        <w:tc>
          <w:tcPr>
            <w:tcW w:w="1531" w:type="dxa"/>
            <w:tcBorders>
              <w:top w:val="single" w:sz="4" w:space="0" w:color="auto"/>
            </w:tcBorders>
            <w:vAlign w:val="center"/>
          </w:tcPr>
          <w:p w14:paraId="47F243E4" w14:textId="77777777" w:rsidR="001D7FFD" w:rsidRPr="00F1660D" w:rsidRDefault="001D7FFD" w:rsidP="0080091E">
            <w:pPr>
              <w:pStyle w:val="Normal-pool"/>
              <w:jc w:val="right"/>
              <w:rPr>
                <w:color w:val="000000"/>
                <w:lang w:val="fr-FR"/>
              </w:rPr>
            </w:pPr>
            <w:r w:rsidRPr="00F1660D">
              <w:rPr>
                <w:lang w:val="fr-FR"/>
              </w:rPr>
              <w:t>12 000</w:t>
            </w:r>
          </w:p>
        </w:tc>
      </w:tr>
      <w:tr w:rsidR="001D7FFD" w:rsidRPr="00F1660D" w14:paraId="2BA5F45C" w14:textId="77777777" w:rsidTr="0080091E">
        <w:trPr>
          <w:trHeight w:val="57"/>
        </w:trPr>
        <w:tc>
          <w:tcPr>
            <w:tcW w:w="424" w:type="dxa"/>
            <w:tcBorders>
              <w:bottom w:val="single" w:sz="4" w:space="0" w:color="auto"/>
            </w:tcBorders>
          </w:tcPr>
          <w:p w14:paraId="4CF90FDA" w14:textId="77777777" w:rsidR="001D7FFD" w:rsidRPr="00F1660D" w:rsidRDefault="001D7FFD" w:rsidP="0080091E">
            <w:pPr>
              <w:pStyle w:val="Normal-pool"/>
              <w:rPr>
                <w:lang w:val="fr-FR"/>
              </w:rPr>
            </w:pPr>
          </w:p>
        </w:tc>
        <w:tc>
          <w:tcPr>
            <w:tcW w:w="474" w:type="dxa"/>
            <w:tcBorders>
              <w:bottom w:val="single" w:sz="4" w:space="0" w:color="auto"/>
            </w:tcBorders>
          </w:tcPr>
          <w:p w14:paraId="09E1F4D1" w14:textId="77777777" w:rsidR="001D7FFD" w:rsidRPr="00F1660D" w:rsidRDefault="001D7FFD" w:rsidP="0080091E">
            <w:pPr>
              <w:pStyle w:val="Normal-pool"/>
              <w:rPr>
                <w:b/>
                <w:bCs/>
                <w:color w:val="000000"/>
                <w:lang w:val="fr-FR" w:eastAsia="fr-CH"/>
              </w:rPr>
            </w:pPr>
          </w:p>
        </w:tc>
        <w:tc>
          <w:tcPr>
            <w:tcW w:w="520" w:type="dxa"/>
            <w:tcBorders>
              <w:bottom w:val="single" w:sz="4" w:space="0" w:color="auto"/>
            </w:tcBorders>
            <w:vAlign w:val="center"/>
          </w:tcPr>
          <w:p w14:paraId="3C79A881" w14:textId="77777777" w:rsidR="001D7FFD" w:rsidRPr="00F1660D" w:rsidRDefault="001D7FFD" w:rsidP="0080091E">
            <w:pPr>
              <w:pStyle w:val="Normal-pool"/>
              <w:rPr>
                <w:color w:val="000000"/>
                <w:lang w:val="fr-FR"/>
              </w:rPr>
            </w:pPr>
            <w:r w:rsidRPr="00F1660D">
              <w:rPr>
                <w:lang w:val="fr-FR"/>
              </w:rPr>
              <w:t>5202</w:t>
            </w:r>
          </w:p>
        </w:tc>
        <w:tc>
          <w:tcPr>
            <w:tcW w:w="4394" w:type="dxa"/>
            <w:tcBorders>
              <w:bottom w:val="single" w:sz="4" w:space="0" w:color="auto"/>
            </w:tcBorders>
            <w:vAlign w:val="center"/>
          </w:tcPr>
          <w:p w14:paraId="224227A5" w14:textId="77777777" w:rsidR="001D7FFD" w:rsidRPr="00F1660D" w:rsidRDefault="001D7FFD" w:rsidP="0080091E">
            <w:pPr>
              <w:pStyle w:val="Normal-pool"/>
              <w:rPr>
                <w:color w:val="000000"/>
                <w:lang w:val="fr-FR"/>
              </w:rPr>
            </w:pPr>
            <w:r w:rsidRPr="00F1660D">
              <w:rPr>
                <w:lang w:val="fr-FR"/>
              </w:rPr>
              <w:t>Publication des textes de l’Approche stratégique</w:t>
            </w:r>
          </w:p>
        </w:tc>
        <w:tc>
          <w:tcPr>
            <w:tcW w:w="992" w:type="dxa"/>
            <w:tcBorders>
              <w:bottom w:val="single" w:sz="4" w:space="0" w:color="auto"/>
            </w:tcBorders>
            <w:vAlign w:val="center"/>
          </w:tcPr>
          <w:p w14:paraId="5EF7A30E" w14:textId="77777777" w:rsidR="001D7FFD" w:rsidRPr="00F1660D" w:rsidRDefault="001D7FFD" w:rsidP="0080091E">
            <w:pPr>
              <w:pStyle w:val="Normal-pool"/>
              <w:jc w:val="right"/>
              <w:rPr>
                <w:color w:val="000000"/>
                <w:lang w:val="fr-FR"/>
              </w:rPr>
            </w:pPr>
            <w:r w:rsidRPr="00F1660D">
              <w:rPr>
                <w:lang w:val="fr-FR"/>
              </w:rPr>
              <w:t>–</w:t>
            </w:r>
          </w:p>
        </w:tc>
        <w:tc>
          <w:tcPr>
            <w:tcW w:w="1531" w:type="dxa"/>
            <w:tcBorders>
              <w:bottom w:val="single" w:sz="4" w:space="0" w:color="auto"/>
            </w:tcBorders>
            <w:vAlign w:val="center"/>
          </w:tcPr>
          <w:p w14:paraId="5D37402D"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2347B46F" w14:textId="77777777" w:rsidTr="0080091E">
        <w:trPr>
          <w:trHeight w:val="57"/>
        </w:trPr>
        <w:tc>
          <w:tcPr>
            <w:tcW w:w="424" w:type="dxa"/>
            <w:tcBorders>
              <w:top w:val="single" w:sz="4" w:space="0" w:color="auto"/>
              <w:bottom w:val="single" w:sz="4" w:space="0" w:color="auto"/>
            </w:tcBorders>
          </w:tcPr>
          <w:p w14:paraId="189C4A7C"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3EE24173"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08F5C0C8" w14:textId="77777777" w:rsidR="001D7FFD" w:rsidRPr="00F1660D" w:rsidRDefault="001D7FFD" w:rsidP="0080091E">
            <w:pPr>
              <w:pStyle w:val="Normal-pool"/>
              <w:rPr>
                <w:b/>
                <w:bCs/>
                <w:color w:val="000000"/>
                <w:lang w:val="fr-FR"/>
              </w:rPr>
            </w:pPr>
            <w:r w:rsidRPr="00F1660D">
              <w:rPr>
                <w:b/>
                <w:bCs/>
                <w:lang w:val="fr-FR"/>
              </w:rPr>
              <w:t>5299</w:t>
            </w:r>
          </w:p>
        </w:tc>
        <w:tc>
          <w:tcPr>
            <w:tcW w:w="4394" w:type="dxa"/>
            <w:tcBorders>
              <w:top w:val="single" w:sz="4" w:space="0" w:color="auto"/>
              <w:bottom w:val="single" w:sz="4" w:space="0" w:color="auto"/>
            </w:tcBorders>
            <w:vAlign w:val="center"/>
          </w:tcPr>
          <w:p w14:paraId="56F170A0"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077A9E45" w14:textId="77777777" w:rsidR="001D7FFD" w:rsidRPr="00F1660D" w:rsidRDefault="001D7FFD" w:rsidP="0080091E">
            <w:pPr>
              <w:pStyle w:val="Normal-pool"/>
              <w:jc w:val="right"/>
              <w:rPr>
                <w:b/>
                <w:color w:val="000000"/>
                <w:lang w:val="fr-FR"/>
              </w:rPr>
            </w:pPr>
            <w:r w:rsidRPr="00F1660D">
              <w:rPr>
                <w:lang w:val="fr-FR"/>
              </w:rPr>
              <w:t>9 000</w:t>
            </w:r>
          </w:p>
        </w:tc>
        <w:tc>
          <w:tcPr>
            <w:tcW w:w="1531" w:type="dxa"/>
            <w:tcBorders>
              <w:top w:val="single" w:sz="4" w:space="0" w:color="auto"/>
              <w:bottom w:val="single" w:sz="4" w:space="0" w:color="auto"/>
            </w:tcBorders>
            <w:vAlign w:val="center"/>
          </w:tcPr>
          <w:p w14:paraId="06165F03" w14:textId="77777777" w:rsidR="001D7FFD" w:rsidRPr="00F1660D" w:rsidRDefault="001D7FFD" w:rsidP="0080091E">
            <w:pPr>
              <w:pStyle w:val="Normal-pool"/>
              <w:jc w:val="right"/>
              <w:rPr>
                <w:b/>
                <w:color w:val="000000"/>
                <w:lang w:val="fr-FR"/>
              </w:rPr>
            </w:pPr>
            <w:r w:rsidRPr="00F1660D">
              <w:rPr>
                <w:lang w:val="fr-FR"/>
              </w:rPr>
              <w:t>12 000</w:t>
            </w:r>
          </w:p>
        </w:tc>
      </w:tr>
      <w:tr w:rsidR="001D7FFD" w:rsidRPr="00F1660D" w14:paraId="32AE3DCE" w14:textId="77777777" w:rsidTr="0080091E">
        <w:trPr>
          <w:trHeight w:val="57"/>
        </w:trPr>
        <w:tc>
          <w:tcPr>
            <w:tcW w:w="424" w:type="dxa"/>
            <w:tcBorders>
              <w:top w:val="single" w:sz="4" w:space="0" w:color="auto"/>
              <w:bottom w:val="single" w:sz="4" w:space="0" w:color="auto"/>
            </w:tcBorders>
          </w:tcPr>
          <w:p w14:paraId="10E1BE99" w14:textId="77777777" w:rsidR="001D7FFD" w:rsidRPr="00F1660D" w:rsidRDefault="001D7FFD" w:rsidP="0080091E">
            <w:pPr>
              <w:pStyle w:val="Normal-pool"/>
              <w:rPr>
                <w:b/>
                <w:lang w:val="fr-FR"/>
              </w:rPr>
            </w:pPr>
          </w:p>
        </w:tc>
        <w:tc>
          <w:tcPr>
            <w:tcW w:w="474" w:type="dxa"/>
            <w:tcBorders>
              <w:top w:val="single" w:sz="4" w:space="0" w:color="auto"/>
              <w:bottom w:val="single" w:sz="4" w:space="0" w:color="auto"/>
            </w:tcBorders>
            <w:vAlign w:val="center"/>
          </w:tcPr>
          <w:p w14:paraId="3F59B6DE" w14:textId="77777777" w:rsidR="001D7FFD" w:rsidRPr="00F1660D" w:rsidRDefault="001D7FFD" w:rsidP="0080091E">
            <w:pPr>
              <w:pStyle w:val="Normal-pool"/>
              <w:rPr>
                <w:b/>
                <w:bCs/>
                <w:color w:val="000000"/>
                <w:lang w:val="fr-FR"/>
              </w:rPr>
            </w:pPr>
            <w:r w:rsidRPr="00F1660D">
              <w:rPr>
                <w:b/>
                <w:lang w:val="fr-FR"/>
              </w:rPr>
              <w:t>5300</w:t>
            </w:r>
          </w:p>
        </w:tc>
        <w:tc>
          <w:tcPr>
            <w:tcW w:w="4914" w:type="dxa"/>
            <w:gridSpan w:val="2"/>
            <w:tcBorders>
              <w:top w:val="single" w:sz="4" w:space="0" w:color="auto"/>
              <w:bottom w:val="single" w:sz="4" w:space="0" w:color="auto"/>
            </w:tcBorders>
            <w:vAlign w:val="center"/>
          </w:tcPr>
          <w:p w14:paraId="6FC940D5" w14:textId="77777777" w:rsidR="001D7FFD" w:rsidRPr="00F1660D" w:rsidRDefault="001D7FFD" w:rsidP="0080091E">
            <w:pPr>
              <w:pStyle w:val="Normal-pool"/>
              <w:rPr>
                <w:b/>
                <w:color w:val="000000"/>
                <w:lang w:val="fr-FR"/>
              </w:rPr>
            </w:pPr>
            <w:r w:rsidRPr="00F1660D">
              <w:rPr>
                <w:b/>
                <w:bCs/>
                <w:lang w:val="fr-FR"/>
              </w:rPr>
              <w:t>Divers</w:t>
            </w:r>
          </w:p>
        </w:tc>
        <w:tc>
          <w:tcPr>
            <w:tcW w:w="992" w:type="dxa"/>
            <w:tcBorders>
              <w:top w:val="single" w:sz="4" w:space="0" w:color="auto"/>
              <w:bottom w:val="single" w:sz="4" w:space="0" w:color="auto"/>
            </w:tcBorders>
          </w:tcPr>
          <w:p w14:paraId="16C91195" w14:textId="77777777" w:rsidR="001D7FFD" w:rsidRPr="00F1660D" w:rsidRDefault="001D7FFD" w:rsidP="0080091E">
            <w:pPr>
              <w:pStyle w:val="Normal-pool"/>
              <w:jc w:val="right"/>
              <w:rPr>
                <w:b/>
                <w:color w:val="000000"/>
                <w:lang w:val="fr-FR" w:eastAsia="fr-CH"/>
              </w:rPr>
            </w:pPr>
          </w:p>
        </w:tc>
        <w:tc>
          <w:tcPr>
            <w:tcW w:w="1531" w:type="dxa"/>
            <w:tcBorders>
              <w:top w:val="single" w:sz="4" w:space="0" w:color="auto"/>
              <w:bottom w:val="single" w:sz="4" w:space="0" w:color="auto"/>
            </w:tcBorders>
          </w:tcPr>
          <w:p w14:paraId="3AB451AD" w14:textId="77777777" w:rsidR="001D7FFD" w:rsidRPr="00F1660D" w:rsidRDefault="001D7FFD" w:rsidP="0080091E">
            <w:pPr>
              <w:pStyle w:val="Normal-pool"/>
              <w:jc w:val="right"/>
              <w:rPr>
                <w:b/>
                <w:color w:val="000000"/>
                <w:lang w:val="fr-FR"/>
              </w:rPr>
            </w:pPr>
          </w:p>
        </w:tc>
      </w:tr>
      <w:tr w:rsidR="001D7FFD" w:rsidRPr="00F1660D" w14:paraId="64E463C2" w14:textId="77777777" w:rsidTr="0080091E">
        <w:trPr>
          <w:trHeight w:val="57"/>
        </w:trPr>
        <w:tc>
          <w:tcPr>
            <w:tcW w:w="424" w:type="dxa"/>
            <w:tcBorders>
              <w:top w:val="single" w:sz="4" w:space="0" w:color="auto"/>
              <w:bottom w:val="single" w:sz="4" w:space="0" w:color="auto"/>
            </w:tcBorders>
          </w:tcPr>
          <w:p w14:paraId="6185C726"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6435E94D"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0344096A" w14:textId="77777777" w:rsidR="001D7FFD" w:rsidRPr="00F1660D" w:rsidRDefault="001D7FFD" w:rsidP="0080091E">
            <w:pPr>
              <w:pStyle w:val="Normal-pool"/>
              <w:rPr>
                <w:color w:val="000000"/>
                <w:lang w:val="fr-FR"/>
              </w:rPr>
            </w:pPr>
            <w:r w:rsidRPr="00F1660D">
              <w:rPr>
                <w:lang w:val="fr-FR"/>
              </w:rPr>
              <w:t>5301</w:t>
            </w:r>
          </w:p>
        </w:tc>
        <w:tc>
          <w:tcPr>
            <w:tcW w:w="4394" w:type="dxa"/>
            <w:tcBorders>
              <w:top w:val="single" w:sz="4" w:space="0" w:color="auto"/>
              <w:bottom w:val="single" w:sz="4" w:space="0" w:color="auto"/>
            </w:tcBorders>
            <w:vAlign w:val="center"/>
          </w:tcPr>
          <w:p w14:paraId="6429E433" w14:textId="77777777" w:rsidR="001D7FFD" w:rsidRPr="00F1660D" w:rsidRDefault="001D7FFD" w:rsidP="0080091E">
            <w:pPr>
              <w:pStyle w:val="Normal-pool"/>
              <w:rPr>
                <w:color w:val="000000"/>
                <w:lang w:val="fr-FR"/>
              </w:rPr>
            </w:pPr>
            <w:r w:rsidRPr="00F1660D">
              <w:rPr>
                <w:lang w:val="fr-FR"/>
              </w:rPr>
              <w:t>Communications</w:t>
            </w:r>
          </w:p>
        </w:tc>
        <w:tc>
          <w:tcPr>
            <w:tcW w:w="992" w:type="dxa"/>
            <w:tcBorders>
              <w:top w:val="single" w:sz="4" w:space="0" w:color="auto"/>
              <w:bottom w:val="single" w:sz="4" w:space="0" w:color="auto"/>
            </w:tcBorders>
            <w:vAlign w:val="center"/>
          </w:tcPr>
          <w:p w14:paraId="36245751" w14:textId="77777777" w:rsidR="001D7FFD" w:rsidRPr="00F1660D" w:rsidRDefault="001D7FFD" w:rsidP="0080091E">
            <w:pPr>
              <w:pStyle w:val="Normal-pool"/>
              <w:jc w:val="right"/>
              <w:rPr>
                <w:color w:val="000000"/>
                <w:lang w:val="fr-FR"/>
              </w:rPr>
            </w:pPr>
            <w:r w:rsidRPr="00F1660D">
              <w:rPr>
                <w:lang w:val="fr-FR"/>
              </w:rPr>
              <w:t>7 200</w:t>
            </w:r>
          </w:p>
        </w:tc>
        <w:tc>
          <w:tcPr>
            <w:tcW w:w="1531" w:type="dxa"/>
            <w:tcBorders>
              <w:top w:val="single" w:sz="4" w:space="0" w:color="auto"/>
              <w:bottom w:val="single" w:sz="4" w:space="0" w:color="auto"/>
            </w:tcBorders>
            <w:vAlign w:val="center"/>
          </w:tcPr>
          <w:p w14:paraId="2B36804A" w14:textId="77777777" w:rsidR="001D7FFD" w:rsidRPr="00F1660D" w:rsidRDefault="001D7FFD" w:rsidP="0080091E">
            <w:pPr>
              <w:pStyle w:val="Normal-pool"/>
              <w:jc w:val="right"/>
              <w:rPr>
                <w:color w:val="000000"/>
                <w:lang w:val="fr-FR"/>
              </w:rPr>
            </w:pPr>
            <w:r w:rsidRPr="00F1660D">
              <w:rPr>
                <w:lang w:val="fr-FR"/>
              </w:rPr>
              <w:t>7 200</w:t>
            </w:r>
          </w:p>
        </w:tc>
      </w:tr>
      <w:tr w:rsidR="001D7FFD" w:rsidRPr="00F1660D" w14:paraId="635EA7E2" w14:textId="77777777" w:rsidTr="0080091E">
        <w:trPr>
          <w:trHeight w:val="57"/>
        </w:trPr>
        <w:tc>
          <w:tcPr>
            <w:tcW w:w="424" w:type="dxa"/>
            <w:tcBorders>
              <w:top w:val="single" w:sz="4" w:space="0" w:color="auto"/>
              <w:bottom w:val="single" w:sz="4" w:space="0" w:color="auto"/>
            </w:tcBorders>
          </w:tcPr>
          <w:p w14:paraId="28D3F141"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65DB140B"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209CC423" w14:textId="77777777" w:rsidR="001D7FFD" w:rsidRPr="00F1660D" w:rsidRDefault="001D7FFD" w:rsidP="0080091E">
            <w:pPr>
              <w:pStyle w:val="Normal-pool"/>
              <w:rPr>
                <w:b/>
                <w:bCs/>
                <w:color w:val="000000"/>
                <w:lang w:val="fr-FR"/>
              </w:rPr>
            </w:pPr>
            <w:r w:rsidRPr="00F1660D">
              <w:rPr>
                <w:b/>
                <w:bCs/>
                <w:lang w:val="fr-FR"/>
              </w:rPr>
              <w:t>5399</w:t>
            </w:r>
          </w:p>
        </w:tc>
        <w:tc>
          <w:tcPr>
            <w:tcW w:w="4394" w:type="dxa"/>
            <w:tcBorders>
              <w:top w:val="single" w:sz="4" w:space="0" w:color="auto"/>
              <w:bottom w:val="single" w:sz="4" w:space="0" w:color="auto"/>
            </w:tcBorders>
            <w:vAlign w:val="center"/>
          </w:tcPr>
          <w:p w14:paraId="391D39E6"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3142F576" w14:textId="77777777" w:rsidR="001D7FFD" w:rsidRPr="00F1660D" w:rsidRDefault="001D7FFD" w:rsidP="0080091E">
            <w:pPr>
              <w:pStyle w:val="Normal-pool"/>
              <w:jc w:val="right"/>
              <w:rPr>
                <w:b/>
                <w:color w:val="000000"/>
                <w:lang w:val="fr-FR"/>
              </w:rPr>
            </w:pPr>
            <w:r w:rsidRPr="00F1660D">
              <w:rPr>
                <w:b/>
                <w:lang w:val="fr-FR"/>
              </w:rPr>
              <w:t>7 200</w:t>
            </w:r>
          </w:p>
        </w:tc>
        <w:tc>
          <w:tcPr>
            <w:tcW w:w="1531" w:type="dxa"/>
            <w:tcBorders>
              <w:top w:val="single" w:sz="4" w:space="0" w:color="auto"/>
              <w:bottom w:val="single" w:sz="4" w:space="0" w:color="auto"/>
            </w:tcBorders>
            <w:vAlign w:val="center"/>
          </w:tcPr>
          <w:p w14:paraId="70CF7F97" w14:textId="77777777" w:rsidR="001D7FFD" w:rsidRPr="00F1660D" w:rsidRDefault="001D7FFD" w:rsidP="0080091E">
            <w:pPr>
              <w:pStyle w:val="Normal-pool"/>
              <w:jc w:val="right"/>
              <w:rPr>
                <w:b/>
                <w:color w:val="000000"/>
                <w:lang w:val="fr-FR"/>
              </w:rPr>
            </w:pPr>
            <w:r w:rsidRPr="00F1660D">
              <w:rPr>
                <w:b/>
                <w:lang w:val="fr-FR"/>
              </w:rPr>
              <w:t>7 200</w:t>
            </w:r>
          </w:p>
        </w:tc>
      </w:tr>
      <w:tr w:rsidR="001D7FFD" w:rsidRPr="00F1660D" w14:paraId="1F5DD06F" w14:textId="77777777" w:rsidTr="0080091E">
        <w:trPr>
          <w:trHeight w:val="57"/>
        </w:trPr>
        <w:tc>
          <w:tcPr>
            <w:tcW w:w="424" w:type="dxa"/>
            <w:tcBorders>
              <w:top w:val="single" w:sz="4" w:space="0" w:color="auto"/>
              <w:bottom w:val="single" w:sz="4" w:space="0" w:color="auto"/>
            </w:tcBorders>
          </w:tcPr>
          <w:p w14:paraId="415B75D3"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vAlign w:val="center"/>
          </w:tcPr>
          <w:p w14:paraId="6CC3E8A1" w14:textId="77777777" w:rsidR="001D7FFD" w:rsidRPr="00F1660D" w:rsidRDefault="001D7FFD" w:rsidP="0080091E">
            <w:pPr>
              <w:pStyle w:val="Normal-pool"/>
              <w:rPr>
                <w:bCs/>
                <w:color w:val="000000"/>
                <w:lang w:val="fr-FR"/>
              </w:rPr>
            </w:pPr>
            <w:r w:rsidRPr="00F1660D">
              <w:rPr>
                <w:b/>
                <w:bCs/>
                <w:color w:val="000000"/>
                <w:lang w:val="fr-FR" w:eastAsia="fr-CH"/>
              </w:rPr>
              <w:t>5400</w:t>
            </w:r>
          </w:p>
        </w:tc>
        <w:tc>
          <w:tcPr>
            <w:tcW w:w="4914" w:type="dxa"/>
            <w:gridSpan w:val="2"/>
            <w:tcBorders>
              <w:top w:val="single" w:sz="4" w:space="0" w:color="auto"/>
              <w:bottom w:val="single" w:sz="4" w:space="0" w:color="auto"/>
            </w:tcBorders>
            <w:vAlign w:val="center"/>
          </w:tcPr>
          <w:p w14:paraId="32C0658B" w14:textId="77777777" w:rsidR="001D7FFD" w:rsidRPr="00F1660D" w:rsidRDefault="001D7FFD" w:rsidP="0080091E">
            <w:pPr>
              <w:pStyle w:val="Normal-pool"/>
              <w:rPr>
                <w:b/>
                <w:color w:val="000000"/>
                <w:lang w:val="fr-FR"/>
              </w:rPr>
            </w:pPr>
            <w:r w:rsidRPr="00F1660D">
              <w:rPr>
                <w:b/>
                <w:lang w:val="fr-FR"/>
              </w:rPr>
              <w:t>Évaluation</w:t>
            </w:r>
          </w:p>
        </w:tc>
        <w:tc>
          <w:tcPr>
            <w:tcW w:w="992" w:type="dxa"/>
            <w:tcBorders>
              <w:top w:val="single" w:sz="4" w:space="0" w:color="auto"/>
              <w:bottom w:val="single" w:sz="4" w:space="0" w:color="auto"/>
            </w:tcBorders>
          </w:tcPr>
          <w:p w14:paraId="1A04657B" w14:textId="77777777" w:rsidR="001D7FFD" w:rsidRPr="00F1660D" w:rsidRDefault="001D7FFD" w:rsidP="0080091E">
            <w:pPr>
              <w:pStyle w:val="Normal-pool"/>
              <w:jc w:val="right"/>
              <w:rPr>
                <w:color w:val="000000"/>
                <w:lang w:val="fr-FR" w:eastAsia="fr-CH"/>
              </w:rPr>
            </w:pPr>
          </w:p>
        </w:tc>
        <w:tc>
          <w:tcPr>
            <w:tcW w:w="1531" w:type="dxa"/>
            <w:tcBorders>
              <w:top w:val="single" w:sz="4" w:space="0" w:color="auto"/>
              <w:bottom w:val="single" w:sz="4" w:space="0" w:color="auto"/>
            </w:tcBorders>
          </w:tcPr>
          <w:p w14:paraId="35B5ED4F" w14:textId="77777777" w:rsidR="001D7FFD" w:rsidRPr="00F1660D" w:rsidRDefault="001D7FFD" w:rsidP="0080091E">
            <w:pPr>
              <w:pStyle w:val="Normal-pool"/>
              <w:jc w:val="right"/>
              <w:rPr>
                <w:color w:val="000000"/>
                <w:lang w:val="fr-FR"/>
              </w:rPr>
            </w:pPr>
            <w:r w:rsidRPr="00F1660D">
              <w:rPr>
                <w:lang w:val="fr-FR"/>
              </w:rPr>
              <w:t>–</w:t>
            </w:r>
          </w:p>
        </w:tc>
      </w:tr>
      <w:tr w:rsidR="001D7FFD" w:rsidRPr="00F1660D" w14:paraId="3D164805" w14:textId="77777777" w:rsidTr="0080091E">
        <w:trPr>
          <w:trHeight w:val="57"/>
        </w:trPr>
        <w:tc>
          <w:tcPr>
            <w:tcW w:w="424" w:type="dxa"/>
            <w:tcBorders>
              <w:top w:val="single" w:sz="4" w:space="0" w:color="auto"/>
              <w:bottom w:val="single" w:sz="4" w:space="0" w:color="auto"/>
            </w:tcBorders>
          </w:tcPr>
          <w:p w14:paraId="6D11F8E7"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6586BA2A"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7CA0CE06" w14:textId="77777777" w:rsidR="001D7FFD" w:rsidRPr="00F1660D" w:rsidRDefault="001D7FFD" w:rsidP="0080091E">
            <w:pPr>
              <w:pStyle w:val="Normal-pool"/>
              <w:rPr>
                <w:color w:val="000000"/>
                <w:lang w:val="fr-FR"/>
              </w:rPr>
            </w:pPr>
            <w:r w:rsidRPr="00F1660D">
              <w:rPr>
                <w:lang w:val="fr-FR"/>
              </w:rPr>
              <w:t>5401</w:t>
            </w:r>
          </w:p>
        </w:tc>
        <w:tc>
          <w:tcPr>
            <w:tcW w:w="4394" w:type="dxa"/>
            <w:tcBorders>
              <w:top w:val="single" w:sz="4" w:space="0" w:color="auto"/>
              <w:bottom w:val="single" w:sz="4" w:space="0" w:color="auto"/>
            </w:tcBorders>
            <w:vAlign w:val="center"/>
          </w:tcPr>
          <w:p w14:paraId="400CA42E" w14:textId="77777777" w:rsidR="001D7FFD" w:rsidRPr="00F1660D" w:rsidRDefault="001D7FFD" w:rsidP="0080091E">
            <w:pPr>
              <w:pStyle w:val="Normal-pool"/>
              <w:rPr>
                <w:color w:val="000000"/>
                <w:lang w:val="fr-FR"/>
              </w:rPr>
            </w:pPr>
            <w:r w:rsidRPr="00F1660D">
              <w:rPr>
                <w:lang w:val="fr-FR"/>
              </w:rPr>
              <w:t>Évaluation finale</w:t>
            </w:r>
          </w:p>
        </w:tc>
        <w:tc>
          <w:tcPr>
            <w:tcW w:w="992" w:type="dxa"/>
            <w:tcBorders>
              <w:top w:val="single" w:sz="4" w:space="0" w:color="auto"/>
              <w:bottom w:val="single" w:sz="4" w:space="0" w:color="auto"/>
            </w:tcBorders>
            <w:vAlign w:val="center"/>
          </w:tcPr>
          <w:p w14:paraId="4003570C" w14:textId="77777777" w:rsidR="001D7FFD" w:rsidRPr="00F1660D" w:rsidRDefault="001D7FFD" w:rsidP="0080091E">
            <w:pPr>
              <w:pStyle w:val="Normal-pool"/>
              <w:jc w:val="right"/>
              <w:rPr>
                <w:color w:val="000000"/>
                <w:lang w:val="fr-FR"/>
              </w:rPr>
            </w:pPr>
            <w:r w:rsidRPr="00F1660D">
              <w:rPr>
                <w:lang w:val="fr-FR"/>
              </w:rPr>
              <w:t>–</w:t>
            </w:r>
          </w:p>
        </w:tc>
        <w:tc>
          <w:tcPr>
            <w:tcW w:w="1531" w:type="dxa"/>
            <w:tcBorders>
              <w:top w:val="single" w:sz="4" w:space="0" w:color="auto"/>
              <w:bottom w:val="single" w:sz="4" w:space="0" w:color="auto"/>
            </w:tcBorders>
            <w:vAlign w:val="center"/>
          </w:tcPr>
          <w:p w14:paraId="5B2F3522" w14:textId="77777777" w:rsidR="001D7FFD" w:rsidRPr="00F1660D" w:rsidRDefault="001D7FFD" w:rsidP="0080091E">
            <w:pPr>
              <w:pStyle w:val="Normal-pool"/>
              <w:jc w:val="right"/>
              <w:rPr>
                <w:color w:val="000000"/>
                <w:lang w:val="fr-FR"/>
              </w:rPr>
            </w:pPr>
            <w:r w:rsidRPr="00F1660D">
              <w:rPr>
                <w:lang w:val="fr-FR"/>
              </w:rPr>
              <w:t>30 000</w:t>
            </w:r>
          </w:p>
        </w:tc>
      </w:tr>
      <w:tr w:rsidR="001D7FFD" w:rsidRPr="00F1660D" w14:paraId="195AB1F1" w14:textId="77777777" w:rsidTr="0080091E">
        <w:trPr>
          <w:trHeight w:val="57"/>
        </w:trPr>
        <w:tc>
          <w:tcPr>
            <w:tcW w:w="424" w:type="dxa"/>
            <w:tcBorders>
              <w:top w:val="single" w:sz="4" w:space="0" w:color="auto"/>
              <w:bottom w:val="single" w:sz="4" w:space="0" w:color="auto"/>
            </w:tcBorders>
          </w:tcPr>
          <w:p w14:paraId="1AD5CC86"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tcPr>
          <w:p w14:paraId="1713E8F4" w14:textId="77777777" w:rsidR="001D7FFD" w:rsidRPr="00F1660D" w:rsidRDefault="001D7FFD" w:rsidP="0080091E">
            <w:pPr>
              <w:pStyle w:val="Normal-pool"/>
              <w:rPr>
                <w:b/>
                <w:bCs/>
                <w:color w:val="000000"/>
                <w:lang w:val="fr-FR" w:eastAsia="fr-CH"/>
              </w:rPr>
            </w:pPr>
          </w:p>
        </w:tc>
        <w:tc>
          <w:tcPr>
            <w:tcW w:w="520" w:type="dxa"/>
            <w:tcBorders>
              <w:top w:val="single" w:sz="4" w:space="0" w:color="auto"/>
              <w:bottom w:val="single" w:sz="4" w:space="0" w:color="auto"/>
            </w:tcBorders>
            <w:vAlign w:val="center"/>
          </w:tcPr>
          <w:p w14:paraId="71DC9BEC" w14:textId="77777777" w:rsidR="001D7FFD" w:rsidRPr="00F1660D" w:rsidRDefault="001D7FFD" w:rsidP="0080091E">
            <w:pPr>
              <w:pStyle w:val="Normal-pool"/>
              <w:rPr>
                <w:b/>
                <w:bCs/>
                <w:color w:val="000000"/>
                <w:lang w:val="fr-FR"/>
              </w:rPr>
            </w:pPr>
            <w:r w:rsidRPr="00F1660D">
              <w:rPr>
                <w:b/>
                <w:bCs/>
                <w:lang w:val="fr-FR"/>
              </w:rPr>
              <w:t>5499</w:t>
            </w:r>
          </w:p>
        </w:tc>
        <w:tc>
          <w:tcPr>
            <w:tcW w:w="4394" w:type="dxa"/>
            <w:tcBorders>
              <w:top w:val="single" w:sz="4" w:space="0" w:color="auto"/>
              <w:bottom w:val="single" w:sz="4" w:space="0" w:color="auto"/>
            </w:tcBorders>
            <w:vAlign w:val="center"/>
          </w:tcPr>
          <w:p w14:paraId="3756B149" w14:textId="77777777" w:rsidR="001D7FFD" w:rsidRPr="00F1660D" w:rsidRDefault="001D7FFD" w:rsidP="0080091E">
            <w:pPr>
              <w:pStyle w:val="Normal-pool"/>
              <w:rPr>
                <w:b/>
                <w:bCs/>
                <w:color w:val="000000"/>
                <w:lang w:val="fr-FR"/>
              </w:rPr>
            </w:pPr>
            <w:r w:rsidRPr="00F1660D">
              <w:rPr>
                <w:b/>
                <w:bCs/>
                <w:lang w:val="fr-FR"/>
              </w:rPr>
              <w:t>Total partiel</w:t>
            </w:r>
          </w:p>
        </w:tc>
        <w:tc>
          <w:tcPr>
            <w:tcW w:w="992" w:type="dxa"/>
            <w:tcBorders>
              <w:top w:val="single" w:sz="4" w:space="0" w:color="auto"/>
              <w:bottom w:val="single" w:sz="4" w:space="0" w:color="auto"/>
            </w:tcBorders>
            <w:vAlign w:val="center"/>
          </w:tcPr>
          <w:p w14:paraId="13DBFD70" w14:textId="77777777" w:rsidR="001D7FFD" w:rsidRPr="00F1660D" w:rsidRDefault="001D7FFD" w:rsidP="0080091E">
            <w:pPr>
              <w:pStyle w:val="Normal-pool"/>
              <w:jc w:val="right"/>
              <w:rPr>
                <w:color w:val="000000"/>
                <w:lang w:val="fr-FR"/>
              </w:rPr>
            </w:pPr>
            <w:r w:rsidRPr="00F1660D">
              <w:rPr>
                <w:lang w:val="fr-FR"/>
              </w:rPr>
              <w:t>–</w:t>
            </w:r>
          </w:p>
        </w:tc>
        <w:tc>
          <w:tcPr>
            <w:tcW w:w="1531" w:type="dxa"/>
            <w:tcBorders>
              <w:top w:val="single" w:sz="4" w:space="0" w:color="auto"/>
              <w:bottom w:val="single" w:sz="4" w:space="0" w:color="auto"/>
            </w:tcBorders>
            <w:vAlign w:val="center"/>
          </w:tcPr>
          <w:p w14:paraId="799662D6" w14:textId="77777777" w:rsidR="001D7FFD" w:rsidRPr="00F1660D" w:rsidRDefault="001D7FFD" w:rsidP="0080091E">
            <w:pPr>
              <w:pStyle w:val="Normal-pool"/>
              <w:jc w:val="right"/>
              <w:rPr>
                <w:b/>
                <w:color w:val="000000"/>
                <w:lang w:val="fr-FR"/>
              </w:rPr>
            </w:pPr>
            <w:r w:rsidRPr="00F1660D">
              <w:rPr>
                <w:b/>
                <w:lang w:val="fr-FR"/>
              </w:rPr>
              <w:t>30 000</w:t>
            </w:r>
          </w:p>
        </w:tc>
      </w:tr>
      <w:tr w:rsidR="001D7FFD" w:rsidRPr="00F1660D" w14:paraId="3CFEC224" w14:textId="77777777" w:rsidTr="0080091E">
        <w:trPr>
          <w:trHeight w:val="57"/>
        </w:trPr>
        <w:tc>
          <w:tcPr>
            <w:tcW w:w="424" w:type="dxa"/>
            <w:tcBorders>
              <w:top w:val="single" w:sz="4" w:space="0" w:color="auto"/>
              <w:bottom w:val="single" w:sz="4" w:space="0" w:color="auto"/>
            </w:tcBorders>
          </w:tcPr>
          <w:p w14:paraId="47692A51" w14:textId="77777777" w:rsidR="001D7FFD" w:rsidRPr="00F1660D" w:rsidRDefault="001D7FFD" w:rsidP="0080091E">
            <w:pPr>
              <w:pStyle w:val="Normal-pool"/>
              <w:rPr>
                <w:lang w:val="fr-FR"/>
              </w:rPr>
            </w:pPr>
          </w:p>
        </w:tc>
        <w:tc>
          <w:tcPr>
            <w:tcW w:w="474" w:type="dxa"/>
            <w:tcBorders>
              <w:top w:val="single" w:sz="4" w:space="0" w:color="auto"/>
              <w:bottom w:val="single" w:sz="4" w:space="0" w:color="auto"/>
            </w:tcBorders>
            <w:vAlign w:val="center"/>
          </w:tcPr>
          <w:p w14:paraId="28892F02" w14:textId="77777777" w:rsidR="001D7FFD" w:rsidRPr="00F1660D" w:rsidRDefault="001D7FFD" w:rsidP="0080091E">
            <w:pPr>
              <w:pStyle w:val="Normal-pool"/>
              <w:rPr>
                <w:b/>
                <w:bCs/>
                <w:color w:val="000000"/>
                <w:lang w:val="fr-FR"/>
              </w:rPr>
            </w:pPr>
            <w:r w:rsidRPr="00F1660D">
              <w:rPr>
                <w:b/>
                <w:bCs/>
                <w:lang w:val="fr-FR"/>
              </w:rPr>
              <w:t>5999</w:t>
            </w:r>
          </w:p>
        </w:tc>
        <w:tc>
          <w:tcPr>
            <w:tcW w:w="4914" w:type="dxa"/>
            <w:gridSpan w:val="2"/>
            <w:tcBorders>
              <w:top w:val="single" w:sz="4" w:space="0" w:color="auto"/>
              <w:bottom w:val="single" w:sz="4" w:space="0" w:color="auto"/>
            </w:tcBorders>
            <w:vAlign w:val="center"/>
          </w:tcPr>
          <w:p w14:paraId="31DD2171" w14:textId="77777777" w:rsidR="001D7FFD" w:rsidRPr="00F1660D" w:rsidRDefault="001D7FFD" w:rsidP="0080091E">
            <w:pPr>
              <w:pStyle w:val="Normal-pool"/>
              <w:rPr>
                <w:b/>
                <w:bCs/>
                <w:color w:val="000000"/>
                <w:lang w:val="fr-FR"/>
              </w:rPr>
            </w:pPr>
            <w:r w:rsidRPr="00F1660D">
              <w:rPr>
                <w:b/>
                <w:bCs/>
                <w:lang w:val="fr-FR"/>
              </w:rPr>
              <w:t>Total élément</w:t>
            </w:r>
          </w:p>
        </w:tc>
        <w:tc>
          <w:tcPr>
            <w:tcW w:w="992" w:type="dxa"/>
            <w:tcBorders>
              <w:top w:val="single" w:sz="4" w:space="0" w:color="auto"/>
              <w:bottom w:val="single" w:sz="4" w:space="0" w:color="auto"/>
            </w:tcBorders>
            <w:vAlign w:val="center"/>
          </w:tcPr>
          <w:p w14:paraId="0B58AAFE" w14:textId="77777777" w:rsidR="001D7FFD" w:rsidRPr="00F1660D" w:rsidRDefault="001D7FFD" w:rsidP="0080091E">
            <w:pPr>
              <w:pStyle w:val="Normal-pool"/>
              <w:jc w:val="right"/>
              <w:rPr>
                <w:b/>
                <w:color w:val="000000"/>
                <w:lang w:val="fr-FR"/>
              </w:rPr>
            </w:pPr>
            <w:r w:rsidRPr="00F1660D">
              <w:rPr>
                <w:b/>
                <w:lang w:val="fr-FR"/>
              </w:rPr>
              <w:t>16 200</w:t>
            </w:r>
          </w:p>
        </w:tc>
        <w:tc>
          <w:tcPr>
            <w:tcW w:w="1531" w:type="dxa"/>
            <w:tcBorders>
              <w:top w:val="single" w:sz="4" w:space="0" w:color="auto"/>
              <w:bottom w:val="single" w:sz="4" w:space="0" w:color="auto"/>
            </w:tcBorders>
            <w:vAlign w:val="center"/>
          </w:tcPr>
          <w:p w14:paraId="63A49BED" w14:textId="77777777" w:rsidR="001D7FFD" w:rsidRPr="00F1660D" w:rsidRDefault="001D7FFD" w:rsidP="0080091E">
            <w:pPr>
              <w:pStyle w:val="Normal-pool"/>
              <w:jc w:val="right"/>
              <w:rPr>
                <w:b/>
                <w:bCs/>
                <w:color w:val="000000"/>
                <w:lang w:val="fr-FR"/>
              </w:rPr>
            </w:pPr>
            <w:r w:rsidRPr="00F1660D">
              <w:rPr>
                <w:b/>
                <w:lang w:val="fr-FR"/>
              </w:rPr>
              <w:t>49 200</w:t>
            </w:r>
          </w:p>
        </w:tc>
      </w:tr>
      <w:tr w:rsidR="001D7FFD" w:rsidRPr="00F1660D" w14:paraId="4DA22410" w14:textId="77777777" w:rsidTr="0080091E">
        <w:trPr>
          <w:trHeight w:val="57"/>
        </w:trPr>
        <w:tc>
          <w:tcPr>
            <w:tcW w:w="5812" w:type="dxa"/>
            <w:gridSpan w:val="4"/>
            <w:tcBorders>
              <w:top w:val="single" w:sz="4" w:space="0" w:color="auto"/>
              <w:bottom w:val="single" w:sz="4" w:space="0" w:color="auto"/>
            </w:tcBorders>
            <w:vAlign w:val="center"/>
          </w:tcPr>
          <w:p w14:paraId="146AC043" w14:textId="77777777" w:rsidR="001D7FFD" w:rsidRPr="00F1660D" w:rsidRDefault="001D7FFD" w:rsidP="0080091E">
            <w:pPr>
              <w:pStyle w:val="Normal-pool"/>
              <w:rPr>
                <w:color w:val="000000"/>
                <w:lang w:val="fr-FR"/>
              </w:rPr>
            </w:pPr>
            <w:r w:rsidRPr="00F1660D">
              <w:rPr>
                <w:b/>
                <w:bCs/>
                <w:lang w:val="fr-FR"/>
              </w:rPr>
              <w:t>Coûts directs des projets</w:t>
            </w:r>
          </w:p>
        </w:tc>
        <w:tc>
          <w:tcPr>
            <w:tcW w:w="992" w:type="dxa"/>
            <w:tcBorders>
              <w:top w:val="single" w:sz="4" w:space="0" w:color="auto"/>
              <w:bottom w:val="single" w:sz="4" w:space="0" w:color="auto"/>
            </w:tcBorders>
            <w:vAlign w:val="center"/>
          </w:tcPr>
          <w:p w14:paraId="5E5E945E" w14:textId="77777777" w:rsidR="001D7FFD" w:rsidRPr="00F1660D" w:rsidRDefault="001D7FFD" w:rsidP="0080091E">
            <w:pPr>
              <w:pStyle w:val="Normal-pool"/>
              <w:jc w:val="right"/>
              <w:rPr>
                <w:color w:val="000000"/>
                <w:lang w:val="fr-FR"/>
              </w:rPr>
            </w:pPr>
            <w:r w:rsidRPr="00F1660D">
              <w:rPr>
                <w:b/>
                <w:bCs/>
                <w:color w:val="000000"/>
                <w:lang w:val="fr-FR" w:eastAsia="fr-CH"/>
              </w:rPr>
              <w:t xml:space="preserve">2 094 210 </w:t>
            </w:r>
          </w:p>
        </w:tc>
        <w:tc>
          <w:tcPr>
            <w:tcW w:w="1531" w:type="dxa"/>
            <w:tcBorders>
              <w:top w:val="single" w:sz="4" w:space="0" w:color="auto"/>
              <w:bottom w:val="single" w:sz="4" w:space="0" w:color="auto"/>
            </w:tcBorders>
            <w:vAlign w:val="center"/>
          </w:tcPr>
          <w:p w14:paraId="6D6EC5AB" w14:textId="77777777" w:rsidR="001D7FFD" w:rsidRPr="00F1660D" w:rsidRDefault="001D7FFD" w:rsidP="0080091E">
            <w:pPr>
              <w:pStyle w:val="Normal-pool"/>
              <w:jc w:val="right"/>
              <w:rPr>
                <w:color w:val="000000"/>
                <w:lang w:val="fr-FR"/>
              </w:rPr>
            </w:pPr>
            <w:r w:rsidRPr="00F1660D">
              <w:rPr>
                <w:b/>
                <w:bCs/>
                <w:color w:val="000000"/>
                <w:lang w:val="fr-FR" w:eastAsia="fr-CH"/>
              </w:rPr>
              <w:t xml:space="preserve">3 198 127 </w:t>
            </w:r>
          </w:p>
        </w:tc>
      </w:tr>
      <w:tr w:rsidR="001D7FFD" w:rsidRPr="00F1660D" w14:paraId="50DAB08D" w14:textId="77777777" w:rsidTr="0080091E">
        <w:trPr>
          <w:trHeight w:val="57"/>
        </w:trPr>
        <w:tc>
          <w:tcPr>
            <w:tcW w:w="5812" w:type="dxa"/>
            <w:gridSpan w:val="4"/>
            <w:tcBorders>
              <w:top w:val="single" w:sz="4" w:space="0" w:color="auto"/>
              <w:bottom w:val="single" w:sz="4" w:space="0" w:color="auto"/>
            </w:tcBorders>
            <w:vAlign w:val="center"/>
          </w:tcPr>
          <w:p w14:paraId="604E45DD" w14:textId="0C6CDA6E" w:rsidR="001D7FFD" w:rsidRPr="00F1660D" w:rsidRDefault="001D7FFD" w:rsidP="0080091E">
            <w:pPr>
              <w:pStyle w:val="Normal-pool"/>
              <w:rPr>
                <w:color w:val="000000"/>
                <w:lang w:val="fr-FR"/>
              </w:rPr>
            </w:pPr>
            <w:r w:rsidRPr="00F1660D">
              <w:rPr>
                <w:b/>
                <w:bCs/>
                <w:lang w:val="fr-FR"/>
              </w:rPr>
              <w:t>Dépenses d’appui au programme (13</w:t>
            </w:r>
            <w:r w:rsidR="0080091E" w:rsidRPr="00F1660D">
              <w:rPr>
                <w:b/>
                <w:bCs/>
                <w:lang w:val="fr-FR"/>
              </w:rPr>
              <w:t> </w:t>
            </w:r>
            <w:r w:rsidRPr="00F1660D">
              <w:rPr>
                <w:b/>
                <w:bCs/>
                <w:lang w:val="fr-FR"/>
              </w:rPr>
              <w:t>%)</w:t>
            </w:r>
          </w:p>
        </w:tc>
        <w:tc>
          <w:tcPr>
            <w:tcW w:w="992" w:type="dxa"/>
            <w:tcBorders>
              <w:top w:val="single" w:sz="4" w:space="0" w:color="auto"/>
              <w:bottom w:val="single" w:sz="4" w:space="0" w:color="auto"/>
            </w:tcBorders>
            <w:vAlign w:val="center"/>
          </w:tcPr>
          <w:p w14:paraId="35DB1723" w14:textId="77777777" w:rsidR="001D7FFD" w:rsidRPr="00F1660D" w:rsidRDefault="001D7FFD" w:rsidP="0080091E">
            <w:pPr>
              <w:pStyle w:val="Normal-pool"/>
              <w:jc w:val="right"/>
              <w:rPr>
                <w:color w:val="000000"/>
                <w:lang w:val="fr-FR"/>
              </w:rPr>
            </w:pPr>
            <w:r w:rsidRPr="00F1660D">
              <w:rPr>
                <w:color w:val="000000"/>
                <w:lang w:val="fr-FR" w:eastAsia="fr-CH"/>
              </w:rPr>
              <w:t>272 247</w:t>
            </w:r>
          </w:p>
        </w:tc>
        <w:tc>
          <w:tcPr>
            <w:tcW w:w="1531" w:type="dxa"/>
            <w:tcBorders>
              <w:top w:val="single" w:sz="4" w:space="0" w:color="auto"/>
              <w:bottom w:val="single" w:sz="4" w:space="0" w:color="auto"/>
            </w:tcBorders>
            <w:vAlign w:val="center"/>
          </w:tcPr>
          <w:p w14:paraId="31136A1D" w14:textId="77777777" w:rsidR="001D7FFD" w:rsidRPr="00F1660D" w:rsidRDefault="001D7FFD" w:rsidP="0080091E">
            <w:pPr>
              <w:pStyle w:val="Normal-pool"/>
              <w:jc w:val="right"/>
              <w:rPr>
                <w:color w:val="000000"/>
                <w:lang w:val="fr-FR"/>
              </w:rPr>
            </w:pPr>
            <w:r w:rsidRPr="00F1660D">
              <w:rPr>
                <w:color w:val="000000"/>
                <w:lang w:val="fr-FR" w:eastAsia="fr-CH"/>
              </w:rPr>
              <w:t>415 757</w:t>
            </w:r>
          </w:p>
        </w:tc>
      </w:tr>
      <w:tr w:rsidR="001D7FFD" w:rsidRPr="00F1660D" w14:paraId="3DB8F16F" w14:textId="77777777" w:rsidTr="0080091E">
        <w:trPr>
          <w:trHeight w:val="57"/>
        </w:trPr>
        <w:tc>
          <w:tcPr>
            <w:tcW w:w="424" w:type="dxa"/>
            <w:tcBorders>
              <w:top w:val="single" w:sz="4" w:space="0" w:color="auto"/>
              <w:bottom w:val="single" w:sz="12" w:space="0" w:color="auto"/>
            </w:tcBorders>
            <w:vAlign w:val="center"/>
          </w:tcPr>
          <w:p w14:paraId="70B3FF24" w14:textId="77777777" w:rsidR="001D7FFD" w:rsidRPr="00F1660D" w:rsidRDefault="001D7FFD" w:rsidP="0080091E">
            <w:pPr>
              <w:pStyle w:val="Normal-pool"/>
              <w:rPr>
                <w:b/>
                <w:bCs/>
                <w:color w:val="000000"/>
                <w:lang w:val="fr-FR"/>
              </w:rPr>
            </w:pPr>
            <w:r w:rsidRPr="00F1660D">
              <w:rPr>
                <w:b/>
                <w:lang w:val="fr-FR"/>
              </w:rPr>
              <w:t>99</w:t>
            </w:r>
          </w:p>
        </w:tc>
        <w:tc>
          <w:tcPr>
            <w:tcW w:w="5388" w:type="dxa"/>
            <w:gridSpan w:val="3"/>
            <w:tcBorders>
              <w:top w:val="single" w:sz="4" w:space="0" w:color="auto"/>
              <w:bottom w:val="single" w:sz="12" w:space="0" w:color="auto"/>
            </w:tcBorders>
            <w:vAlign w:val="center"/>
          </w:tcPr>
          <w:p w14:paraId="444FF3D3" w14:textId="77777777" w:rsidR="001D7FFD" w:rsidRPr="00F1660D" w:rsidRDefault="001D7FFD" w:rsidP="0080091E">
            <w:pPr>
              <w:pStyle w:val="Normal-pool"/>
              <w:rPr>
                <w:b/>
                <w:bCs/>
                <w:color w:val="000000"/>
                <w:lang w:val="fr-FR"/>
              </w:rPr>
            </w:pPr>
            <w:r w:rsidRPr="00F1660D">
              <w:rPr>
                <w:b/>
                <w:bCs/>
                <w:lang w:val="fr-FR"/>
              </w:rPr>
              <w:t>Total</w:t>
            </w:r>
            <w:r w:rsidRPr="00F1660D">
              <w:rPr>
                <w:b/>
                <w:lang w:val="fr-FR"/>
              </w:rPr>
              <w:t xml:space="preserve"> </w:t>
            </w:r>
          </w:p>
        </w:tc>
        <w:tc>
          <w:tcPr>
            <w:tcW w:w="992" w:type="dxa"/>
            <w:tcBorders>
              <w:top w:val="single" w:sz="4" w:space="0" w:color="auto"/>
              <w:bottom w:val="single" w:sz="12" w:space="0" w:color="auto"/>
            </w:tcBorders>
            <w:vAlign w:val="center"/>
          </w:tcPr>
          <w:p w14:paraId="4A49C749" w14:textId="77777777" w:rsidR="001D7FFD" w:rsidRPr="00F1660D" w:rsidRDefault="001D7FFD" w:rsidP="0080091E">
            <w:pPr>
              <w:pStyle w:val="Normal-pool"/>
              <w:jc w:val="right"/>
              <w:rPr>
                <w:b/>
                <w:bCs/>
                <w:color w:val="000000"/>
                <w:lang w:val="fr-FR"/>
              </w:rPr>
            </w:pPr>
            <w:r w:rsidRPr="00F1660D">
              <w:rPr>
                <w:b/>
                <w:bCs/>
                <w:color w:val="000000"/>
                <w:lang w:val="fr-FR" w:eastAsia="fr-CH"/>
              </w:rPr>
              <w:t>2 366 457</w:t>
            </w:r>
          </w:p>
        </w:tc>
        <w:tc>
          <w:tcPr>
            <w:tcW w:w="1531" w:type="dxa"/>
            <w:tcBorders>
              <w:top w:val="single" w:sz="4" w:space="0" w:color="auto"/>
              <w:bottom w:val="single" w:sz="12" w:space="0" w:color="auto"/>
            </w:tcBorders>
            <w:vAlign w:val="center"/>
          </w:tcPr>
          <w:p w14:paraId="0B6F0900" w14:textId="77777777" w:rsidR="001D7FFD" w:rsidRPr="00F1660D" w:rsidRDefault="001D7FFD" w:rsidP="0080091E">
            <w:pPr>
              <w:pStyle w:val="Normal-pool"/>
              <w:jc w:val="right"/>
              <w:rPr>
                <w:b/>
                <w:bCs/>
                <w:color w:val="000000"/>
                <w:lang w:val="fr-FR"/>
              </w:rPr>
            </w:pPr>
            <w:r w:rsidRPr="00F1660D">
              <w:rPr>
                <w:b/>
                <w:bCs/>
                <w:color w:val="000000"/>
                <w:lang w:val="fr-FR" w:eastAsia="fr-CH"/>
              </w:rPr>
              <w:t xml:space="preserve">3 </w:t>
            </w:r>
            <w:r w:rsidRPr="00F1660D">
              <w:rPr>
                <w:b/>
                <w:color w:val="000000"/>
                <w:lang w:val="fr-FR" w:eastAsia="fr-CH"/>
              </w:rPr>
              <w:t>613</w:t>
            </w:r>
            <w:r w:rsidRPr="00F1660D">
              <w:rPr>
                <w:b/>
                <w:bCs/>
                <w:color w:val="000000"/>
                <w:lang w:val="fr-FR" w:eastAsia="fr-CH"/>
              </w:rPr>
              <w:t xml:space="preserve"> 884</w:t>
            </w:r>
          </w:p>
        </w:tc>
      </w:tr>
    </w:tbl>
    <w:p w14:paraId="7B12FE25" w14:textId="77777777" w:rsidR="001D7FFD" w:rsidRPr="00F1660D" w:rsidRDefault="001D7FFD" w:rsidP="001D7FFD">
      <w:pPr>
        <w:pStyle w:val="Normal-pool"/>
        <w:ind w:left="1134"/>
        <w:rPr>
          <w:sz w:val="16"/>
          <w:szCs w:val="16"/>
          <w:lang w:val="fr-FR"/>
        </w:rPr>
      </w:pPr>
      <w:proofErr w:type="spellStart"/>
      <w:proofErr w:type="gramStart"/>
      <w:r w:rsidRPr="00F1660D">
        <w:rPr>
          <w:sz w:val="16"/>
          <w:szCs w:val="16"/>
          <w:vertAlign w:val="superscript"/>
          <w:lang w:val="fr-FR"/>
        </w:rPr>
        <w:t>a</w:t>
      </w:r>
      <w:proofErr w:type="spellEnd"/>
      <w:proofErr w:type="gramEnd"/>
      <w:r w:rsidRPr="00F1660D">
        <w:rPr>
          <w:sz w:val="16"/>
          <w:szCs w:val="16"/>
          <w:vertAlign w:val="superscript"/>
          <w:lang w:val="fr-FR"/>
        </w:rPr>
        <w:t> </w:t>
      </w:r>
      <w:r w:rsidRPr="00F1660D">
        <w:rPr>
          <w:sz w:val="16"/>
          <w:szCs w:val="16"/>
          <w:lang w:val="fr-FR"/>
        </w:rPr>
        <w:t>Ce poste est financé par le projet du FEM.</w:t>
      </w:r>
    </w:p>
    <w:tbl>
      <w:tblPr>
        <w:tblW w:w="0" w:type="auto"/>
        <w:jc w:val="right"/>
        <w:tblLayout w:type="fixed"/>
        <w:tblCellMar>
          <w:top w:w="28" w:type="dxa"/>
          <w:left w:w="17" w:type="dxa"/>
          <w:bottom w:w="28" w:type="dxa"/>
          <w:right w:w="17" w:type="dxa"/>
        </w:tblCellMar>
        <w:tblLook w:val="04A0" w:firstRow="1" w:lastRow="0" w:firstColumn="1" w:lastColumn="0" w:noHBand="0" w:noVBand="1"/>
      </w:tblPr>
      <w:tblGrid>
        <w:gridCol w:w="1899"/>
        <w:gridCol w:w="1899"/>
        <w:gridCol w:w="1899"/>
        <w:gridCol w:w="1900"/>
        <w:gridCol w:w="1900"/>
      </w:tblGrid>
      <w:tr w:rsidR="00CC33E2" w:rsidRPr="00F1660D" w14:paraId="3F78A340" w14:textId="77777777" w:rsidTr="00A12DFE">
        <w:trPr>
          <w:jc w:val="right"/>
        </w:trPr>
        <w:tc>
          <w:tcPr>
            <w:tcW w:w="1899" w:type="dxa"/>
            <w:shd w:val="clear" w:color="auto" w:fill="auto"/>
            <w:tcMar>
              <w:left w:w="57" w:type="dxa"/>
              <w:right w:w="57" w:type="dxa"/>
            </w:tcMar>
          </w:tcPr>
          <w:p w14:paraId="636F2449" w14:textId="77777777" w:rsidR="00CC33E2" w:rsidRPr="00F1660D" w:rsidRDefault="00CC33E2" w:rsidP="0080091E">
            <w:pPr>
              <w:pStyle w:val="Normal-pool"/>
              <w:spacing w:before="400" w:after="40"/>
              <w:rPr>
                <w:sz w:val="18"/>
                <w:szCs w:val="18"/>
                <w:lang w:val="fr-FR"/>
              </w:rPr>
            </w:pPr>
          </w:p>
        </w:tc>
        <w:tc>
          <w:tcPr>
            <w:tcW w:w="1899" w:type="dxa"/>
            <w:shd w:val="clear" w:color="auto" w:fill="auto"/>
            <w:tcMar>
              <w:left w:w="57" w:type="dxa"/>
              <w:right w:w="57" w:type="dxa"/>
            </w:tcMar>
          </w:tcPr>
          <w:p w14:paraId="39CFDD76" w14:textId="77777777" w:rsidR="00CC33E2" w:rsidRPr="00F1660D" w:rsidRDefault="00CC33E2" w:rsidP="0080091E">
            <w:pPr>
              <w:pStyle w:val="Normal-pool"/>
              <w:spacing w:before="400" w:after="40"/>
              <w:rPr>
                <w:sz w:val="18"/>
                <w:szCs w:val="18"/>
                <w:lang w:val="fr-FR"/>
              </w:rPr>
            </w:pPr>
          </w:p>
        </w:tc>
        <w:tc>
          <w:tcPr>
            <w:tcW w:w="1899" w:type="dxa"/>
            <w:tcBorders>
              <w:bottom w:val="single" w:sz="4" w:space="0" w:color="auto"/>
            </w:tcBorders>
            <w:shd w:val="clear" w:color="auto" w:fill="auto"/>
            <w:tcMar>
              <w:left w:w="57" w:type="dxa"/>
              <w:right w:w="57" w:type="dxa"/>
            </w:tcMar>
          </w:tcPr>
          <w:p w14:paraId="766FC2A5" w14:textId="77777777" w:rsidR="00CC33E2" w:rsidRPr="00F1660D" w:rsidRDefault="00CC33E2" w:rsidP="0080091E">
            <w:pPr>
              <w:pStyle w:val="Normal-pool"/>
              <w:spacing w:before="400" w:after="40"/>
              <w:rPr>
                <w:sz w:val="18"/>
                <w:szCs w:val="18"/>
                <w:lang w:val="fr-FR"/>
              </w:rPr>
            </w:pPr>
          </w:p>
        </w:tc>
        <w:tc>
          <w:tcPr>
            <w:tcW w:w="1900" w:type="dxa"/>
            <w:shd w:val="clear" w:color="auto" w:fill="auto"/>
            <w:tcMar>
              <w:left w:w="57" w:type="dxa"/>
              <w:right w:w="57" w:type="dxa"/>
            </w:tcMar>
          </w:tcPr>
          <w:p w14:paraId="388B186C" w14:textId="77777777" w:rsidR="00CC33E2" w:rsidRPr="00F1660D" w:rsidRDefault="00CC33E2" w:rsidP="0080091E">
            <w:pPr>
              <w:pStyle w:val="Normal-pool"/>
              <w:spacing w:before="400" w:after="40"/>
              <w:rPr>
                <w:sz w:val="18"/>
                <w:szCs w:val="18"/>
                <w:lang w:val="fr-FR"/>
              </w:rPr>
            </w:pPr>
          </w:p>
        </w:tc>
        <w:tc>
          <w:tcPr>
            <w:tcW w:w="1900" w:type="dxa"/>
            <w:shd w:val="clear" w:color="auto" w:fill="auto"/>
            <w:tcMar>
              <w:left w:w="57" w:type="dxa"/>
              <w:right w:w="57" w:type="dxa"/>
            </w:tcMar>
          </w:tcPr>
          <w:p w14:paraId="4B34B10A" w14:textId="77777777" w:rsidR="00CC33E2" w:rsidRPr="00F1660D" w:rsidRDefault="00CC33E2" w:rsidP="0080091E">
            <w:pPr>
              <w:pStyle w:val="Normal-pool"/>
              <w:spacing w:before="400" w:after="40"/>
              <w:rPr>
                <w:sz w:val="18"/>
                <w:szCs w:val="18"/>
                <w:lang w:val="fr-FR"/>
              </w:rPr>
            </w:pPr>
          </w:p>
        </w:tc>
      </w:tr>
    </w:tbl>
    <w:p w14:paraId="121BA731" w14:textId="77777777" w:rsidR="002B65C8" w:rsidRPr="00F1660D" w:rsidRDefault="002B65C8" w:rsidP="005572A9">
      <w:pPr>
        <w:pStyle w:val="Normal-pool"/>
        <w:rPr>
          <w:sz w:val="4"/>
          <w:szCs w:val="4"/>
          <w:lang w:val="fr-FR"/>
        </w:rPr>
      </w:pPr>
    </w:p>
    <w:sectPr w:rsidR="002B65C8" w:rsidRPr="00F1660D" w:rsidSect="0080091E">
      <w:headerReference w:type="even" r:id="rId13"/>
      <w:headerReference w:type="default" r:id="rId14"/>
      <w:footerReference w:type="even" r:id="rId15"/>
      <w:footerReference w:type="default" r:id="rId16"/>
      <w:headerReference w:type="first" r:id="rId17"/>
      <w:footerReference w:type="first" r:id="rId18"/>
      <w:pgSz w:w="11907" w:h="16840" w:code="9"/>
      <w:pgMar w:top="907" w:right="992" w:bottom="1418" w:left="1418" w:header="539" w:footer="9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4EECD" w14:textId="77777777" w:rsidR="00EC2CCF" w:rsidRDefault="00EC2CCF" w:rsidP="00436913">
      <w:r>
        <w:separator/>
      </w:r>
    </w:p>
  </w:endnote>
  <w:endnote w:type="continuationSeparator" w:id="0">
    <w:p w14:paraId="00E38E23" w14:textId="77777777" w:rsidR="00EC2CCF" w:rsidRDefault="00EC2CCF" w:rsidP="0043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71FB" w14:textId="4FEAF42D" w:rsidR="00EC2CCF" w:rsidRPr="00436913" w:rsidRDefault="00EC2CCF" w:rsidP="002848FE">
    <w:pPr>
      <w:pStyle w:val="Footer-pool"/>
    </w:pPr>
    <w:r w:rsidRPr="00436913">
      <w:fldChar w:fldCharType="begin"/>
    </w:r>
    <w:r w:rsidRPr="00436913">
      <w:instrText xml:space="preserve"> PAGE   \* MERGEFORMAT </w:instrText>
    </w:r>
    <w:r w:rsidRPr="00436913">
      <w:fldChar w:fldCharType="separate"/>
    </w:r>
    <w:r w:rsidR="00D255CA">
      <w:rPr>
        <w:noProof/>
      </w:rPr>
      <w:t>38</w:t>
    </w:r>
    <w:r w:rsidRPr="0043691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DD77A" w14:textId="18867B08" w:rsidR="00EC2CCF" w:rsidRPr="00436913" w:rsidRDefault="00EC2CCF" w:rsidP="002848FE">
    <w:pPr>
      <w:pStyle w:val="Footer-pool"/>
      <w:jc w:val="right"/>
    </w:pPr>
    <w:r w:rsidRPr="00436913">
      <w:fldChar w:fldCharType="begin"/>
    </w:r>
    <w:r w:rsidRPr="00436913">
      <w:instrText xml:space="preserve"> PAGE   \* MERGEFORMAT </w:instrText>
    </w:r>
    <w:r w:rsidRPr="00436913">
      <w:fldChar w:fldCharType="separate"/>
    </w:r>
    <w:r w:rsidR="00D255CA">
      <w:rPr>
        <w:noProof/>
      </w:rPr>
      <w:t>37</w:t>
    </w:r>
    <w:r w:rsidRPr="0043691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6FAB" w14:textId="152DF336" w:rsidR="00EC2CCF" w:rsidRPr="00FC0533" w:rsidRDefault="00EC2CCF" w:rsidP="000A6D3A">
    <w:pPr>
      <w:pStyle w:val="Footer"/>
      <w:tabs>
        <w:tab w:val="clear" w:pos="4320"/>
        <w:tab w:val="clear" w:pos="8640"/>
      </w:tabs>
      <w:rPr>
        <w:sz w:val="20"/>
        <w:lang w:val="en-GB"/>
      </w:rPr>
    </w:pPr>
    <w:bookmarkStart w:id="26" w:name="_GoBack"/>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E531" w14:textId="77777777" w:rsidR="00EC2CCF" w:rsidRDefault="00EC2CCF" w:rsidP="00436913">
      <w:r>
        <w:separator/>
      </w:r>
    </w:p>
  </w:footnote>
  <w:footnote w:type="continuationSeparator" w:id="0">
    <w:p w14:paraId="0193CE75" w14:textId="77777777" w:rsidR="00EC2CCF" w:rsidRDefault="00EC2CCF" w:rsidP="00436913">
      <w:r>
        <w:continuationSeparator/>
      </w:r>
    </w:p>
  </w:footnote>
  <w:footnote w:id="1">
    <w:p w14:paraId="389DBF3F" w14:textId="5C6C3D87" w:rsidR="00EC2CCF" w:rsidRPr="009C7896" w:rsidRDefault="00EC2CCF" w:rsidP="001420CF">
      <w:pPr>
        <w:pStyle w:val="FootnoteText"/>
        <w:tabs>
          <w:tab w:val="left" w:pos="624"/>
        </w:tabs>
        <w:rPr>
          <w:szCs w:val="18"/>
        </w:rPr>
      </w:pPr>
      <w:r w:rsidRPr="009C7896">
        <w:rPr>
          <w:rStyle w:val="FootnoteReference"/>
        </w:rPr>
        <w:footnoteRef/>
      </w:r>
      <w:r>
        <w:t xml:space="preserve"> Le présent document n’a pas été revu par les services d’édition.</w:t>
      </w:r>
    </w:p>
  </w:footnote>
  <w:footnote w:id="2">
    <w:p w14:paraId="16BEAEA1" w14:textId="48AF1F45" w:rsidR="00EC2CCF" w:rsidRDefault="00EC2CCF" w:rsidP="001420CF">
      <w:pPr>
        <w:pStyle w:val="FootnoteText"/>
      </w:pPr>
      <w:r>
        <w:rPr>
          <w:rStyle w:val="FootnoteReference"/>
        </w:rPr>
        <w:footnoteRef/>
      </w:r>
      <w:r>
        <w:t xml:space="preserve"> Ces crochets s’appliquent au terme [déchets] dans l’ensemble du présent document.</w:t>
      </w:r>
    </w:p>
  </w:footnote>
  <w:footnote w:id="3">
    <w:p w14:paraId="2C3E08B1" w14:textId="46191B31" w:rsidR="00EC2CCF" w:rsidRDefault="00EC2CCF" w:rsidP="001420CF">
      <w:pPr>
        <w:pStyle w:val="FootnoteText"/>
      </w:pPr>
      <w:r>
        <w:rPr>
          <w:rStyle w:val="FootnoteReference"/>
        </w:rPr>
        <w:footnoteRef/>
      </w:r>
      <w:r>
        <w:t xml:space="preserve"> Les cibles n’ont pas été entièrement examinées par le groupe de contact.</w:t>
      </w:r>
    </w:p>
  </w:footnote>
  <w:footnote w:id="4">
    <w:p w14:paraId="62E03C99" w14:textId="0D31A82F" w:rsidR="00EC2CCF" w:rsidRDefault="00EC2CCF" w:rsidP="001420CF">
      <w:pPr>
        <w:pStyle w:val="FootnoteText"/>
      </w:pPr>
      <w:r>
        <w:rPr>
          <w:rStyle w:val="FootnoteReference"/>
        </w:rPr>
        <w:footnoteRef/>
      </w:r>
      <w:r>
        <w:t xml:space="preserve"> </w:t>
      </w:r>
      <w:r w:rsidRPr="008E06FE">
        <w:t>UNEP/EA.4/L.9</w:t>
      </w:r>
      <w:r>
        <w:t>.</w:t>
      </w:r>
    </w:p>
  </w:footnote>
  <w:footnote w:id="5">
    <w:p w14:paraId="4F81B2AA" w14:textId="5F91834A" w:rsidR="00EC2CCF" w:rsidRDefault="00EC2CCF" w:rsidP="001420CF">
      <w:pPr>
        <w:pStyle w:val="FootnoteText"/>
      </w:pPr>
      <w:r>
        <w:rPr>
          <w:rStyle w:val="FootnoteReference"/>
        </w:rPr>
        <w:footnoteRef/>
      </w:r>
      <w:r>
        <w:t xml:space="preserve"> Les cibles suivantes ont été mentionnées et/ou reformulées au sein du groupe de contact mais n’ont pas été examinées :</w:t>
      </w:r>
    </w:p>
    <w:p w14:paraId="3DB011FA" w14:textId="35E470A9" w:rsidR="00EC2CCF" w:rsidRDefault="00EC2CCF" w:rsidP="001420CF">
      <w:pPr>
        <w:pStyle w:val="FootnoteText"/>
      </w:pPr>
      <w:r w:rsidRPr="003F5F7A">
        <w:rPr>
          <w:b/>
        </w:rPr>
        <w:t>Cible</w:t>
      </w:r>
      <w:r>
        <w:rPr>
          <w:b/>
        </w:rPr>
        <w:t xml:space="preserve"> au </w:t>
      </w:r>
      <w:r w:rsidRPr="003F5F7A">
        <w:rPr>
          <w:b/>
        </w:rPr>
        <w:t>titre de l</w:t>
      </w:r>
      <w:r>
        <w:rPr>
          <w:b/>
        </w:rPr>
        <w:t>’</w:t>
      </w:r>
      <w:r w:rsidRPr="003F5F7A">
        <w:rPr>
          <w:b/>
        </w:rPr>
        <w:t>objectif stratégique A</w:t>
      </w:r>
      <w:r>
        <w:rPr>
          <w:b/>
        </w:rPr>
        <w:t> :</w:t>
      </w:r>
      <w:r>
        <w:t xml:space="preserve"> Un code de conduite relatif à la gestion des produits chimiques et des déchets comprenant les éléments des Orientations générales et des directives est élaboré et les pays intègrent ses dispositions à leur législation interne. </w:t>
      </w:r>
    </w:p>
    <w:p w14:paraId="26AE8514" w14:textId="2E59E5AA" w:rsidR="00EC2CCF" w:rsidRDefault="00EC2CCF" w:rsidP="001420CF">
      <w:pPr>
        <w:pStyle w:val="FootnoteText"/>
      </w:pPr>
      <w:r w:rsidRPr="003F5F7A">
        <w:rPr>
          <w:b/>
        </w:rPr>
        <w:t>Cible</w:t>
      </w:r>
      <w:r>
        <w:rPr>
          <w:b/>
        </w:rPr>
        <w:t xml:space="preserve"> au </w:t>
      </w:r>
      <w:r w:rsidRPr="003F5F7A">
        <w:rPr>
          <w:b/>
        </w:rPr>
        <w:t>titre de l</w:t>
      </w:r>
      <w:r>
        <w:rPr>
          <w:b/>
        </w:rPr>
        <w:t>’</w:t>
      </w:r>
      <w:r w:rsidRPr="003F5F7A">
        <w:rPr>
          <w:b/>
        </w:rPr>
        <w:t>objectif stratégique A</w:t>
      </w:r>
      <w:r>
        <w:rPr>
          <w:b/>
        </w:rPr>
        <w:t> :</w:t>
      </w:r>
      <w:r>
        <w:t xml:space="preserve"> Les pays, le secteur industriel, le Programme interorganisations pour la gestion rationnelle des produits chimiques et les autres parties prenantes en mesure de le faire collaborent avec les pays en développement en leur apportant une aide technique et non financière, afin de les doter des outils</w:t>
      </w:r>
      <w:r w:rsidRPr="003F5F7A">
        <w:t xml:space="preserve"> </w:t>
      </w:r>
      <w:r>
        <w:t>indispensables pour parvenir à une gestion rationnelle des produits chimiques tout au long de leur cycle de vie.</w:t>
      </w:r>
    </w:p>
    <w:p w14:paraId="10342144" w14:textId="4208614B" w:rsidR="00EC2CCF" w:rsidRDefault="00EC2CCF" w:rsidP="001420CF">
      <w:pPr>
        <w:pStyle w:val="FootnoteText"/>
      </w:pPr>
      <w:r w:rsidRPr="003F5F7A">
        <w:rPr>
          <w:b/>
        </w:rPr>
        <w:t>Cible</w:t>
      </w:r>
      <w:r>
        <w:rPr>
          <w:b/>
        </w:rPr>
        <w:t xml:space="preserve"> au </w:t>
      </w:r>
      <w:r w:rsidRPr="003F5F7A">
        <w:rPr>
          <w:b/>
        </w:rPr>
        <w:t>titre de l</w:t>
      </w:r>
      <w:r>
        <w:rPr>
          <w:b/>
        </w:rPr>
        <w:t>’</w:t>
      </w:r>
      <w:r w:rsidRPr="003F5F7A">
        <w:rPr>
          <w:b/>
        </w:rPr>
        <w:t>objectif stratégique E</w:t>
      </w:r>
      <w:r>
        <w:rPr>
          <w:b/>
        </w:rPr>
        <w:t> :</w:t>
      </w:r>
      <w:r>
        <w:t xml:space="preserve"> Les ressources financières et non financières requises pour promouvoir la gestion rationnelle des produits chimiques et des déchets dans tous les secteurs, par et pour toutes les parties prenantes, sont définies et mobilisées.</w:t>
      </w:r>
    </w:p>
    <w:p w14:paraId="3AECEEBE" w14:textId="6EBED267" w:rsidR="00EC2CCF" w:rsidRDefault="00EC2CCF" w:rsidP="001420CF">
      <w:pPr>
        <w:pStyle w:val="FootnoteText"/>
      </w:pPr>
      <w:r w:rsidRPr="003F5F7A">
        <w:rPr>
          <w:b/>
        </w:rPr>
        <w:t>Cible</w:t>
      </w:r>
      <w:r>
        <w:rPr>
          <w:b/>
        </w:rPr>
        <w:t xml:space="preserve"> au </w:t>
      </w:r>
      <w:r w:rsidRPr="003F5F7A">
        <w:rPr>
          <w:b/>
        </w:rPr>
        <w:t>titre de l</w:t>
      </w:r>
      <w:r>
        <w:rPr>
          <w:b/>
        </w:rPr>
        <w:t>’</w:t>
      </w:r>
      <w:r w:rsidRPr="003F5F7A">
        <w:rPr>
          <w:b/>
        </w:rPr>
        <w:t>objectif stratégique E</w:t>
      </w:r>
      <w:r>
        <w:rPr>
          <w:b/>
        </w:rPr>
        <w:t> :</w:t>
      </w:r>
      <w:r>
        <w:t xml:space="preserve"> Les </w:t>
      </w:r>
      <w:r w:rsidRPr="003F5F7A">
        <w:t>lacunes entre</w:t>
      </w:r>
      <w:r>
        <w:t xml:space="preserve"> les </w:t>
      </w:r>
      <w:r w:rsidRPr="003F5F7A">
        <w:t>pays développés et</w:t>
      </w:r>
      <w:r>
        <w:t xml:space="preserve"> les </w:t>
      </w:r>
      <w:r w:rsidRPr="003F5F7A">
        <w:t xml:space="preserve">pays en développement sont réduites </w:t>
      </w:r>
      <w:r>
        <w:t>en ce qui concerne la </w:t>
      </w:r>
      <w:r w:rsidRPr="003F5F7A">
        <w:t>mise en place d</w:t>
      </w:r>
      <w:r>
        <w:t>’</w:t>
      </w:r>
      <w:r w:rsidRPr="003F5F7A">
        <w:t>une gestion rationnelle</w:t>
      </w:r>
      <w:r>
        <w:t xml:space="preserve"> des </w:t>
      </w:r>
      <w:r w:rsidRPr="003F5F7A">
        <w:t>produits chimiques et</w:t>
      </w:r>
      <w:r>
        <w:t xml:space="preserve"> des </w:t>
      </w:r>
      <w:r w:rsidRPr="003F5F7A">
        <w:t>déchets.</w:t>
      </w:r>
    </w:p>
  </w:footnote>
  <w:footnote w:id="6">
    <w:p w14:paraId="2E8FBBFA" w14:textId="039E3FFD" w:rsidR="00EC2CCF" w:rsidRPr="00AC7E5B" w:rsidRDefault="00EC2CCF" w:rsidP="001420CF">
      <w:pPr>
        <w:pStyle w:val="FootnoteText"/>
        <w:rPr>
          <w:szCs w:val="18"/>
        </w:rPr>
      </w:pPr>
      <w:r w:rsidRPr="00AC7E5B">
        <w:rPr>
          <w:rStyle w:val="FootnoteReference"/>
        </w:rPr>
        <w:footnoteRef/>
      </w:r>
      <w:r>
        <w:t xml:space="preserve"> Les parties prenantes souhaiteront peut-être décider si les cibles devraient être assorties de délais. Aucune date n’a été insérée dans le présent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5B58" w14:textId="28885676" w:rsidR="00EC2CCF" w:rsidRPr="00436913" w:rsidRDefault="00EC2CCF" w:rsidP="002848FE">
    <w:pPr>
      <w:pStyle w:val="Header-pool"/>
    </w:pPr>
    <w:r>
      <w:t>SAICM</w:t>
    </w:r>
    <w:r w:rsidRPr="00026191">
      <w:rPr>
        <w:b w:val="0"/>
        <w:bCs/>
      </w:rPr>
      <w:t>/</w:t>
    </w:r>
    <w:r w:rsidR="00026191" w:rsidRPr="00026191">
      <w:rPr>
        <w:b w:val="0"/>
        <w:bCs/>
      </w:rPr>
      <w:t>IP</w:t>
    </w:r>
    <w:r w:rsidRPr="00026191">
      <w:rPr>
        <w:b w:val="0"/>
        <w:bCs/>
      </w:rPr>
      <w:t>.3/</w:t>
    </w:r>
    <w:r w:rsidR="00026191" w:rsidRPr="00026191">
      <w:rPr>
        <w:b w:val="0"/>
        <w:bCs/>
      </w:rPr>
      <w:t>INF/1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A068" w14:textId="1761C83A" w:rsidR="00EC2CCF" w:rsidRPr="00436913" w:rsidRDefault="00EC2CCF" w:rsidP="002848FE">
    <w:pPr>
      <w:pStyle w:val="Header-pool"/>
      <w:jc w:val="right"/>
    </w:pPr>
    <w:r w:rsidRPr="00436913">
      <w:t>SAICM</w:t>
    </w:r>
    <w:r w:rsidRPr="00026191">
      <w:rPr>
        <w:b w:val="0"/>
        <w:bCs/>
      </w:rPr>
      <w:t>/</w:t>
    </w:r>
    <w:r w:rsidR="00026191" w:rsidRPr="00026191">
      <w:rPr>
        <w:b w:val="0"/>
        <w:bCs/>
      </w:rPr>
      <w:t>IP</w:t>
    </w:r>
    <w:r w:rsidRPr="00026191">
      <w:rPr>
        <w:b w:val="0"/>
        <w:bCs/>
      </w:rPr>
      <w:t>.3/</w:t>
    </w:r>
    <w:r w:rsidR="00026191" w:rsidRPr="00026191">
      <w:rPr>
        <w:b w:val="0"/>
        <w:bCs/>
      </w:rPr>
      <w:t>INF/1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61D6" w14:textId="14C2DBD8" w:rsidR="00EC2CCF" w:rsidRDefault="00EC2CCF" w:rsidP="00DF32B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9E0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F4F6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D284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B2F7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86E6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547A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70F1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B2D7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C0F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C888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71867"/>
    <w:multiLevelType w:val="singleLevel"/>
    <w:tmpl w:val="1E8650E4"/>
    <w:lvl w:ilvl="0">
      <w:start w:val="1"/>
      <w:numFmt w:val="upperRoman"/>
      <w:pStyle w:val="Heading8"/>
      <w:lvlText w:val="%1."/>
      <w:lvlJc w:val="left"/>
      <w:pPr>
        <w:tabs>
          <w:tab w:val="num" w:pos="720"/>
        </w:tabs>
        <w:ind w:left="720" w:hanging="720"/>
      </w:pPr>
      <w:rPr>
        <w:rFonts w:hint="default"/>
      </w:rPr>
    </w:lvl>
  </w:abstractNum>
  <w:abstractNum w:abstractNumId="11" w15:restartNumberingAfterBreak="0">
    <w:nsid w:val="35571603"/>
    <w:multiLevelType w:val="singleLevel"/>
    <w:tmpl w:val="C9CACEF8"/>
    <w:lvl w:ilvl="0">
      <w:start w:val="6"/>
      <w:numFmt w:val="upperLetter"/>
      <w:pStyle w:val="Heading9"/>
      <w:lvlText w:val="%1."/>
      <w:lvlJc w:val="left"/>
      <w:pPr>
        <w:tabs>
          <w:tab w:val="num" w:pos="360"/>
        </w:tabs>
        <w:ind w:left="360" w:hanging="360"/>
      </w:pPr>
      <w:rPr>
        <w:rFonts w:hint="default"/>
      </w:rPr>
    </w:lvl>
  </w:abstractNum>
  <w:abstractNum w:abstractNumId="12" w15:restartNumberingAfterBreak="0">
    <w:nsid w:val="52A66A9D"/>
    <w:multiLevelType w:val="multilevel"/>
    <w:tmpl w:val="F4ACF36E"/>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3" w15:restartNumberingAfterBreak="0">
    <w:nsid w:val="5FDB2A9F"/>
    <w:multiLevelType w:val="hybridMultilevel"/>
    <w:tmpl w:val="FF60A5BE"/>
    <w:lvl w:ilvl="0" w:tplc="0B98140C">
      <w:start w:val="1"/>
      <w:numFmt w:val="lowerRoman"/>
      <w:lvlText w:val="%1)"/>
      <w:lvlJc w:val="left"/>
      <w:pPr>
        <w:ind w:left="2591" w:hanging="720"/>
      </w:pPr>
      <w:rPr>
        <w:rFonts w:hint="default"/>
        <w:color w:val="auto"/>
      </w:rPr>
    </w:lvl>
    <w:lvl w:ilvl="1" w:tplc="08090019" w:tentative="1">
      <w:start w:val="1"/>
      <w:numFmt w:val="lowerLetter"/>
      <w:lvlText w:val="%2."/>
      <w:lvlJc w:val="left"/>
      <w:pPr>
        <w:ind w:left="2951" w:hanging="360"/>
      </w:pPr>
    </w:lvl>
    <w:lvl w:ilvl="2" w:tplc="0809001B" w:tentative="1">
      <w:start w:val="1"/>
      <w:numFmt w:val="lowerRoman"/>
      <w:lvlText w:val="%3."/>
      <w:lvlJc w:val="right"/>
      <w:pPr>
        <w:ind w:left="3671" w:hanging="180"/>
      </w:pPr>
    </w:lvl>
    <w:lvl w:ilvl="3" w:tplc="0809000F" w:tentative="1">
      <w:start w:val="1"/>
      <w:numFmt w:val="decimal"/>
      <w:lvlText w:val="%4."/>
      <w:lvlJc w:val="left"/>
      <w:pPr>
        <w:ind w:left="4391" w:hanging="360"/>
      </w:pPr>
    </w:lvl>
    <w:lvl w:ilvl="4" w:tplc="08090019" w:tentative="1">
      <w:start w:val="1"/>
      <w:numFmt w:val="lowerLetter"/>
      <w:lvlText w:val="%5."/>
      <w:lvlJc w:val="left"/>
      <w:pPr>
        <w:ind w:left="5111" w:hanging="360"/>
      </w:pPr>
    </w:lvl>
    <w:lvl w:ilvl="5" w:tplc="0809001B" w:tentative="1">
      <w:start w:val="1"/>
      <w:numFmt w:val="lowerRoman"/>
      <w:lvlText w:val="%6."/>
      <w:lvlJc w:val="right"/>
      <w:pPr>
        <w:ind w:left="5831" w:hanging="180"/>
      </w:pPr>
    </w:lvl>
    <w:lvl w:ilvl="6" w:tplc="0809000F" w:tentative="1">
      <w:start w:val="1"/>
      <w:numFmt w:val="decimal"/>
      <w:lvlText w:val="%7."/>
      <w:lvlJc w:val="left"/>
      <w:pPr>
        <w:ind w:left="6551" w:hanging="360"/>
      </w:pPr>
    </w:lvl>
    <w:lvl w:ilvl="7" w:tplc="08090019" w:tentative="1">
      <w:start w:val="1"/>
      <w:numFmt w:val="lowerLetter"/>
      <w:lvlText w:val="%8."/>
      <w:lvlJc w:val="left"/>
      <w:pPr>
        <w:ind w:left="7271" w:hanging="360"/>
      </w:pPr>
    </w:lvl>
    <w:lvl w:ilvl="8" w:tplc="0809001B" w:tentative="1">
      <w:start w:val="1"/>
      <w:numFmt w:val="lowerRoman"/>
      <w:lvlText w:val="%9."/>
      <w:lvlJc w:val="right"/>
      <w:pPr>
        <w:ind w:left="7991" w:hanging="180"/>
      </w:pPr>
    </w:lvl>
  </w:abstractNum>
  <w:abstractNum w:abstractNumId="14" w15:restartNumberingAfterBreak="0">
    <w:nsid w:val="62291BF8"/>
    <w:multiLevelType w:val="multilevel"/>
    <w:tmpl w:val="F4ACF36E"/>
    <w:numStyleLink w:val="Normallist"/>
  </w:abstractNum>
  <w:abstractNum w:abstractNumId="15" w15:restartNumberingAfterBreak="0">
    <w:nsid w:val="785D6572"/>
    <w:multiLevelType w:val="hybridMultilevel"/>
    <w:tmpl w:val="6DCA6686"/>
    <w:lvl w:ilvl="0" w:tplc="0409000F">
      <w:start w:val="1"/>
      <w:numFmt w:val="decimal"/>
      <w:lvlText w:val="%1."/>
      <w:lvlJc w:val="left"/>
      <w:pPr>
        <w:ind w:left="360" w:hanging="360"/>
      </w:pPr>
    </w:lvl>
    <w:lvl w:ilvl="1" w:tplc="04090019">
      <w:start w:val="1"/>
      <w:numFmt w:val="lowerLetter"/>
      <w:lvlText w:val="%2."/>
      <w:lvlJc w:val="left"/>
      <w:pPr>
        <w:ind w:left="816" w:hanging="360"/>
      </w:pPr>
    </w:lvl>
    <w:lvl w:ilvl="2" w:tplc="0409001B">
      <w:start w:val="1"/>
      <w:numFmt w:val="lowerRoman"/>
      <w:lvlText w:val="%3."/>
      <w:lvlJc w:val="right"/>
      <w:pPr>
        <w:ind w:left="1536" w:hanging="180"/>
      </w:pPr>
    </w:lvl>
    <w:lvl w:ilvl="3" w:tplc="0409000F">
      <w:start w:val="1"/>
      <w:numFmt w:val="decimal"/>
      <w:lvlText w:val="%4."/>
      <w:lvlJc w:val="left"/>
      <w:pPr>
        <w:ind w:left="2256" w:hanging="360"/>
      </w:pPr>
    </w:lvl>
    <w:lvl w:ilvl="4" w:tplc="04090019">
      <w:start w:val="1"/>
      <w:numFmt w:val="lowerLetter"/>
      <w:lvlText w:val="%5."/>
      <w:lvlJc w:val="left"/>
      <w:pPr>
        <w:ind w:left="2976" w:hanging="360"/>
      </w:pPr>
    </w:lvl>
    <w:lvl w:ilvl="5" w:tplc="0409001B">
      <w:start w:val="1"/>
      <w:numFmt w:val="lowerRoman"/>
      <w:lvlText w:val="%6."/>
      <w:lvlJc w:val="right"/>
      <w:pPr>
        <w:ind w:left="3696" w:hanging="180"/>
      </w:pPr>
    </w:lvl>
    <w:lvl w:ilvl="6" w:tplc="0409000F">
      <w:start w:val="1"/>
      <w:numFmt w:val="decimal"/>
      <w:lvlText w:val="%7."/>
      <w:lvlJc w:val="left"/>
      <w:pPr>
        <w:ind w:left="4416" w:hanging="360"/>
      </w:pPr>
    </w:lvl>
    <w:lvl w:ilvl="7" w:tplc="04090019">
      <w:start w:val="1"/>
      <w:numFmt w:val="lowerLetter"/>
      <w:lvlText w:val="%8."/>
      <w:lvlJc w:val="left"/>
      <w:pPr>
        <w:ind w:left="5136" w:hanging="360"/>
      </w:pPr>
    </w:lvl>
    <w:lvl w:ilvl="8" w:tplc="0409001B">
      <w:start w:val="1"/>
      <w:numFmt w:val="lowerRoman"/>
      <w:lvlText w:val="%9."/>
      <w:lvlJc w:val="right"/>
      <w:pPr>
        <w:ind w:left="5856" w:hanging="180"/>
      </w:pPr>
    </w:lvl>
  </w:abstractNum>
  <w:num w:numId="1">
    <w:abstractNumId w:val="12"/>
  </w:num>
  <w:num w:numId="2">
    <w:abstractNumId w:val="14"/>
  </w:num>
  <w:num w:numId="3">
    <w:abstractNumId w:val="10"/>
  </w:num>
  <w:num w:numId="4">
    <w:abstractNumId w:val="11"/>
  </w:num>
  <w:num w:numId="5">
    <w:abstractNumId w:val="14"/>
  </w:num>
  <w:num w:numId="6">
    <w:abstractNumId w:val="15"/>
    <w:lvlOverride w:ilvl="1">
      <w:lvl w:ilvl="1" w:tplc="04090019">
        <w:start w:val="1"/>
        <w:numFmt w:val="lowerLetter"/>
        <w:lvlText w:val="%2."/>
        <w:lvlJc w:val="left"/>
        <w:pPr>
          <w:ind w:left="816" w:hanging="360"/>
        </w:pPr>
      </w:lvl>
    </w:lvlOverride>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4"/>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2"/>
    <w:lvlOverride w:ilvl="0">
      <w:lvl w:ilvl="0">
        <w:start w:val="1"/>
        <w:numFmt w:val="decimal"/>
        <w:pStyle w:val="Normalnumber"/>
        <w:lvlText w:val="%1."/>
        <w:lvlJc w:val="left"/>
        <w:pPr>
          <w:tabs>
            <w:tab w:val="num" w:pos="1134"/>
          </w:tabs>
          <w:ind w:left="1247" w:firstLine="0"/>
        </w:pPr>
        <w:rPr>
          <w:rFonts w:hint="default"/>
          <w:i w:val="0"/>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624"/>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E4"/>
    <w:rsid w:val="000044CE"/>
    <w:rsid w:val="00004AC6"/>
    <w:rsid w:val="00015586"/>
    <w:rsid w:val="00026191"/>
    <w:rsid w:val="00044105"/>
    <w:rsid w:val="00044E9E"/>
    <w:rsid w:val="00060D00"/>
    <w:rsid w:val="00062428"/>
    <w:rsid w:val="0006627C"/>
    <w:rsid w:val="00087D97"/>
    <w:rsid w:val="00095C9B"/>
    <w:rsid w:val="00097207"/>
    <w:rsid w:val="000A6D3A"/>
    <w:rsid w:val="000A7C26"/>
    <w:rsid w:val="000D0373"/>
    <w:rsid w:val="000D4804"/>
    <w:rsid w:val="00101BB8"/>
    <w:rsid w:val="00111FF6"/>
    <w:rsid w:val="00131E29"/>
    <w:rsid w:val="0013576A"/>
    <w:rsid w:val="001420CF"/>
    <w:rsid w:val="0016224A"/>
    <w:rsid w:val="001677D0"/>
    <w:rsid w:val="001826AD"/>
    <w:rsid w:val="001835B7"/>
    <w:rsid w:val="00191D4B"/>
    <w:rsid w:val="00193F92"/>
    <w:rsid w:val="001A333C"/>
    <w:rsid w:val="001A790F"/>
    <w:rsid w:val="001B0997"/>
    <w:rsid w:val="001B43DE"/>
    <w:rsid w:val="001C53CE"/>
    <w:rsid w:val="001D6BFE"/>
    <w:rsid w:val="001D7FFD"/>
    <w:rsid w:val="001F2812"/>
    <w:rsid w:val="001F637E"/>
    <w:rsid w:val="00220BFA"/>
    <w:rsid w:val="00234C71"/>
    <w:rsid w:val="0023692C"/>
    <w:rsid w:val="00241E9E"/>
    <w:rsid w:val="00242B2E"/>
    <w:rsid w:val="00254951"/>
    <w:rsid w:val="0026169C"/>
    <w:rsid w:val="00265117"/>
    <w:rsid w:val="00266346"/>
    <w:rsid w:val="0027320D"/>
    <w:rsid w:val="002848FE"/>
    <w:rsid w:val="00295523"/>
    <w:rsid w:val="0029678D"/>
    <w:rsid w:val="002A5D56"/>
    <w:rsid w:val="002A6F70"/>
    <w:rsid w:val="002B292E"/>
    <w:rsid w:val="002B365A"/>
    <w:rsid w:val="002B4168"/>
    <w:rsid w:val="002B65C8"/>
    <w:rsid w:val="002C103F"/>
    <w:rsid w:val="002C10A0"/>
    <w:rsid w:val="002C67A2"/>
    <w:rsid w:val="002D4ACF"/>
    <w:rsid w:val="002E453C"/>
    <w:rsid w:val="00304C3D"/>
    <w:rsid w:val="00311AB0"/>
    <w:rsid w:val="0034020A"/>
    <w:rsid w:val="00350181"/>
    <w:rsid w:val="00351983"/>
    <w:rsid w:val="00351E3E"/>
    <w:rsid w:val="003647E1"/>
    <w:rsid w:val="00383018"/>
    <w:rsid w:val="0038664E"/>
    <w:rsid w:val="00390242"/>
    <w:rsid w:val="00391053"/>
    <w:rsid w:val="00395C07"/>
    <w:rsid w:val="003A492B"/>
    <w:rsid w:val="003A5178"/>
    <w:rsid w:val="003A5E49"/>
    <w:rsid w:val="003C0B0A"/>
    <w:rsid w:val="003C3021"/>
    <w:rsid w:val="003C673B"/>
    <w:rsid w:val="003D2C44"/>
    <w:rsid w:val="003E3057"/>
    <w:rsid w:val="003E6186"/>
    <w:rsid w:val="003F0641"/>
    <w:rsid w:val="003F0E49"/>
    <w:rsid w:val="003F205C"/>
    <w:rsid w:val="003F2DEB"/>
    <w:rsid w:val="003F61F3"/>
    <w:rsid w:val="003F76D0"/>
    <w:rsid w:val="00405397"/>
    <w:rsid w:val="004121A9"/>
    <w:rsid w:val="00413257"/>
    <w:rsid w:val="00417DDA"/>
    <w:rsid w:val="00423573"/>
    <w:rsid w:val="0042494A"/>
    <w:rsid w:val="0043632C"/>
    <w:rsid w:val="00436913"/>
    <w:rsid w:val="0044053D"/>
    <w:rsid w:val="004418CE"/>
    <w:rsid w:val="00441DFB"/>
    <w:rsid w:val="00452691"/>
    <w:rsid w:val="00457FA4"/>
    <w:rsid w:val="00464250"/>
    <w:rsid w:val="0047165E"/>
    <w:rsid w:val="00481A20"/>
    <w:rsid w:val="004A07FF"/>
    <w:rsid w:val="004A51B5"/>
    <w:rsid w:val="004A61D5"/>
    <w:rsid w:val="004A627D"/>
    <w:rsid w:val="004A66E1"/>
    <w:rsid w:val="004B21FF"/>
    <w:rsid w:val="004C391D"/>
    <w:rsid w:val="004D31C7"/>
    <w:rsid w:val="004E1A8E"/>
    <w:rsid w:val="004E50CA"/>
    <w:rsid w:val="004E6786"/>
    <w:rsid w:val="004F1D1F"/>
    <w:rsid w:val="004F2753"/>
    <w:rsid w:val="00501B9B"/>
    <w:rsid w:val="00513EA1"/>
    <w:rsid w:val="00527490"/>
    <w:rsid w:val="00532C21"/>
    <w:rsid w:val="005572A9"/>
    <w:rsid w:val="00562EA8"/>
    <w:rsid w:val="00566166"/>
    <w:rsid w:val="0057423B"/>
    <w:rsid w:val="00574BA2"/>
    <w:rsid w:val="00575CA0"/>
    <w:rsid w:val="005858A5"/>
    <w:rsid w:val="00585D23"/>
    <w:rsid w:val="005860DC"/>
    <w:rsid w:val="00592CC7"/>
    <w:rsid w:val="005A586F"/>
    <w:rsid w:val="005A66F6"/>
    <w:rsid w:val="005A7700"/>
    <w:rsid w:val="005B08A1"/>
    <w:rsid w:val="005B4CB6"/>
    <w:rsid w:val="005C39BF"/>
    <w:rsid w:val="005C6910"/>
    <w:rsid w:val="005D7872"/>
    <w:rsid w:val="005E3A13"/>
    <w:rsid w:val="005E641A"/>
    <w:rsid w:val="005F4230"/>
    <w:rsid w:val="005F6127"/>
    <w:rsid w:val="0060061A"/>
    <w:rsid w:val="00601F99"/>
    <w:rsid w:val="0060407C"/>
    <w:rsid w:val="00606841"/>
    <w:rsid w:val="00606A8F"/>
    <w:rsid w:val="00606FF6"/>
    <w:rsid w:val="00615245"/>
    <w:rsid w:val="00617597"/>
    <w:rsid w:val="00621439"/>
    <w:rsid w:val="0063036B"/>
    <w:rsid w:val="00635F78"/>
    <w:rsid w:val="00641F48"/>
    <w:rsid w:val="00642C7B"/>
    <w:rsid w:val="0064434C"/>
    <w:rsid w:val="00644BEE"/>
    <w:rsid w:val="0064573E"/>
    <w:rsid w:val="00647BC7"/>
    <w:rsid w:val="00650DE5"/>
    <w:rsid w:val="00656F52"/>
    <w:rsid w:val="006579B1"/>
    <w:rsid w:val="0066026E"/>
    <w:rsid w:val="0066684F"/>
    <w:rsid w:val="00667289"/>
    <w:rsid w:val="00670B5F"/>
    <w:rsid w:val="006714BF"/>
    <w:rsid w:val="006737AB"/>
    <w:rsid w:val="006808E3"/>
    <w:rsid w:val="006854E9"/>
    <w:rsid w:val="00691131"/>
    <w:rsid w:val="006B591E"/>
    <w:rsid w:val="006B6D17"/>
    <w:rsid w:val="006C6FC0"/>
    <w:rsid w:val="006C7653"/>
    <w:rsid w:val="006D01DE"/>
    <w:rsid w:val="006D3112"/>
    <w:rsid w:val="006D39D0"/>
    <w:rsid w:val="006D41CA"/>
    <w:rsid w:val="006D5442"/>
    <w:rsid w:val="006D5B10"/>
    <w:rsid w:val="006D70AB"/>
    <w:rsid w:val="006D75CD"/>
    <w:rsid w:val="006F0BAF"/>
    <w:rsid w:val="00704DFE"/>
    <w:rsid w:val="0070754B"/>
    <w:rsid w:val="007320A4"/>
    <w:rsid w:val="00733A1C"/>
    <w:rsid w:val="00733BD4"/>
    <w:rsid w:val="00733FEB"/>
    <w:rsid w:val="00736699"/>
    <w:rsid w:val="0073765E"/>
    <w:rsid w:val="007436D8"/>
    <w:rsid w:val="00747423"/>
    <w:rsid w:val="0074744D"/>
    <w:rsid w:val="007501E8"/>
    <w:rsid w:val="00755A6D"/>
    <w:rsid w:val="0075687E"/>
    <w:rsid w:val="00764630"/>
    <w:rsid w:val="007867B6"/>
    <w:rsid w:val="00786AD2"/>
    <w:rsid w:val="00793C0F"/>
    <w:rsid w:val="00793C3B"/>
    <w:rsid w:val="00793CAD"/>
    <w:rsid w:val="007B2D88"/>
    <w:rsid w:val="007B4C39"/>
    <w:rsid w:val="007B4ECA"/>
    <w:rsid w:val="007C2A88"/>
    <w:rsid w:val="007C3BE6"/>
    <w:rsid w:val="007C6CB2"/>
    <w:rsid w:val="007D5015"/>
    <w:rsid w:val="007E1DE0"/>
    <w:rsid w:val="007F7105"/>
    <w:rsid w:val="007F7828"/>
    <w:rsid w:val="0080091E"/>
    <w:rsid w:val="00803B1C"/>
    <w:rsid w:val="00812A33"/>
    <w:rsid w:val="00813744"/>
    <w:rsid w:val="00814929"/>
    <w:rsid w:val="00822AAA"/>
    <w:rsid w:val="00822B39"/>
    <w:rsid w:val="00825FB2"/>
    <w:rsid w:val="00831721"/>
    <w:rsid w:val="008346CF"/>
    <w:rsid w:val="00836CB0"/>
    <w:rsid w:val="00843F33"/>
    <w:rsid w:val="00854417"/>
    <w:rsid w:val="00861C5D"/>
    <w:rsid w:val="00871C71"/>
    <w:rsid w:val="00875C25"/>
    <w:rsid w:val="008C336E"/>
    <w:rsid w:val="008C5309"/>
    <w:rsid w:val="008C5711"/>
    <w:rsid w:val="008D4582"/>
    <w:rsid w:val="008F1F1E"/>
    <w:rsid w:val="008F37E2"/>
    <w:rsid w:val="008F66A1"/>
    <w:rsid w:val="00907AF3"/>
    <w:rsid w:val="00913C7C"/>
    <w:rsid w:val="009309B2"/>
    <w:rsid w:val="0096159C"/>
    <w:rsid w:val="00962244"/>
    <w:rsid w:val="00965825"/>
    <w:rsid w:val="00977A80"/>
    <w:rsid w:val="0098097D"/>
    <w:rsid w:val="009835EC"/>
    <w:rsid w:val="009A116E"/>
    <w:rsid w:val="009A4165"/>
    <w:rsid w:val="009A45C0"/>
    <w:rsid w:val="009B7CA8"/>
    <w:rsid w:val="009D2925"/>
    <w:rsid w:val="009D3D10"/>
    <w:rsid w:val="009D573B"/>
    <w:rsid w:val="009E0568"/>
    <w:rsid w:val="009E56B8"/>
    <w:rsid w:val="009F1D26"/>
    <w:rsid w:val="009F4C1C"/>
    <w:rsid w:val="00A052AF"/>
    <w:rsid w:val="00A12DFE"/>
    <w:rsid w:val="00A202F9"/>
    <w:rsid w:val="00A50629"/>
    <w:rsid w:val="00A55D30"/>
    <w:rsid w:val="00A635B2"/>
    <w:rsid w:val="00A65044"/>
    <w:rsid w:val="00A7615F"/>
    <w:rsid w:val="00A774F7"/>
    <w:rsid w:val="00A9371F"/>
    <w:rsid w:val="00A93B99"/>
    <w:rsid w:val="00AA09A9"/>
    <w:rsid w:val="00AB2FA8"/>
    <w:rsid w:val="00AC01D0"/>
    <w:rsid w:val="00AD2DF7"/>
    <w:rsid w:val="00AD3780"/>
    <w:rsid w:val="00AE1EA2"/>
    <w:rsid w:val="00AE2CEA"/>
    <w:rsid w:val="00AE6693"/>
    <w:rsid w:val="00AF04A4"/>
    <w:rsid w:val="00AF15B1"/>
    <w:rsid w:val="00AF4DDC"/>
    <w:rsid w:val="00AF5242"/>
    <w:rsid w:val="00B0331B"/>
    <w:rsid w:val="00B07118"/>
    <w:rsid w:val="00B10945"/>
    <w:rsid w:val="00B15372"/>
    <w:rsid w:val="00B22235"/>
    <w:rsid w:val="00B23356"/>
    <w:rsid w:val="00B34DA1"/>
    <w:rsid w:val="00B35737"/>
    <w:rsid w:val="00B44577"/>
    <w:rsid w:val="00B446B0"/>
    <w:rsid w:val="00B44E83"/>
    <w:rsid w:val="00B54C5D"/>
    <w:rsid w:val="00B5563A"/>
    <w:rsid w:val="00B60EAB"/>
    <w:rsid w:val="00B63281"/>
    <w:rsid w:val="00B639AA"/>
    <w:rsid w:val="00B639EE"/>
    <w:rsid w:val="00B64E25"/>
    <w:rsid w:val="00B70207"/>
    <w:rsid w:val="00B71812"/>
    <w:rsid w:val="00B750A5"/>
    <w:rsid w:val="00B77D3E"/>
    <w:rsid w:val="00B80793"/>
    <w:rsid w:val="00B80A27"/>
    <w:rsid w:val="00B837A4"/>
    <w:rsid w:val="00B84E56"/>
    <w:rsid w:val="00B90F68"/>
    <w:rsid w:val="00BB1EF9"/>
    <w:rsid w:val="00BB35F0"/>
    <w:rsid w:val="00BB7E6F"/>
    <w:rsid w:val="00BC39A5"/>
    <w:rsid w:val="00BC5308"/>
    <w:rsid w:val="00BD4E94"/>
    <w:rsid w:val="00BD53D7"/>
    <w:rsid w:val="00BE44D1"/>
    <w:rsid w:val="00BE4BE0"/>
    <w:rsid w:val="00BE567C"/>
    <w:rsid w:val="00BF751B"/>
    <w:rsid w:val="00C00753"/>
    <w:rsid w:val="00C026B1"/>
    <w:rsid w:val="00C16B99"/>
    <w:rsid w:val="00C17152"/>
    <w:rsid w:val="00C21E1E"/>
    <w:rsid w:val="00C26A19"/>
    <w:rsid w:val="00C279C1"/>
    <w:rsid w:val="00C4097F"/>
    <w:rsid w:val="00C52D2D"/>
    <w:rsid w:val="00C55E21"/>
    <w:rsid w:val="00C76A95"/>
    <w:rsid w:val="00C82D80"/>
    <w:rsid w:val="00C840E4"/>
    <w:rsid w:val="00C90424"/>
    <w:rsid w:val="00C940EF"/>
    <w:rsid w:val="00CA1D2A"/>
    <w:rsid w:val="00CA55B5"/>
    <w:rsid w:val="00CC33E2"/>
    <w:rsid w:val="00CC5AEC"/>
    <w:rsid w:val="00CE211B"/>
    <w:rsid w:val="00CE30FD"/>
    <w:rsid w:val="00CF69B5"/>
    <w:rsid w:val="00CF6E6E"/>
    <w:rsid w:val="00D0533A"/>
    <w:rsid w:val="00D1051D"/>
    <w:rsid w:val="00D207D8"/>
    <w:rsid w:val="00D21095"/>
    <w:rsid w:val="00D253C4"/>
    <w:rsid w:val="00D255CA"/>
    <w:rsid w:val="00D50259"/>
    <w:rsid w:val="00D64E21"/>
    <w:rsid w:val="00D75510"/>
    <w:rsid w:val="00D8198C"/>
    <w:rsid w:val="00D847BF"/>
    <w:rsid w:val="00DA1EE1"/>
    <w:rsid w:val="00DA308E"/>
    <w:rsid w:val="00DA613E"/>
    <w:rsid w:val="00DD241D"/>
    <w:rsid w:val="00DD3643"/>
    <w:rsid w:val="00DE04EC"/>
    <w:rsid w:val="00DE1146"/>
    <w:rsid w:val="00DE40AD"/>
    <w:rsid w:val="00DF1A49"/>
    <w:rsid w:val="00DF32B0"/>
    <w:rsid w:val="00DF577B"/>
    <w:rsid w:val="00DF5B72"/>
    <w:rsid w:val="00DF65BA"/>
    <w:rsid w:val="00E014E4"/>
    <w:rsid w:val="00E0165E"/>
    <w:rsid w:val="00E06589"/>
    <w:rsid w:val="00E070E6"/>
    <w:rsid w:val="00E072F9"/>
    <w:rsid w:val="00E108A9"/>
    <w:rsid w:val="00E177B3"/>
    <w:rsid w:val="00E30747"/>
    <w:rsid w:val="00E423E8"/>
    <w:rsid w:val="00E476A2"/>
    <w:rsid w:val="00E531D2"/>
    <w:rsid w:val="00E54B46"/>
    <w:rsid w:val="00E64965"/>
    <w:rsid w:val="00E81EC6"/>
    <w:rsid w:val="00E90ABA"/>
    <w:rsid w:val="00E967E1"/>
    <w:rsid w:val="00EB493C"/>
    <w:rsid w:val="00EB4BE4"/>
    <w:rsid w:val="00EC2CCF"/>
    <w:rsid w:val="00ED57D7"/>
    <w:rsid w:val="00EE191F"/>
    <w:rsid w:val="00EE4E52"/>
    <w:rsid w:val="00EF5AD9"/>
    <w:rsid w:val="00F003C8"/>
    <w:rsid w:val="00F04E13"/>
    <w:rsid w:val="00F11256"/>
    <w:rsid w:val="00F12408"/>
    <w:rsid w:val="00F15E75"/>
    <w:rsid w:val="00F1660D"/>
    <w:rsid w:val="00F20172"/>
    <w:rsid w:val="00F32841"/>
    <w:rsid w:val="00F342BA"/>
    <w:rsid w:val="00F359D6"/>
    <w:rsid w:val="00F40DBC"/>
    <w:rsid w:val="00F44DE5"/>
    <w:rsid w:val="00F45B61"/>
    <w:rsid w:val="00F5155B"/>
    <w:rsid w:val="00F54325"/>
    <w:rsid w:val="00F662D6"/>
    <w:rsid w:val="00F715E7"/>
    <w:rsid w:val="00F82665"/>
    <w:rsid w:val="00F8515E"/>
    <w:rsid w:val="00F908EE"/>
    <w:rsid w:val="00F92E42"/>
    <w:rsid w:val="00F93C77"/>
    <w:rsid w:val="00FA08C3"/>
    <w:rsid w:val="00FB3A9B"/>
    <w:rsid w:val="00FB3E4B"/>
    <w:rsid w:val="00FC0533"/>
    <w:rsid w:val="00FC1EE7"/>
    <w:rsid w:val="00FC7310"/>
    <w:rsid w:val="00FD59DE"/>
    <w:rsid w:val="00FE055B"/>
    <w:rsid w:val="00FE2156"/>
    <w:rsid w:val="00FF77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AEBBF96"/>
  <w15:chartTrackingRefBased/>
  <w15:docId w15:val="{4CED0D02-FC75-4B63-A826-957013C8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uiPriority="99"/>
    <w:lsdException w:name="header" w:semiHidden="1" w:unhideWhenUsed="1"/>
    <w:lsdException w:name="footer" w:semiHidden="1" w:unhideWhenUsed="1"/>
    <w:lsdException w:name="caption" w:semiHidden="1" w:unhideWhenUsed="1" w:qFormat="1"/>
    <w:lsdException w:name="table of figures" w:semiHidden="1" w:unhideWhenUsed="1"/>
    <w:lsdException w:name="footnote reference" w:semiHidden="1" w:unhideWhenUsed="1"/>
    <w:lsdException w:name="annotation reference" w:uiPriority="99"/>
    <w:lsdException w:name="page number" w:semiHidden="1" w:unhideWhenUsed="1"/>
    <w:lsdException w:name="Title" w:qFormat="1"/>
    <w:lsdException w:name="Default Paragraph Font" w:semiHidden="1" w:uiPriority="1" w:unhideWhenUsed="1"/>
    <w:lsdException w:name="Body Text" w:uiPriority="1" w:qFormat="1"/>
    <w:lsdException w:name="Subtitle" w:qFormat="1"/>
    <w:lsdException w:name="Block Text" w:semiHidden="1" w:unhideWhenUsed="1"/>
    <w:lsdException w:name="Hyperlink" w:semiHidden="1"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Variable" w:semiHidden="1" w:unhideWhenUsed="1"/>
    <w:lsdException w:name="Normal Table"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7A2"/>
    <w:pPr>
      <w:tabs>
        <w:tab w:val="left" w:pos="1247"/>
        <w:tab w:val="left" w:pos="1814"/>
        <w:tab w:val="left" w:pos="2381"/>
        <w:tab w:val="left" w:pos="2948"/>
        <w:tab w:val="left" w:pos="3515"/>
      </w:tabs>
    </w:pPr>
    <w:rPr>
      <w:rFonts w:eastAsia="Times New Roman"/>
      <w:lang w:val="fr-FR" w:eastAsia="en-US"/>
    </w:rPr>
  </w:style>
  <w:style w:type="paragraph" w:styleId="Heading1">
    <w:name w:val="heading 1"/>
    <w:basedOn w:val="Normal"/>
    <w:next w:val="Normal"/>
    <w:link w:val="Heading1Char"/>
    <w:qFormat/>
    <w:rsid w:val="002C67A2"/>
    <w:pPr>
      <w:keepNext/>
      <w:spacing w:before="240" w:after="120"/>
      <w:ind w:left="1247" w:hanging="680"/>
      <w:outlineLvl w:val="0"/>
    </w:pPr>
    <w:rPr>
      <w:b/>
      <w:sz w:val="28"/>
    </w:rPr>
  </w:style>
  <w:style w:type="paragraph" w:styleId="Heading2">
    <w:name w:val="heading 2"/>
    <w:basedOn w:val="Normal"/>
    <w:next w:val="Normal"/>
    <w:link w:val="Heading2Char"/>
    <w:qFormat/>
    <w:rsid w:val="002C67A2"/>
    <w:pPr>
      <w:keepNext/>
      <w:spacing w:before="240" w:after="120"/>
      <w:ind w:left="1247" w:hanging="680"/>
      <w:outlineLvl w:val="1"/>
    </w:pPr>
    <w:rPr>
      <w:b/>
      <w:sz w:val="24"/>
      <w:szCs w:val="24"/>
    </w:rPr>
  </w:style>
  <w:style w:type="paragraph" w:styleId="Heading3">
    <w:name w:val="heading 3"/>
    <w:basedOn w:val="Normal"/>
    <w:next w:val="Normal"/>
    <w:link w:val="Heading3Char"/>
    <w:qFormat/>
    <w:rsid w:val="002C67A2"/>
    <w:pPr>
      <w:spacing w:after="120"/>
      <w:ind w:left="1247" w:hanging="680"/>
      <w:outlineLvl w:val="2"/>
    </w:pPr>
    <w:rPr>
      <w:b/>
    </w:rPr>
  </w:style>
  <w:style w:type="paragraph" w:styleId="Heading4">
    <w:name w:val="heading 4"/>
    <w:basedOn w:val="Heading3"/>
    <w:next w:val="Normal"/>
    <w:link w:val="Heading4Char"/>
    <w:qFormat/>
    <w:rsid w:val="002C67A2"/>
    <w:pPr>
      <w:keepNext/>
      <w:outlineLvl w:val="3"/>
    </w:pPr>
  </w:style>
  <w:style w:type="paragraph" w:styleId="Heading5">
    <w:name w:val="heading 5"/>
    <w:basedOn w:val="Normal"/>
    <w:next w:val="Normal"/>
    <w:link w:val="Heading5Char"/>
    <w:qFormat/>
    <w:rsid w:val="002C67A2"/>
    <w:pPr>
      <w:keepNext/>
      <w:outlineLvl w:val="4"/>
    </w:pPr>
    <w:rPr>
      <w:rFonts w:ascii="Univers" w:hAnsi="Univers"/>
      <w:b/>
      <w:sz w:val="24"/>
    </w:rPr>
  </w:style>
  <w:style w:type="paragraph" w:styleId="Heading6">
    <w:name w:val="heading 6"/>
    <w:basedOn w:val="Normal"/>
    <w:next w:val="Normal"/>
    <w:link w:val="Heading6Char"/>
    <w:qFormat/>
    <w:rsid w:val="002C67A2"/>
    <w:pPr>
      <w:keepNext/>
      <w:ind w:left="578"/>
      <w:outlineLvl w:val="5"/>
    </w:pPr>
    <w:rPr>
      <w:b/>
      <w:bCs/>
      <w:sz w:val="24"/>
    </w:rPr>
  </w:style>
  <w:style w:type="paragraph" w:styleId="Heading7">
    <w:name w:val="heading 7"/>
    <w:basedOn w:val="Normal"/>
    <w:next w:val="Normal"/>
    <w:link w:val="Heading7Char"/>
    <w:qFormat/>
    <w:rsid w:val="002C67A2"/>
    <w:pPr>
      <w:keepNext/>
      <w:widowControl w:val="0"/>
      <w:jc w:val="center"/>
      <w:outlineLvl w:val="6"/>
    </w:pPr>
    <w:rPr>
      <w:snapToGrid w:val="0"/>
      <w:u w:val="single"/>
      <w:lang w:val="en-US"/>
    </w:rPr>
  </w:style>
  <w:style w:type="paragraph" w:styleId="Heading8">
    <w:name w:val="heading 8"/>
    <w:basedOn w:val="Normal"/>
    <w:next w:val="Normal"/>
    <w:link w:val="Heading8Char"/>
    <w:qFormat/>
    <w:rsid w:val="002C67A2"/>
    <w:pPr>
      <w:keepNext/>
      <w:widowControl w:val="0"/>
      <w:numPr>
        <w:numId w:val="3"/>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qFormat/>
    <w:rsid w:val="002C67A2"/>
    <w:pPr>
      <w:keepNext/>
      <w:widowControl w:val="0"/>
      <w:numPr>
        <w:numId w:val="4"/>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semiHidden/>
    <w:rsid w:val="002C67A2"/>
    <w:rPr>
      <w:rFonts w:eastAsia="Times New Roman"/>
      <w:lang w:val="fr-FR" w:eastAsia="fr-FR"/>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Normalpool">
    <w:name w:val="Normal_pool"/>
    <w:autoRedefine/>
    <w:semiHidden/>
    <w:rsid w:val="002C67A2"/>
    <w:pPr>
      <w:tabs>
        <w:tab w:val="left" w:pos="1247"/>
        <w:tab w:val="left" w:pos="1814"/>
        <w:tab w:val="left" w:pos="2381"/>
        <w:tab w:val="left" w:pos="2948"/>
        <w:tab w:val="left" w:pos="3515"/>
        <w:tab w:val="left" w:pos="4082"/>
      </w:tabs>
    </w:pPr>
    <w:rPr>
      <w:rFonts w:eastAsia="Times New Roman"/>
      <w:lang w:val="fr-CA" w:eastAsia="en-US"/>
    </w:rPr>
  </w:style>
  <w:style w:type="paragraph" w:customStyle="1" w:styleId="AATitle">
    <w:name w:val="AA_Title"/>
    <w:basedOn w:val="Normalpool"/>
    <w:rsid w:val="002C67A2"/>
    <w:pPr>
      <w:keepNext/>
      <w:keepLines/>
      <w:suppressAutoHyphens/>
      <w:ind w:right="5103"/>
    </w:pPr>
    <w:rPr>
      <w:b/>
    </w:rPr>
  </w:style>
  <w:style w:type="paragraph" w:customStyle="1" w:styleId="AATitle2">
    <w:name w:val="AA_Title2"/>
    <w:basedOn w:val="AATitle"/>
    <w:rsid w:val="002C67A2"/>
    <w:pPr>
      <w:tabs>
        <w:tab w:val="clear" w:pos="4082"/>
      </w:tabs>
      <w:spacing w:before="120" w:after="120"/>
      <w:ind w:right="4536"/>
    </w:pPr>
  </w:style>
  <w:style w:type="paragraph" w:styleId="BalloonText">
    <w:name w:val="Balloon Text"/>
    <w:basedOn w:val="Normal"/>
    <w:link w:val="BalloonTextChar"/>
    <w:rsid w:val="00FB3A9B"/>
    <w:rPr>
      <w:rFonts w:ascii="Tahoma" w:hAnsi="Tahoma" w:cs="Tahoma"/>
      <w:sz w:val="16"/>
      <w:szCs w:val="16"/>
    </w:rPr>
  </w:style>
  <w:style w:type="character" w:customStyle="1" w:styleId="BalloonTextChar">
    <w:name w:val="Balloon Text Char"/>
    <w:link w:val="BalloonText"/>
    <w:rsid w:val="00FB3A9B"/>
    <w:rPr>
      <w:rFonts w:ascii="Tahoma" w:eastAsia="Times New Roman" w:hAnsi="Tahoma" w:cs="Tahoma"/>
      <w:sz w:val="16"/>
      <w:szCs w:val="16"/>
      <w:lang w:val="en-GB"/>
    </w:rPr>
  </w:style>
  <w:style w:type="paragraph" w:customStyle="1" w:styleId="BBTitle">
    <w:name w:val="BB_Title"/>
    <w:basedOn w:val="Normalpool"/>
    <w:rsid w:val="002C67A2"/>
    <w:pPr>
      <w:keepNext/>
      <w:keepLines/>
      <w:suppressAutoHyphens/>
      <w:spacing w:before="320" w:after="240"/>
      <w:ind w:left="1247" w:right="567"/>
    </w:pPr>
    <w:rPr>
      <w:b/>
      <w:sz w:val="28"/>
      <w:szCs w:val="28"/>
    </w:rPr>
  </w:style>
  <w:style w:type="paragraph" w:customStyle="1" w:styleId="CH1">
    <w:name w:val="CH1"/>
    <w:basedOn w:val="Normalpool"/>
    <w:next w:val="Normal"/>
    <w:rsid w:val="002C67A2"/>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
    <w:link w:val="CH2Char"/>
    <w:rsid w:val="002C67A2"/>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pool"/>
    <w:next w:val="Normal"/>
    <w:rsid w:val="002C67A2"/>
    <w:pPr>
      <w:keepNext/>
      <w:keepLines/>
      <w:tabs>
        <w:tab w:val="right" w:pos="851"/>
      </w:tabs>
      <w:suppressAutoHyphens/>
      <w:spacing w:after="120"/>
      <w:ind w:left="1247" w:right="284" w:hanging="1247"/>
    </w:pPr>
    <w:rPr>
      <w:b/>
    </w:rPr>
  </w:style>
  <w:style w:type="paragraph" w:customStyle="1" w:styleId="CH4">
    <w:name w:val="CH4"/>
    <w:basedOn w:val="Normalpool"/>
    <w:next w:val="Normal"/>
    <w:rsid w:val="002C67A2"/>
    <w:pPr>
      <w:keepNext/>
      <w:keepLines/>
      <w:tabs>
        <w:tab w:val="right" w:pos="851"/>
      </w:tabs>
      <w:suppressAutoHyphens/>
      <w:spacing w:after="120"/>
      <w:ind w:left="1247" w:right="284" w:hanging="1247"/>
    </w:pPr>
    <w:rPr>
      <w:b/>
    </w:rPr>
  </w:style>
  <w:style w:type="paragraph" w:customStyle="1" w:styleId="CH5">
    <w:name w:val="CH5"/>
    <w:basedOn w:val="Normalpool"/>
    <w:next w:val="Normal"/>
    <w:rsid w:val="002C67A2"/>
    <w:pPr>
      <w:keepNext/>
      <w:keepLines/>
      <w:tabs>
        <w:tab w:val="right" w:pos="851"/>
      </w:tabs>
      <w:suppressAutoHyphens/>
      <w:spacing w:after="120"/>
      <w:ind w:left="1247" w:right="284" w:hanging="1247"/>
    </w:pPr>
    <w:rPr>
      <w:b/>
    </w:rPr>
  </w:style>
  <w:style w:type="paragraph" w:styleId="Footer">
    <w:name w:val="footer"/>
    <w:basedOn w:val="Normal"/>
    <w:link w:val="FooterChar"/>
    <w:rsid w:val="002C67A2"/>
    <w:pPr>
      <w:tabs>
        <w:tab w:val="center" w:pos="4320"/>
        <w:tab w:val="right" w:pos="8640"/>
      </w:tabs>
      <w:spacing w:before="60" w:after="120"/>
    </w:pPr>
    <w:rPr>
      <w:sz w:val="18"/>
    </w:rPr>
  </w:style>
  <w:style w:type="character" w:customStyle="1" w:styleId="FooterChar">
    <w:name w:val="Footer Char"/>
    <w:link w:val="Footer"/>
    <w:rsid w:val="002C67A2"/>
    <w:rPr>
      <w:rFonts w:eastAsia="Times New Roman"/>
      <w:sz w:val="18"/>
      <w:lang w:val="fr-FR" w:eastAsia="en-US"/>
    </w:rPr>
  </w:style>
  <w:style w:type="paragraph" w:customStyle="1" w:styleId="Footerpool">
    <w:name w:val="Footer_pool"/>
    <w:basedOn w:val="Normal"/>
    <w:next w:val="Normal"/>
    <w:semiHidden/>
    <w:rsid w:val="002C67A2"/>
    <w:pPr>
      <w:tabs>
        <w:tab w:val="left" w:pos="4321"/>
        <w:tab w:val="right" w:pos="8641"/>
      </w:tabs>
      <w:spacing w:before="60" w:after="120"/>
    </w:pPr>
    <w:rPr>
      <w:b/>
      <w:sz w:val="18"/>
    </w:rPr>
  </w:style>
  <w:style w:type="table" w:customStyle="1" w:styleId="Footertable">
    <w:name w:val="Footer_table"/>
    <w:basedOn w:val="TableNormal"/>
    <w:semiHidden/>
    <w:rsid w:val="002C67A2"/>
    <w:rPr>
      <w:rFonts w:ascii="Arial" w:eastAsia="Times New Roman" w:hAnsi="Arial"/>
      <w:sz w:val="16"/>
      <w:lang w:val="fr-FR" w:eastAsia="fr-FR"/>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Normal-pool">
    <w:name w:val="Normal-pool"/>
    <w:link w:val="Normal-poolChar"/>
    <w:qFormat/>
    <w:rsid w:val="002C67A2"/>
    <w:pPr>
      <w:tabs>
        <w:tab w:val="left" w:pos="1247"/>
        <w:tab w:val="left" w:pos="1814"/>
        <w:tab w:val="left" w:pos="2381"/>
        <w:tab w:val="left" w:pos="2948"/>
        <w:tab w:val="left" w:pos="3515"/>
        <w:tab w:val="left" w:pos="4082"/>
      </w:tabs>
    </w:pPr>
    <w:rPr>
      <w:rFonts w:eastAsia="Times New Roman"/>
      <w:lang w:val="fr-CA" w:eastAsia="en-US"/>
    </w:rPr>
  </w:style>
  <w:style w:type="paragraph" w:customStyle="1" w:styleId="Footer-pool">
    <w:name w:val="Footer-pool"/>
    <w:basedOn w:val="Normal-pool"/>
    <w:next w:val="Normal-pool"/>
    <w:rsid w:val="002C67A2"/>
    <w:pPr>
      <w:tabs>
        <w:tab w:val="left" w:pos="4321"/>
        <w:tab w:val="right" w:pos="8641"/>
      </w:tabs>
      <w:spacing w:before="60" w:after="120"/>
    </w:pPr>
    <w:rPr>
      <w:b/>
      <w:sz w:val="18"/>
    </w:rPr>
  </w:style>
  <w:style w:type="character" w:styleId="FootnoteReference">
    <w:name w:val="footnote reference"/>
    <w:aliases w:val="SUPERS,ftref,16 Point,Superscript 6 Point,(Ref. de nota al pie),number,Footnote Reference Superscript,Footnote Reference S"/>
    <w:rsid w:val="002C67A2"/>
    <w:rPr>
      <w:rFonts w:ascii="Times New Roman" w:hAnsi="Times New Roman"/>
      <w:color w:val="auto"/>
      <w:sz w:val="20"/>
      <w:szCs w:val="18"/>
      <w:vertAlign w:val="superscript"/>
    </w:rPr>
  </w:style>
  <w:style w:type="paragraph" w:styleId="FootnoteText">
    <w:name w:val="footnote text"/>
    <w:aliases w:val="Geneva 9,Font: Geneva 9,Boston 10,f,DNV-FT,Footnote01,footnote3,text,Geneva,92,Font:,Boston,10,FOOTNOTES,fn,single space,Footnote Text Rail EIS,ft,Footnotes,Footnote ak,fn cafc,Footnotes Char Char,Footnote Text Char Char,fn Char Char,93,1"/>
    <w:basedOn w:val="Normalpool"/>
    <w:link w:val="FootnoteTextChar"/>
    <w:rsid w:val="002C67A2"/>
    <w:pPr>
      <w:spacing w:before="20" w:after="40"/>
      <w:ind w:left="1247"/>
    </w:pPr>
    <w:rPr>
      <w:sz w:val="18"/>
    </w:rPr>
  </w:style>
  <w:style w:type="character" w:customStyle="1" w:styleId="FootnoteTextChar">
    <w:name w:val="Footnote Text Char"/>
    <w:aliases w:val="Geneva 9 Char,Font: Geneva 9 Char,Boston 10 Char,f Char,DNV-FT Char,Footnote01 Char,footnote3 Char,text Char,Geneva Char,92 Char,Font: Char,Boston Char,10 Char,FOOTNOTES Char,fn Char,single space Char,Footnote Text Rail EIS Char"/>
    <w:link w:val="FootnoteText"/>
    <w:rsid w:val="002C67A2"/>
    <w:rPr>
      <w:rFonts w:eastAsia="Times New Roman"/>
      <w:sz w:val="18"/>
      <w:lang w:val="fr-CA" w:eastAsia="en-US"/>
    </w:rPr>
  </w:style>
  <w:style w:type="paragraph" w:styleId="Header">
    <w:name w:val="header"/>
    <w:basedOn w:val="Normal"/>
    <w:link w:val="HeaderChar"/>
    <w:rsid w:val="002C67A2"/>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customStyle="1" w:styleId="HeaderChar">
    <w:name w:val="Header Char"/>
    <w:link w:val="Header"/>
    <w:rsid w:val="002C67A2"/>
    <w:rPr>
      <w:rFonts w:eastAsia="Times New Roman"/>
      <w:b/>
      <w:sz w:val="18"/>
      <w:lang w:val="fr-FR" w:eastAsia="en-US"/>
    </w:rPr>
  </w:style>
  <w:style w:type="paragraph" w:customStyle="1" w:styleId="Headerpool">
    <w:name w:val="Header_pool"/>
    <w:basedOn w:val="Normal"/>
    <w:next w:val="Normal"/>
    <w:semiHidden/>
    <w:rsid w:val="002C67A2"/>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Header-pool">
    <w:name w:val="Header-pool"/>
    <w:basedOn w:val="Normal-pool"/>
    <w:next w:val="Normal-pool"/>
    <w:rsid w:val="002C67A2"/>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customStyle="1" w:styleId="Heading1Char">
    <w:name w:val="Heading 1 Char"/>
    <w:link w:val="Heading1"/>
    <w:rsid w:val="002C67A2"/>
    <w:rPr>
      <w:rFonts w:eastAsia="Times New Roman"/>
      <w:b/>
      <w:sz w:val="28"/>
      <w:lang w:val="fr-FR" w:eastAsia="en-US"/>
    </w:rPr>
  </w:style>
  <w:style w:type="character" w:customStyle="1" w:styleId="Heading2Char">
    <w:name w:val="Heading 2 Char"/>
    <w:link w:val="Heading2"/>
    <w:rsid w:val="002C67A2"/>
    <w:rPr>
      <w:rFonts w:eastAsia="Times New Roman"/>
      <w:b/>
      <w:sz w:val="24"/>
      <w:szCs w:val="24"/>
      <w:lang w:val="fr-FR" w:eastAsia="en-US"/>
    </w:rPr>
  </w:style>
  <w:style w:type="character" w:customStyle="1" w:styleId="Heading3Char">
    <w:name w:val="Heading 3 Char"/>
    <w:link w:val="Heading3"/>
    <w:rsid w:val="002C67A2"/>
    <w:rPr>
      <w:rFonts w:eastAsia="Times New Roman"/>
      <w:b/>
      <w:lang w:val="fr-FR" w:eastAsia="en-US"/>
    </w:rPr>
  </w:style>
  <w:style w:type="character" w:customStyle="1" w:styleId="Heading4Char">
    <w:name w:val="Heading 4 Char"/>
    <w:link w:val="Heading4"/>
    <w:rsid w:val="002C67A2"/>
    <w:rPr>
      <w:rFonts w:eastAsia="Times New Roman"/>
      <w:b/>
      <w:lang w:val="fr-FR" w:eastAsia="en-US"/>
    </w:rPr>
  </w:style>
  <w:style w:type="character" w:customStyle="1" w:styleId="Heading5Char">
    <w:name w:val="Heading 5 Char"/>
    <w:link w:val="Heading5"/>
    <w:rsid w:val="002C67A2"/>
    <w:rPr>
      <w:rFonts w:ascii="Univers" w:eastAsia="Times New Roman" w:hAnsi="Univers"/>
      <w:b/>
      <w:sz w:val="24"/>
      <w:lang w:val="fr-FR" w:eastAsia="en-US"/>
    </w:rPr>
  </w:style>
  <w:style w:type="character" w:customStyle="1" w:styleId="Heading6Char">
    <w:name w:val="Heading 6 Char"/>
    <w:link w:val="Heading6"/>
    <w:rsid w:val="002C67A2"/>
    <w:rPr>
      <w:rFonts w:eastAsia="Times New Roman"/>
      <w:b/>
      <w:bCs/>
      <w:sz w:val="24"/>
      <w:lang w:val="fr-FR" w:eastAsia="en-US"/>
    </w:rPr>
  </w:style>
  <w:style w:type="character" w:customStyle="1" w:styleId="Heading7Char">
    <w:name w:val="Heading 7 Char"/>
    <w:link w:val="Heading7"/>
    <w:rsid w:val="002C67A2"/>
    <w:rPr>
      <w:rFonts w:eastAsia="Times New Roman"/>
      <w:snapToGrid w:val="0"/>
      <w:u w:val="single"/>
      <w:lang w:val="en-US" w:eastAsia="en-US"/>
    </w:rPr>
  </w:style>
  <w:style w:type="character" w:customStyle="1" w:styleId="Heading8Char">
    <w:name w:val="Heading 8 Char"/>
    <w:link w:val="Heading8"/>
    <w:rsid w:val="002C67A2"/>
    <w:rPr>
      <w:rFonts w:eastAsia="Times New Roman"/>
      <w:snapToGrid w:val="0"/>
      <w:u w:val="single"/>
      <w:lang w:val="en-US" w:eastAsia="en-US"/>
    </w:rPr>
  </w:style>
  <w:style w:type="character" w:customStyle="1" w:styleId="Heading9Char">
    <w:name w:val="Heading 9 Char"/>
    <w:link w:val="Heading9"/>
    <w:rsid w:val="002C67A2"/>
    <w:rPr>
      <w:rFonts w:eastAsia="Times New Roman"/>
      <w:snapToGrid w:val="0"/>
      <w:u w:val="single"/>
      <w:lang w:val="en-US" w:eastAsia="en-US"/>
    </w:rPr>
  </w:style>
  <w:style w:type="character" w:styleId="Hyperlink">
    <w:name w:val="Hyperlink"/>
    <w:rsid w:val="002C67A2"/>
    <w:rPr>
      <w:rFonts w:ascii="Times New Roman" w:hAnsi="Times New Roman"/>
      <w:color w:val="auto"/>
      <w:sz w:val="20"/>
      <w:szCs w:val="20"/>
      <w:u w:val="none"/>
      <w:lang w:val="fr-FR"/>
    </w:rPr>
  </w:style>
  <w:style w:type="numbering" w:customStyle="1" w:styleId="Normallist">
    <w:name w:val="Normal_list"/>
    <w:basedOn w:val="NoList"/>
    <w:rsid w:val="002C67A2"/>
    <w:pPr>
      <w:numPr>
        <w:numId w:val="1"/>
      </w:numPr>
    </w:pPr>
  </w:style>
  <w:style w:type="paragraph" w:customStyle="1" w:styleId="NormalNonumber">
    <w:name w:val="Normal_No_number"/>
    <w:basedOn w:val="Normalpool"/>
    <w:rsid w:val="002C67A2"/>
    <w:pPr>
      <w:spacing w:after="120"/>
      <w:ind w:left="1247"/>
    </w:pPr>
  </w:style>
  <w:style w:type="paragraph" w:customStyle="1" w:styleId="Normalnumber">
    <w:name w:val="Normal_number"/>
    <w:basedOn w:val="Normalpool"/>
    <w:link w:val="NormalnumberChar"/>
    <w:qFormat/>
    <w:rsid w:val="002C67A2"/>
    <w:pPr>
      <w:numPr>
        <w:numId w:val="5"/>
      </w:numPr>
      <w:spacing w:after="120"/>
    </w:pPr>
  </w:style>
  <w:style w:type="character" w:styleId="PageNumber">
    <w:name w:val="page number"/>
    <w:semiHidden/>
    <w:rsid w:val="002C67A2"/>
    <w:rPr>
      <w:rFonts w:ascii="Times New Roman" w:hAnsi="Times New Roman"/>
      <w:b/>
      <w:sz w:val="18"/>
    </w:rPr>
  </w:style>
  <w:style w:type="paragraph" w:styleId="TableofFigures">
    <w:name w:val="table of figures"/>
    <w:basedOn w:val="Normal"/>
    <w:next w:val="Normal"/>
    <w:autoRedefine/>
    <w:semiHidden/>
    <w:rsid w:val="002C67A2"/>
    <w:pPr>
      <w:tabs>
        <w:tab w:val="clear" w:pos="1814"/>
        <w:tab w:val="clear" w:pos="2381"/>
        <w:tab w:val="clear" w:pos="2948"/>
        <w:tab w:val="clear" w:pos="3515"/>
      </w:tabs>
      <w:ind w:left="1814" w:hanging="567"/>
    </w:pPr>
  </w:style>
  <w:style w:type="table" w:customStyle="1" w:styleId="Tabledocright">
    <w:name w:val="Table_doc_right"/>
    <w:basedOn w:val="TableNormal"/>
    <w:rsid w:val="002C67A2"/>
    <w:pPr>
      <w:spacing w:before="40" w:after="40"/>
    </w:pPr>
    <w:rPr>
      <w:rFonts w:eastAsia="Times New Roman"/>
      <w:sz w:val="18"/>
      <w:szCs w:val="18"/>
      <w:lang w:val="fr-FR" w:eastAsia="fr-FR"/>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pool"/>
    <w:link w:val="TitletableChar"/>
    <w:rsid w:val="002C67A2"/>
    <w:pPr>
      <w:keepNext/>
      <w:keepLines/>
      <w:suppressAutoHyphens/>
      <w:spacing w:after="60"/>
      <w:ind w:left="1247"/>
    </w:pPr>
    <w:rPr>
      <w:b/>
      <w:bCs/>
    </w:rPr>
  </w:style>
  <w:style w:type="paragraph" w:customStyle="1" w:styleId="Titlefigure">
    <w:name w:val="Title_figure"/>
    <w:basedOn w:val="Titletable"/>
    <w:next w:val="NormalNonumber"/>
    <w:rsid w:val="002C67A2"/>
    <w:rPr>
      <w:bCs w:val="0"/>
    </w:rPr>
  </w:style>
  <w:style w:type="paragraph" w:styleId="TOC1">
    <w:name w:val="toc 1"/>
    <w:basedOn w:val="Normalpool"/>
    <w:next w:val="Normalpool"/>
    <w:rsid w:val="002C67A2"/>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2C67A2"/>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2C67A2"/>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2C67A2"/>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2C67A2"/>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2C67A2"/>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2C67A2"/>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2C67A2"/>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2C67A2"/>
    <w:pPr>
      <w:tabs>
        <w:tab w:val="clear" w:pos="1814"/>
        <w:tab w:val="clear" w:pos="2381"/>
        <w:tab w:val="clear" w:pos="2948"/>
        <w:tab w:val="clear" w:pos="3515"/>
      </w:tabs>
      <w:ind w:left="1600"/>
    </w:pPr>
    <w:rPr>
      <w:sz w:val="18"/>
      <w:szCs w:val="18"/>
    </w:rPr>
  </w:style>
  <w:style w:type="paragraph" w:customStyle="1" w:styleId="ZZAnxheader">
    <w:name w:val="ZZ_Anx_header"/>
    <w:basedOn w:val="Normalpool"/>
    <w:rsid w:val="002C67A2"/>
    <w:rPr>
      <w:b/>
      <w:bCs/>
      <w:sz w:val="28"/>
      <w:szCs w:val="22"/>
    </w:rPr>
  </w:style>
  <w:style w:type="paragraph" w:customStyle="1" w:styleId="ZZAnxtitle">
    <w:name w:val="ZZ_Anx_title"/>
    <w:basedOn w:val="Normalpool"/>
    <w:rsid w:val="002C67A2"/>
    <w:pPr>
      <w:spacing w:before="360" w:after="120"/>
      <w:ind w:left="1247"/>
    </w:pPr>
    <w:rPr>
      <w:b/>
      <w:bCs/>
      <w:sz w:val="28"/>
      <w:szCs w:val="26"/>
    </w:rPr>
  </w:style>
  <w:style w:type="character" w:customStyle="1" w:styleId="NormalnumberChar">
    <w:name w:val="Normal_number Char"/>
    <w:link w:val="Normalnumber"/>
    <w:rsid w:val="002B65C8"/>
    <w:rPr>
      <w:rFonts w:eastAsia="Times New Roman"/>
      <w:lang w:val="fr-CA" w:eastAsia="en-US"/>
    </w:rPr>
  </w:style>
  <w:style w:type="character" w:styleId="CommentReference">
    <w:name w:val="annotation reference"/>
    <w:basedOn w:val="DefaultParagraphFont"/>
    <w:uiPriority w:val="99"/>
    <w:rsid w:val="00A12DFE"/>
    <w:rPr>
      <w:sz w:val="16"/>
      <w:szCs w:val="16"/>
    </w:rPr>
  </w:style>
  <w:style w:type="paragraph" w:styleId="CommentText">
    <w:name w:val="annotation text"/>
    <w:basedOn w:val="Normal"/>
    <w:link w:val="CommentTextChar"/>
    <w:uiPriority w:val="99"/>
    <w:rsid w:val="00A12DFE"/>
    <w:pPr>
      <w:tabs>
        <w:tab w:val="clear" w:pos="1247"/>
        <w:tab w:val="clear" w:pos="1814"/>
        <w:tab w:val="clear" w:pos="2381"/>
        <w:tab w:val="clear" w:pos="2948"/>
        <w:tab w:val="clear" w:pos="3515"/>
      </w:tabs>
    </w:pPr>
    <w:rPr>
      <w:rFonts w:eastAsia="Calibri"/>
    </w:rPr>
  </w:style>
  <w:style w:type="character" w:customStyle="1" w:styleId="CommentTextChar">
    <w:name w:val="Comment Text Char"/>
    <w:basedOn w:val="DefaultParagraphFont"/>
    <w:link w:val="CommentText"/>
    <w:uiPriority w:val="99"/>
    <w:rsid w:val="00A12DFE"/>
    <w:rPr>
      <w:lang w:val="en-US" w:eastAsia="en-US"/>
    </w:rPr>
  </w:style>
  <w:style w:type="paragraph" w:styleId="CommentSubject">
    <w:name w:val="annotation subject"/>
    <w:basedOn w:val="CommentText"/>
    <w:next w:val="CommentText"/>
    <w:link w:val="CommentSubjectChar"/>
    <w:rsid w:val="00441DFB"/>
    <w:pPr>
      <w:tabs>
        <w:tab w:val="left" w:pos="1247"/>
        <w:tab w:val="left" w:pos="1814"/>
        <w:tab w:val="left" w:pos="2381"/>
        <w:tab w:val="left" w:pos="2948"/>
        <w:tab w:val="left" w:pos="3515"/>
      </w:tabs>
    </w:pPr>
    <w:rPr>
      <w:rFonts w:eastAsia="Times New Roman"/>
      <w:b/>
      <w:bCs/>
    </w:rPr>
  </w:style>
  <w:style w:type="character" w:customStyle="1" w:styleId="CommentSubjectChar">
    <w:name w:val="Comment Subject Char"/>
    <w:basedOn w:val="CommentTextChar"/>
    <w:link w:val="CommentSubject"/>
    <w:rsid w:val="00441DFB"/>
    <w:rPr>
      <w:rFonts w:eastAsia="Times New Roman"/>
      <w:b/>
      <w:bCs/>
      <w:lang w:val="en-US" w:eastAsia="en-US"/>
    </w:rPr>
  </w:style>
  <w:style w:type="paragraph" w:styleId="ListParagraph">
    <w:name w:val="List Paragraph"/>
    <w:basedOn w:val="Normal"/>
    <w:uiPriority w:val="34"/>
    <w:qFormat/>
    <w:rsid w:val="00452691"/>
    <w:pPr>
      <w:ind w:left="720"/>
      <w:contextualSpacing/>
    </w:pPr>
  </w:style>
  <w:style w:type="numbering" w:customStyle="1" w:styleId="Normallist1">
    <w:name w:val="Normal_list1"/>
    <w:basedOn w:val="NoList"/>
    <w:rsid w:val="00B70207"/>
  </w:style>
  <w:style w:type="paragraph" w:styleId="BodyTextIndent3">
    <w:name w:val="Body Text Indent 3"/>
    <w:basedOn w:val="Normal"/>
    <w:link w:val="BodyTextIndent3Char"/>
    <w:rsid w:val="00BD53D7"/>
    <w:pPr>
      <w:spacing w:after="120"/>
      <w:ind w:left="360"/>
    </w:pPr>
    <w:rPr>
      <w:sz w:val="16"/>
      <w:szCs w:val="16"/>
    </w:rPr>
  </w:style>
  <w:style w:type="character" w:customStyle="1" w:styleId="BodyTextIndent3Char">
    <w:name w:val="Body Text Indent 3 Char"/>
    <w:basedOn w:val="DefaultParagraphFont"/>
    <w:link w:val="BodyTextIndent3"/>
    <w:rsid w:val="00BD53D7"/>
    <w:rPr>
      <w:rFonts w:eastAsia="Times New Roman"/>
      <w:sz w:val="16"/>
      <w:szCs w:val="16"/>
      <w:lang w:val="fr-FR" w:eastAsia="en-US"/>
    </w:rPr>
  </w:style>
  <w:style w:type="character" w:customStyle="1" w:styleId="CH2Char">
    <w:name w:val="CH2 Char"/>
    <w:link w:val="CH2"/>
    <w:rsid w:val="00843F33"/>
    <w:rPr>
      <w:rFonts w:eastAsia="Times New Roman"/>
      <w:b/>
      <w:sz w:val="24"/>
      <w:szCs w:val="24"/>
      <w:lang w:val="fr-CA" w:eastAsia="en-US"/>
    </w:rPr>
  </w:style>
  <w:style w:type="character" w:customStyle="1" w:styleId="DeltaViewInsertion">
    <w:name w:val="DeltaView Insertion"/>
    <w:uiPriority w:val="99"/>
    <w:rsid w:val="00B44E83"/>
    <w:rPr>
      <w:color w:val="0000FF"/>
      <w:u w:val="double"/>
    </w:rPr>
  </w:style>
  <w:style w:type="character" w:customStyle="1" w:styleId="Normal-poolChar">
    <w:name w:val="Normal-pool Char"/>
    <w:link w:val="Normal-pool"/>
    <w:locked/>
    <w:rsid w:val="00B07118"/>
    <w:rPr>
      <w:rFonts w:eastAsia="Times New Roman"/>
      <w:lang w:val="fr-CA" w:eastAsia="en-US"/>
    </w:rPr>
  </w:style>
  <w:style w:type="numbering" w:customStyle="1" w:styleId="NoList1">
    <w:name w:val="No List1"/>
    <w:next w:val="NoList"/>
    <w:uiPriority w:val="99"/>
    <w:semiHidden/>
    <w:unhideWhenUsed/>
    <w:rsid w:val="001420CF"/>
  </w:style>
  <w:style w:type="paragraph" w:customStyle="1" w:styleId="Default">
    <w:name w:val="Default"/>
    <w:rsid w:val="001420CF"/>
    <w:pPr>
      <w:autoSpaceDE w:val="0"/>
      <w:autoSpaceDN w:val="0"/>
      <w:adjustRightInd w:val="0"/>
    </w:pPr>
    <w:rPr>
      <w:color w:val="000000"/>
      <w:sz w:val="24"/>
      <w:szCs w:val="24"/>
      <w:lang w:val="en-US" w:eastAsia="en-US"/>
    </w:rPr>
  </w:style>
  <w:style w:type="paragraph" w:styleId="Revision">
    <w:name w:val="Revision"/>
    <w:hidden/>
    <w:uiPriority w:val="99"/>
    <w:semiHidden/>
    <w:rsid w:val="001420CF"/>
    <w:rPr>
      <w:rFonts w:ascii="Calibri" w:hAnsi="Calibri" w:cs="Arial"/>
      <w:sz w:val="24"/>
      <w:szCs w:val="24"/>
      <w:lang w:val="en-CA" w:eastAsia="en-US"/>
    </w:rPr>
  </w:style>
  <w:style w:type="paragraph" w:styleId="BodyTextIndent2">
    <w:name w:val="Body Text Indent 2"/>
    <w:basedOn w:val="Normal"/>
    <w:link w:val="BodyTextIndent2Char"/>
    <w:rsid w:val="001420CF"/>
    <w:pPr>
      <w:tabs>
        <w:tab w:val="clear" w:pos="1247"/>
        <w:tab w:val="clear" w:pos="1814"/>
        <w:tab w:val="clear" w:pos="2381"/>
        <w:tab w:val="clear" w:pos="2948"/>
        <w:tab w:val="clear" w:pos="3515"/>
      </w:tabs>
      <w:spacing w:line="480" w:lineRule="auto"/>
      <w:ind w:firstLine="720"/>
    </w:pPr>
    <w:rPr>
      <w:rFonts w:cs="Arial"/>
      <w:sz w:val="24"/>
      <w:szCs w:val="24"/>
      <w:lang w:val="en-CA"/>
    </w:rPr>
  </w:style>
  <w:style w:type="character" w:customStyle="1" w:styleId="BodyTextIndent2Char">
    <w:name w:val="Body Text Indent 2 Char"/>
    <w:basedOn w:val="DefaultParagraphFont"/>
    <w:link w:val="BodyTextIndent2"/>
    <w:rsid w:val="001420CF"/>
    <w:rPr>
      <w:rFonts w:eastAsia="Times New Roman" w:cs="Arial"/>
      <w:sz w:val="24"/>
      <w:szCs w:val="24"/>
      <w:lang w:val="en-CA" w:eastAsia="en-US"/>
    </w:rPr>
  </w:style>
  <w:style w:type="paragraph" w:styleId="NormalWeb">
    <w:name w:val="Normal (Web)"/>
    <w:basedOn w:val="Normal"/>
    <w:uiPriority w:val="99"/>
    <w:unhideWhenUsed/>
    <w:rsid w:val="001420CF"/>
    <w:pPr>
      <w:tabs>
        <w:tab w:val="clear" w:pos="1247"/>
        <w:tab w:val="clear" w:pos="1814"/>
        <w:tab w:val="clear" w:pos="2381"/>
        <w:tab w:val="clear" w:pos="2948"/>
        <w:tab w:val="clear" w:pos="3515"/>
      </w:tabs>
      <w:spacing w:before="100" w:beforeAutospacing="1" w:after="100" w:afterAutospacing="1"/>
    </w:pPr>
    <w:rPr>
      <w:rFonts w:eastAsia="Calibri"/>
      <w:sz w:val="24"/>
      <w:szCs w:val="24"/>
      <w:lang w:val="en-US"/>
    </w:rPr>
  </w:style>
  <w:style w:type="paragraph" w:styleId="BodyText">
    <w:name w:val="Body Text"/>
    <w:basedOn w:val="Normal"/>
    <w:link w:val="BodyTextChar"/>
    <w:uiPriority w:val="1"/>
    <w:qFormat/>
    <w:rsid w:val="001420CF"/>
    <w:pPr>
      <w:widowControl w:val="0"/>
      <w:tabs>
        <w:tab w:val="clear" w:pos="1247"/>
        <w:tab w:val="clear" w:pos="1814"/>
        <w:tab w:val="clear" w:pos="2381"/>
        <w:tab w:val="clear" w:pos="2948"/>
        <w:tab w:val="clear" w:pos="3515"/>
      </w:tabs>
      <w:ind w:left="488" w:hanging="336"/>
    </w:pPr>
    <w:rPr>
      <w:rFonts w:cs="Arial"/>
      <w:sz w:val="22"/>
      <w:szCs w:val="22"/>
      <w:lang w:val="en-US"/>
    </w:rPr>
  </w:style>
  <w:style w:type="character" w:customStyle="1" w:styleId="BodyTextChar">
    <w:name w:val="Body Text Char"/>
    <w:basedOn w:val="DefaultParagraphFont"/>
    <w:link w:val="BodyText"/>
    <w:uiPriority w:val="1"/>
    <w:rsid w:val="001420CF"/>
    <w:rPr>
      <w:rFonts w:eastAsia="Times New Roman" w:cs="Arial"/>
      <w:sz w:val="22"/>
      <w:szCs w:val="22"/>
      <w:lang w:val="en-US" w:eastAsia="en-US"/>
    </w:rPr>
  </w:style>
  <w:style w:type="table" w:styleId="TableGrid">
    <w:name w:val="Table Grid"/>
    <w:basedOn w:val="TableNormal"/>
    <w:uiPriority w:val="39"/>
    <w:rsid w:val="001420CF"/>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unnumbered">
    <w:name w:val="Heading unnumbered"/>
    <w:basedOn w:val="Normal"/>
    <w:next w:val="Normal"/>
    <w:rsid w:val="001420CF"/>
    <w:pPr>
      <w:keepNext/>
      <w:tabs>
        <w:tab w:val="clear" w:pos="1247"/>
        <w:tab w:val="clear" w:pos="1814"/>
        <w:tab w:val="clear" w:pos="2381"/>
        <w:tab w:val="clear" w:pos="2948"/>
        <w:tab w:val="clear" w:pos="3515"/>
      </w:tabs>
      <w:spacing w:after="240"/>
    </w:pPr>
    <w:rPr>
      <w:b/>
      <w:sz w:val="24"/>
      <w:lang w:val="en-US"/>
    </w:rPr>
  </w:style>
  <w:style w:type="character" w:styleId="Emphasis">
    <w:name w:val="Emphasis"/>
    <w:basedOn w:val="DefaultParagraphFont"/>
    <w:uiPriority w:val="20"/>
    <w:qFormat/>
    <w:rsid w:val="001420CF"/>
    <w:rPr>
      <w:i/>
      <w:iCs/>
    </w:rPr>
  </w:style>
  <w:style w:type="character" w:customStyle="1" w:styleId="highlight">
    <w:name w:val="highlight"/>
    <w:basedOn w:val="DefaultParagraphFont"/>
    <w:rsid w:val="001420CF"/>
  </w:style>
  <w:style w:type="character" w:customStyle="1" w:styleId="lrdctph">
    <w:name w:val="lr_dct_ph"/>
    <w:basedOn w:val="DefaultParagraphFont"/>
    <w:rsid w:val="001420CF"/>
  </w:style>
  <w:style w:type="character" w:customStyle="1" w:styleId="lrdctspkr">
    <w:name w:val="lr_dct_spkr"/>
    <w:basedOn w:val="DefaultParagraphFont"/>
    <w:rsid w:val="001420CF"/>
  </w:style>
  <w:style w:type="character" w:customStyle="1" w:styleId="UnresolvedMention1">
    <w:name w:val="Unresolved Mention1"/>
    <w:basedOn w:val="DefaultParagraphFont"/>
    <w:rsid w:val="001420CF"/>
    <w:rPr>
      <w:color w:val="808080"/>
      <w:shd w:val="clear" w:color="auto" w:fill="E6E6E6"/>
    </w:rPr>
  </w:style>
  <w:style w:type="character" w:customStyle="1" w:styleId="TitletableChar">
    <w:name w:val="Title_table Char"/>
    <w:link w:val="Titletable"/>
    <w:rsid w:val="001D7FFD"/>
    <w:rPr>
      <w:rFonts w:eastAsia="Times New Roman"/>
      <w:b/>
      <w:bCs/>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8948">
      <w:bodyDiv w:val="1"/>
      <w:marLeft w:val="0"/>
      <w:marRight w:val="0"/>
      <w:marTop w:val="0"/>
      <w:marBottom w:val="0"/>
      <w:divBdr>
        <w:top w:val="none" w:sz="0" w:space="0" w:color="auto"/>
        <w:left w:val="none" w:sz="0" w:space="0" w:color="auto"/>
        <w:bottom w:val="none" w:sz="0" w:space="0" w:color="auto"/>
        <w:right w:val="none" w:sz="0" w:space="0" w:color="auto"/>
      </w:divBdr>
    </w:div>
    <w:div w:id="411242293">
      <w:bodyDiv w:val="1"/>
      <w:marLeft w:val="0"/>
      <w:marRight w:val="0"/>
      <w:marTop w:val="0"/>
      <w:marBottom w:val="0"/>
      <w:divBdr>
        <w:top w:val="none" w:sz="0" w:space="0" w:color="auto"/>
        <w:left w:val="none" w:sz="0" w:space="0" w:color="auto"/>
        <w:bottom w:val="none" w:sz="0" w:space="0" w:color="auto"/>
        <w:right w:val="none" w:sz="0" w:space="0" w:color="auto"/>
      </w:divBdr>
    </w:div>
    <w:div w:id="96681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B4EE-35A4-46F9-8521-562054DA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28124</Words>
  <Characters>160308</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188056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Cynthia Mwanza</dc:creator>
  <cp:keywords/>
  <cp:lastModifiedBy>Lisa Benedetti</cp:lastModifiedBy>
  <cp:revision>5</cp:revision>
  <cp:lastPrinted>2019-08-20T07:30:00Z</cp:lastPrinted>
  <dcterms:created xsi:type="dcterms:W3CDTF">2019-09-03T11:50:00Z</dcterms:created>
  <dcterms:modified xsi:type="dcterms:W3CDTF">2019-09-06T14:50:00Z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diane.belud</vt:lpwstr>
  </property>
  <property fmtid="{D5CDD505-2E9C-101B-9397-08002B2CF9AE}" pid="4" name="GeneratedDate">
    <vt:lpwstr>2/1/2019 11:12:54 AM</vt:lpwstr>
  </property>
  <property fmtid="{D5CDD505-2E9C-101B-9397-08002B2CF9AE}" pid="5" name="OriginalDocID">
    <vt:lpwstr>99d178a9-a623-47fb-ae1c-2633e2c3863d</vt:lpwstr>
  </property>
</Properties>
</file>